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46E239" w14:textId="77777777" w:rsidR="006A6E87" w:rsidRDefault="006A6E87" w:rsidP="00F57591">
      <w:pPr>
        <w:pStyle w:val="Heading1"/>
      </w:pPr>
      <w:bookmarkStart w:id="0" w:name="_Toc469843749"/>
      <w:r>
        <w:t>Concept Arrangement Patterns</w:t>
      </w:r>
      <w:bookmarkEnd w:id="0"/>
    </w:p>
    <w:p w14:paraId="69C06728" w14:textId="77777777" w:rsidR="00067C1F" w:rsidRDefault="00067C1F" w:rsidP="00F57591">
      <w:pPr>
        <w:pStyle w:val="BodyText"/>
        <w:rPr>
          <w:lang w:val="en-GB"/>
        </w:rPr>
      </w:pPr>
      <w:r>
        <w:rPr>
          <w:lang w:val="en-GB"/>
        </w:rPr>
        <w:t>The purpose of this section is to explain the notion of the concept arrangement pattern.</w:t>
      </w:r>
    </w:p>
    <w:p w14:paraId="05618B5D" w14:textId="429BB01F" w:rsidR="006A6E87" w:rsidRDefault="006A6E87" w:rsidP="00F57591">
      <w:pPr>
        <w:pStyle w:val="BodyText"/>
        <w:rPr>
          <w:lang w:val="en-GB"/>
        </w:rPr>
      </w:pPr>
      <w:r w:rsidRPr="005F70F8">
        <w:rPr>
          <w:lang w:val="en-GB"/>
        </w:rPr>
        <w:t xml:space="preserve">A list of </w:t>
      </w:r>
      <w:r>
        <w:rPr>
          <w:lang w:val="en-GB"/>
        </w:rPr>
        <w:t>report elements</w:t>
      </w:r>
      <w:r w:rsidRPr="005F70F8">
        <w:rPr>
          <w:lang w:val="en-GB"/>
        </w:rPr>
        <w:t xml:space="preserve">, by itself, is not sufficient to describe a </w:t>
      </w:r>
      <w:r>
        <w:rPr>
          <w:lang w:val="en-GB"/>
        </w:rPr>
        <w:t>model for a digital financial report</w:t>
      </w:r>
      <w:r w:rsidRPr="005F70F8">
        <w:rPr>
          <w:lang w:val="en-GB"/>
        </w:rPr>
        <w:t>.</w:t>
      </w:r>
      <w:r>
        <w:rPr>
          <w:lang w:val="en-GB"/>
        </w:rPr>
        <w:t xml:space="preserve">  A digital financial report contains both terms that describe things that exist within that model (</w:t>
      </w:r>
      <w:r w:rsidRPr="005F70F8">
        <w:rPr>
          <w:lang w:val="en-GB"/>
        </w:rPr>
        <w:t>things that exist</w:t>
      </w:r>
      <w:r>
        <w:rPr>
          <w:lang w:val="en-GB"/>
        </w:rPr>
        <w:t>, report elements</w:t>
      </w:r>
      <w:r w:rsidRPr="005F70F8">
        <w:rPr>
          <w:lang w:val="en-GB"/>
        </w:rPr>
        <w:t xml:space="preserve">) and </w:t>
      </w:r>
      <w:r>
        <w:rPr>
          <w:lang w:val="en-GB"/>
        </w:rPr>
        <w:t>associations between those terms or report elements</w:t>
      </w:r>
      <w:r w:rsidRPr="005F70F8">
        <w:rPr>
          <w:lang w:val="en-GB"/>
        </w:rPr>
        <w:t xml:space="preserve"> (how they interact with one another). </w:t>
      </w:r>
    </w:p>
    <w:p w14:paraId="0A2C1C6C" w14:textId="77777777" w:rsidR="006A6E87" w:rsidRDefault="006A6E87" w:rsidP="00F57591">
      <w:pPr>
        <w:pStyle w:val="BodyText"/>
        <w:rPr>
          <w:lang w:val="en-GB"/>
        </w:rPr>
      </w:pPr>
      <w:r>
        <w:rPr>
          <w:lang w:val="en-GB"/>
        </w:rPr>
        <w:t>In this section we discuss the patterns of the associations between a set of report elements within a set of [Line Items].</w:t>
      </w:r>
    </w:p>
    <w:p w14:paraId="594B0019" w14:textId="77777777" w:rsidR="006A6E87" w:rsidRDefault="006A6E87" w:rsidP="00F57591">
      <w:pPr>
        <w:pStyle w:val="Heading2"/>
      </w:pPr>
      <w:bookmarkStart w:id="1" w:name="_Toc418919904"/>
      <w:r>
        <w:t>Understanding the utility and leverage of patterns</w:t>
      </w:r>
      <w:bookmarkEnd w:id="1"/>
    </w:p>
    <w:p w14:paraId="2D4FA702" w14:textId="77777777" w:rsidR="006A6E87" w:rsidRDefault="006A6E87" w:rsidP="00F57591">
      <w:pPr>
        <w:pStyle w:val="BodyText"/>
        <w:rPr>
          <w:lang w:val="en-GB"/>
        </w:rPr>
      </w:pPr>
      <w:r>
        <w:rPr>
          <w:lang w:val="en-GB"/>
        </w:rPr>
        <w:t>The world is full of patterns and information technology engineers and architects leverage these patterns when trying to get a computer to do something effectively and efficiently for humans.  Understanding the patterns which exist can help make both building and using software easier.</w:t>
      </w:r>
    </w:p>
    <w:p w14:paraId="63C6CF17" w14:textId="77777777" w:rsidR="006A6E87" w:rsidRDefault="006A6E87" w:rsidP="00F57591">
      <w:pPr>
        <w:pStyle w:val="BodyText"/>
        <w:rPr>
          <w:lang w:val="en-GB"/>
        </w:rPr>
      </w:pPr>
      <w:r w:rsidRPr="00F154D7">
        <w:rPr>
          <w:lang w:val="en-GB"/>
        </w:rPr>
        <w:t xml:space="preserve">A </w:t>
      </w:r>
      <w:r w:rsidRPr="00F154D7">
        <w:rPr>
          <w:i/>
          <w:iCs/>
          <w:lang w:val="en-GB"/>
        </w:rPr>
        <w:t>system</w:t>
      </w:r>
      <w:r w:rsidRPr="00F154D7">
        <w:rPr>
          <w:lang w:val="en-GB"/>
        </w:rPr>
        <w:t xml:space="preserve"> is a cohesive conglomeration of interrelated and interdependent parts that is either natural or man-made</w:t>
      </w:r>
      <w:r>
        <w:rPr>
          <w:rStyle w:val="FootnoteReference"/>
          <w:lang w:val="en-GB"/>
        </w:rPr>
        <w:footnoteReference w:id="1"/>
      </w:r>
      <w:r w:rsidRPr="00F154D7">
        <w:rPr>
          <w:lang w:val="en-GB"/>
        </w:rPr>
        <w:t>.</w:t>
      </w:r>
      <w:r>
        <w:rPr>
          <w:lang w:val="en-GB"/>
        </w:rPr>
        <w:t xml:space="preserve"> </w:t>
      </w:r>
      <w:r w:rsidRPr="00F154D7">
        <w:rPr>
          <w:lang w:val="en-GB"/>
        </w:rPr>
        <w:t xml:space="preserve">A </w:t>
      </w:r>
      <w:r w:rsidRPr="00F154D7">
        <w:rPr>
          <w:i/>
          <w:iCs/>
          <w:lang w:val="en-GB"/>
        </w:rPr>
        <w:t>pattern</w:t>
      </w:r>
      <w:r w:rsidRPr="00F154D7">
        <w:rPr>
          <w:lang w:val="en-GB"/>
        </w:rPr>
        <w:t xml:space="preserve"> is any form of correlation between the states of elements within a system</w:t>
      </w:r>
      <w:r>
        <w:rPr>
          <w:rStyle w:val="FootnoteReference"/>
          <w:lang w:val="en-GB"/>
        </w:rPr>
        <w:footnoteReference w:id="2"/>
      </w:r>
      <w:r w:rsidRPr="00F154D7">
        <w:rPr>
          <w:lang w:val="en-GB"/>
        </w:rPr>
        <w:t>.</w:t>
      </w:r>
    </w:p>
    <w:p w14:paraId="5D039D9D" w14:textId="77777777" w:rsidR="006A6E87" w:rsidRDefault="006A6E87" w:rsidP="00F57591">
      <w:pPr>
        <w:pStyle w:val="BodyText"/>
        <w:rPr>
          <w:lang w:val="en-GB"/>
        </w:rPr>
      </w:pPr>
      <w:r>
        <w:rPr>
          <w:lang w:val="en-GB"/>
        </w:rPr>
        <w:t>Business reports, including financial reports, have patterns. Another way of saying this is that financial reports are not random. There are not an infinite number of patterns in financial reporting.</w:t>
      </w:r>
    </w:p>
    <w:p w14:paraId="6EC27E54" w14:textId="3C514D84" w:rsidR="006A6E87" w:rsidRDefault="006A6E87" w:rsidP="00F57591">
      <w:pPr>
        <w:pStyle w:val="BodyText"/>
        <w:rPr>
          <w:lang w:val="en-GB"/>
        </w:rPr>
      </w:pPr>
      <w:r w:rsidRPr="00A83EA9">
        <w:rPr>
          <w:i/>
          <w:lang w:val="en-GB"/>
        </w:rPr>
        <w:t>Business Reporting Use</w:t>
      </w:r>
      <w:r>
        <w:rPr>
          <w:i/>
          <w:lang w:val="en-GB"/>
        </w:rPr>
        <w:t xml:space="preserve"> C</w:t>
      </w:r>
      <w:r w:rsidRPr="00A83EA9">
        <w:rPr>
          <w:i/>
          <w:lang w:val="en-GB"/>
        </w:rPr>
        <w:t>ases</w:t>
      </w:r>
      <w:r w:rsidR="00D93EE1">
        <w:rPr>
          <w:rStyle w:val="FootnoteReference"/>
          <w:i/>
          <w:lang w:val="en-GB"/>
        </w:rPr>
        <w:footnoteReference w:id="3"/>
      </w:r>
      <w:r>
        <w:rPr>
          <w:lang w:val="en-GB"/>
        </w:rPr>
        <w:t>, introduces a set of approximately 30 financial reporting use cases collected over a number of years.  That set of 30 business use cases was condensed from many, many different financial reporting use cases examined in order to understand how to model financial information using XBRL.  These business use cases were also used within the USFRTF Patterns Guide which was created in order to help understand how to construct the US GAAP XBRL Taxonomy.</w:t>
      </w:r>
    </w:p>
    <w:p w14:paraId="367544BE" w14:textId="77777777" w:rsidR="006A6E87" w:rsidRDefault="006A6E87" w:rsidP="00F57591">
      <w:pPr>
        <w:pStyle w:val="BodyText"/>
        <w:rPr>
          <w:lang w:val="en-GB"/>
        </w:rPr>
      </w:pPr>
      <w:r>
        <w:rPr>
          <w:lang w:val="en-GB"/>
        </w:rPr>
        <w:t xml:space="preserve">These 30 business use cases were distilled down further, basically to their essence.  This distilled version is referred to here as a </w:t>
      </w:r>
      <w:r w:rsidRPr="00CE0284">
        <w:rPr>
          <w:i/>
          <w:lang w:val="en-GB"/>
        </w:rPr>
        <w:t>Concept Arrangement Patterns</w:t>
      </w:r>
      <w:r>
        <w:rPr>
          <w:lang w:val="en-GB"/>
        </w:rPr>
        <w:t xml:space="preserve"> and </w:t>
      </w:r>
      <w:r w:rsidRPr="00CE0284">
        <w:rPr>
          <w:i/>
          <w:lang w:val="en-GB"/>
        </w:rPr>
        <w:t>Member Arrangement Patterns</w:t>
      </w:r>
      <w:r>
        <w:rPr>
          <w:lang w:val="en-GB"/>
        </w:rPr>
        <w:t>. Basically, every financial reporting use case follows one or a combination of these patterns. While it is hard to say if these patterns will cover 100% of all financial reporting use cases, it is hard to dispute that any of these 9 patterns. If some pattern is deemed missing, that pattern can be added to the inventory of patterns.</w:t>
      </w:r>
    </w:p>
    <w:p w14:paraId="4BDAF9F9" w14:textId="4D5F4C41" w:rsidR="006A6E87" w:rsidRDefault="006A6E87" w:rsidP="00F57591">
      <w:pPr>
        <w:pStyle w:val="BodyText"/>
        <w:rPr>
          <w:lang w:val="en-GB"/>
        </w:rPr>
      </w:pPr>
      <w:r>
        <w:rPr>
          <w:lang w:val="en-GB"/>
        </w:rPr>
        <w:t xml:space="preserve">The US GAAP Taxonomy Architecture refers to these patterns as </w:t>
      </w:r>
      <w:r w:rsidRPr="00A83EA9">
        <w:rPr>
          <w:i/>
          <w:lang w:val="en-GB"/>
        </w:rPr>
        <w:t>compact pattern definitions</w:t>
      </w:r>
      <w:r>
        <w:rPr>
          <w:lang w:val="en-GB"/>
        </w:rPr>
        <w:t xml:space="preserve"> and documents a number of these patterns in what it refers to as style guides.  These style guides were never released publicly but they are referred to in </w:t>
      </w:r>
      <w:r>
        <w:rPr>
          <w:lang w:val="en-GB"/>
        </w:rPr>
        <w:lastRenderedPageBreak/>
        <w:t>the US GAAP Taxonomy Architecture. Everything within the US GAAP Taxonomy fits into one or a combination of these patterns.</w:t>
      </w:r>
    </w:p>
    <w:p w14:paraId="5BFD2E0E" w14:textId="620E5AC3" w:rsidR="00EE0242" w:rsidRDefault="00EE0242" w:rsidP="00EE0242">
      <w:pPr>
        <w:pStyle w:val="Heading2"/>
      </w:pPr>
      <w:r w:rsidRPr="00EE0242">
        <w:t>Results of Analysis of US GAAP Financial Reports</w:t>
      </w:r>
    </w:p>
    <w:p w14:paraId="5BBCDE9A" w14:textId="6FE0B2A9" w:rsidR="00EE0242" w:rsidRDefault="00EE0242" w:rsidP="00EE0242">
      <w:pPr>
        <w:pStyle w:val="BodyText"/>
      </w:pPr>
      <w:r>
        <w:t xml:space="preserve">As explained in the document </w:t>
      </w:r>
      <w:r w:rsidRPr="00EE0242">
        <w:rPr>
          <w:i/>
          <w:iCs/>
        </w:rPr>
        <w:t>Understanding and Leveraging Fact Sets</w:t>
      </w:r>
      <w:r>
        <w:rPr>
          <w:rStyle w:val="FootnoteReference"/>
        </w:rPr>
        <w:footnoteReference w:id="4"/>
      </w:r>
      <w:r>
        <w:t xml:space="preserve"> and the blog post </w:t>
      </w:r>
      <w:bookmarkStart w:id="2" w:name="_Hlk33769267"/>
      <w:r w:rsidRPr="00EE0242">
        <w:rPr>
          <w:i/>
          <w:iCs/>
        </w:rPr>
        <w:t>Breaking Down the Pieces of an XBRL-based Digital Financial Report</w:t>
      </w:r>
      <w:bookmarkEnd w:id="2"/>
      <w:r w:rsidRPr="00EE0242">
        <w:rPr>
          <w:rStyle w:val="FootnoteReference"/>
        </w:rPr>
        <w:footnoteReference w:id="5"/>
      </w:r>
      <w:r>
        <w:t xml:space="preserve"> financial reports are not one big thing; they are lots of little things.</w:t>
      </w:r>
    </w:p>
    <w:p w14:paraId="711E5207" w14:textId="3459EB29" w:rsidR="00EE0242" w:rsidRDefault="00EE0242" w:rsidP="00EE0242">
      <w:pPr>
        <w:pStyle w:val="BodyText"/>
      </w:pPr>
      <w:r>
        <w:t>The analysis of a set of 6,023 XBRL-based financial reports submitted to the SEC by public companies revealed:</w:t>
      </w:r>
    </w:p>
    <w:p w14:paraId="333DBB06" w14:textId="77777777" w:rsidR="00EE0242" w:rsidRDefault="00EE0242" w:rsidP="00EE0242">
      <w:pPr>
        <w:pStyle w:val="BodyText"/>
        <w:numPr>
          <w:ilvl w:val="0"/>
          <w:numId w:val="12"/>
        </w:numPr>
      </w:pPr>
      <w:r>
        <w:t>Total reports: 6,023</w:t>
      </w:r>
    </w:p>
    <w:p w14:paraId="623C9EFB" w14:textId="77777777" w:rsidR="00EE0242" w:rsidRDefault="00EE0242" w:rsidP="00EE0242">
      <w:pPr>
        <w:pStyle w:val="BodyText"/>
        <w:numPr>
          <w:ilvl w:val="0"/>
          <w:numId w:val="12"/>
        </w:numPr>
      </w:pPr>
      <w:r>
        <w:t>Total facts reported: 8,532,275</w:t>
      </w:r>
    </w:p>
    <w:p w14:paraId="4AAC002A" w14:textId="386ED4E2" w:rsidR="00EE0242" w:rsidRDefault="00EE0242" w:rsidP="00EE0242">
      <w:pPr>
        <w:pStyle w:val="BodyText"/>
        <w:numPr>
          <w:ilvl w:val="0"/>
          <w:numId w:val="12"/>
        </w:numPr>
      </w:pPr>
      <w:r>
        <w:t>Average number of facts per report: 1,416</w:t>
      </w:r>
    </w:p>
    <w:p w14:paraId="438F2433" w14:textId="76A19E7C" w:rsidR="00EE0242" w:rsidRDefault="00EE0242" w:rsidP="00EE0242">
      <w:pPr>
        <w:pStyle w:val="BodyText"/>
        <w:numPr>
          <w:ilvl w:val="0"/>
          <w:numId w:val="12"/>
        </w:numPr>
      </w:pPr>
      <w:r>
        <w:t>Total number of networks in all reports: 462,786</w:t>
      </w:r>
    </w:p>
    <w:p w14:paraId="656C834E" w14:textId="024704F2" w:rsidR="00EE0242" w:rsidRDefault="00EE0242" w:rsidP="00EE0242">
      <w:pPr>
        <w:pStyle w:val="BodyText"/>
        <w:numPr>
          <w:ilvl w:val="0"/>
          <w:numId w:val="12"/>
        </w:numPr>
      </w:pPr>
      <w:r>
        <w:t>Average number of networks per report: 77</w:t>
      </w:r>
    </w:p>
    <w:p w14:paraId="0EF62BD1" w14:textId="16DFEA66" w:rsidR="00EE0242" w:rsidRDefault="00EE0242" w:rsidP="00EE0242">
      <w:pPr>
        <w:pStyle w:val="BodyText"/>
        <w:numPr>
          <w:ilvl w:val="0"/>
          <w:numId w:val="12"/>
        </w:numPr>
      </w:pPr>
      <w:r>
        <w:t xml:space="preserve">Total number of </w:t>
      </w:r>
      <w:proofErr w:type="gramStart"/>
      <w:r>
        <w:t>fact</w:t>
      </w:r>
      <w:proofErr w:type="gramEnd"/>
      <w:r>
        <w:t xml:space="preserve"> sets in all reports: </w:t>
      </w:r>
      <w:r w:rsidRPr="00EE0242">
        <w:rPr>
          <w:b/>
          <w:bCs/>
        </w:rPr>
        <w:t>754,430</w:t>
      </w:r>
    </w:p>
    <w:p w14:paraId="14FBBAA8" w14:textId="77CAD457" w:rsidR="00EE0242" w:rsidRDefault="00EE0242" w:rsidP="00EE0242">
      <w:pPr>
        <w:pStyle w:val="BodyText"/>
        <w:numPr>
          <w:ilvl w:val="0"/>
          <w:numId w:val="12"/>
        </w:numPr>
      </w:pPr>
      <w:r>
        <w:t xml:space="preserve">Average number of </w:t>
      </w:r>
      <w:proofErr w:type="gramStart"/>
      <w:r>
        <w:t>fact</w:t>
      </w:r>
      <w:proofErr w:type="gramEnd"/>
      <w:r>
        <w:t xml:space="preserve"> sets per report: 125</w:t>
      </w:r>
    </w:p>
    <w:p w14:paraId="18348EAF" w14:textId="3104040F" w:rsidR="00EE0242" w:rsidRDefault="00EE0242" w:rsidP="00EE0242">
      <w:pPr>
        <w:pStyle w:val="BodyText"/>
        <w:numPr>
          <w:ilvl w:val="0"/>
          <w:numId w:val="12"/>
        </w:numPr>
      </w:pPr>
      <w:r>
        <w:t xml:space="preserve">Average number of </w:t>
      </w:r>
      <w:proofErr w:type="gramStart"/>
      <w:r>
        <w:t>fact</w:t>
      </w:r>
      <w:proofErr w:type="gramEnd"/>
      <w:r>
        <w:t xml:space="preserve"> sets per network: 1.6</w:t>
      </w:r>
    </w:p>
    <w:p w14:paraId="33528646" w14:textId="77777777" w:rsidR="00EE0242" w:rsidRDefault="00EE0242" w:rsidP="00EE0242">
      <w:pPr>
        <w:pStyle w:val="BodyText"/>
        <w:numPr>
          <w:ilvl w:val="0"/>
          <w:numId w:val="12"/>
        </w:numPr>
      </w:pPr>
      <w:r>
        <w:t>Average facts per network: 18</w:t>
      </w:r>
    </w:p>
    <w:p w14:paraId="1B346F44" w14:textId="0E1CF200" w:rsidR="00EE0242" w:rsidRDefault="00EE0242" w:rsidP="00EE0242">
      <w:pPr>
        <w:pStyle w:val="BodyText"/>
        <w:numPr>
          <w:ilvl w:val="0"/>
          <w:numId w:val="12"/>
        </w:numPr>
      </w:pPr>
      <w:r>
        <w:t>Average facts per fact set: 11</w:t>
      </w:r>
    </w:p>
    <w:p w14:paraId="61778008" w14:textId="077CB289" w:rsidR="00EE0242" w:rsidRDefault="00EE0242" w:rsidP="00EE0242">
      <w:pPr>
        <w:pStyle w:val="BodyText"/>
      </w:pPr>
      <w:r>
        <w:t xml:space="preserve">So, the actual average size of the pieces of a report are quite small.  Information is skewed a bit by the relatively large number of Level 1, Level 2, and Level 3 text blocks.  Of the </w:t>
      </w:r>
      <w:r w:rsidRPr="00EE0242">
        <w:rPr>
          <w:b/>
          <w:bCs/>
        </w:rPr>
        <w:t>754,430</w:t>
      </w:r>
      <w:r>
        <w:t xml:space="preserve"> fact sets there are:</w:t>
      </w:r>
    </w:p>
    <w:p w14:paraId="40778BEC" w14:textId="223F7EF1" w:rsidR="00EE0242" w:rsidRDefault="00EE0242" w:rsidP="00EE0242">
      <w:pPr>
        <w:pStyle w:val="BodyText"/>
        <w:numPr>
          <w:ilvl w:val="0"/>
          <w:numId w:val="13"/>
        </w:numPr>
      </w:pPr>
      <w:r w:rsidRPr="00EE0242">
        <w:rPr>
          <w:b/>
          <w:bCs/>
        </w:rPr>
        <w:t xml:space="preserve">Text </w:t>
      </w:r>
      <w:r>
        <w:rPr>
          <w:b/>
          <w:bCs/>
        </w:rPr>
        <w:t>B</w:t>
      </w:r>
      <w:r w:rsidRPr="00EE0242">
        <w:rPr>
          <w:b/>
          <w:bCs/>
        </w:rPr>
        <w:t>locks</w:t>
      </w:r>
      <w:r>
        <w:t>: 407,392 (54%) are text blocks (Level 1 Notes, Level 2 Policies, Level 3 Disclosures)</w:t>
      </w:r>
    </w:p>
    <w:p w14:paraId="453FAE7B" w14:textId="77777777" w:rsidR="00EE0242" w:rsidRDefault="00EE0242" w:rsidP="00EE0242">
      <w:pPr>
        <w:pStyle w:val="BodyText"/>
        <w:numPr>
          <w:ilvl w:val="0"/>
          <w:numId w:val="13"/>
        </w:numPr>
      </w:pPr>
      <w:r w:rsidRPr="00EE0242">
        <w:rPr>
          <w:b/>
          <w:bCs/>
        </w:rPr>
        <w:t>Sets</w:t>
      </w:r>
      <w:r>
        <w:t>: 181,063 (24%) are sets (or hierarchies, no mathematical computations)</w:t>
      </w:r>
    </w:p>
    <w:p w14:paraId="3715850B" w14:textId="03395BFE" w:rsidR="00EE0242" w:rsidRDefault="00EE0242" w:rsidP="00EE0242">
      <w:pPr>
        <w:pStyle w:val="BodyText"/>
        <w:numPr>
          <w:ilvl w:val="0"/>
          <w:numId w:val="13"/>
        </w:numPr>
      </w:pPr>
      <w:r w:rsidRPr="00EE0242">
        <w:rPr>
          <w:b/>
          <w:bCs/>
        </w:rPr>
        <w:t>Roll Ups</w:t>
      </w:r>
      <w:r>
        <w:t>: 120,708 (16%) are roll ups</w:t>
      </w:r>
    </w:p>
    <w:p w14:paraId="4F9DC119" w14:textId="491A7490" w:rsidR="00EE0242" w:rsidRDefault="00EE0242" w:rsidP="00EE0242">
      <w:pPr>
        <w:pStyle w:val="BodyText"/>
        <w:numPr>
          <w:ilvl w:val="0"/>
          <w:numId w:val="13"/>
        </w:numPr>
      </w:pPr>
      <w:r w:rsidRPr="00EE0242">
        <w:rPr>
          <w:b/>
          <w:bCs/>
        </w:rPr>
        <w:t>Roll Forwards</w:t>
      </w:r>
      <w:r>
        <w:t>: 37,721 (5%) are roll forwards</w:t>
      </w:r>
    </w:p>
    <w:p w14:paraId="1340B977" w14:textId="73C36BBF" w:rsidR="00EE0242" w:rsidRDefault="00EE0242" w:rsidP="00EE0242">
      <w:pPr>
        <w:pStyle w:val="BodyText"/>
        <w:numPr>
          <w:ilvl w:val="0"/>
          <w:numId w:val="13"/>
        </w:numPr>
      </w:pPr>
      <w:r>
        <w:t xml:space="preserve">Other (including </w:t>
      </w:r>
      <w:r w:rsidRPr="00EE0242">
        <w:rPr>
          <w:b/>
          <w:bCs/>
        </w:rPr>
        <w:t>Roll Forward Info</w:t>
      </w:r>
      <w:r>
        <w:t xml:space="preserve">, </w:t>
      </w:r>
      <w:r w:rsidRPr="00EE0242">
        <w:rPr>
          <w:b/>
          <w:bCs/>
        </w:rPr>
        <w:t>Adjustment</w:t>
      </w:r>
      <w:r>
        <w:t xml:space="preserve">, </w:t>
      </w:r>
      <w:r w:rsidRPr="00EE0242">
        <w:rPr>
          <w:b/>
          <w:bCs/>
        </w:rPr>
        <w:t>Variance</w:t>
      </w:r>
      <w:r>
        <w:t xml:space="preserve">): 7,546 (1%) are </w:t>
      </w:r>
      <w:r w:rsidR="00D5164E">
        <w:t>R</w:t>
      </w:r>
      <w:r>
        <w:t xml:space="preserve">oll </w:t>
      </w:r>
      <w:r w:rsidR="00D5164E">
        <w:t>F</w:t>
      </w:r>
      <w:r>
        <w:t xml:space="preserve">orward </w:t>
      </w:r>
      <w:proofErr w:type="spellStart"/>
      <w:r w:rsidR="00D5164E">
        <w:t>I</w:t>
      </w:r>
      <w:r>
        <w:t>nfos</w:t>
      </w:r>
      <w:proofErr w:type="spellEnd"/>
      <w:r>
        <w:t xml:space="preserve"> or something else</w:t>
      </w:r>
    </w:p>
    <w:p w14:paraId="66644E57" w14:textId="77575D42" w:rsidR="00EE0242" w:rsidRPr="00EE0242" w:rsidRDefault="00D5164E" w:rsidP="00EE0242">
      <w:pPr>
        <w:pStyle w:val="BodyText"/>
      </w:pPr>
      <w:r>
        <w:t>What is more, which we will get to elsewhere in these documents, each of the concept arrangement patterns can be associated with a specific disclosure.  See these US GAAP disclosures</w:t>
      </w:r>
      <w:r>
        <w:rPr>
          <w:rStyle w:val="FootnoteReference"/>
        </w:rPr>
        <w:footnoteReference w:id="6"/>
      </w:r>
      <w:r>
        <w:t xml:space="preserve"> and these IFRS disclosures</w:t>
      </w:r>
      <w:r>
        <w:rPr>
          <w:rStyle w:val="FootnoteReference"/>
        </w:rPr>
        <w:footnoteReference w:id="7"/>
      </w:r>
      <w:r>
        <w:t>.</w:t>
      </w:r>
    </w:p>
    <w:p w14:paraId="2AB4B434" w14:textId="77777777" w:rsidR="006A6E87" w:rsidRDefault="006A6E87" w:rsidP="00CE0284">
      <w:pPr>
        <w:pStyle w:val="Heading2"/>
      </w:pPr>
      <w:r>
        <w:lastRenderedPageBreak/>
        <w:t>Concept arrangement patterns</w:t>
      </w:r>
    </w:p>
    <w:p w14:paraId="7171F432" w14:textId="6956858C" w:rsidR="006A6E87" w:rsidRDefault="006A6E87" w:rsidP="00F57591">
      <w:pPr>
        <w:pStyle w:val="BodyText"/>
        <w:rPr>
          <w:lang w:val="en-GB"/>
        </w:rPr>
      </w:pPr>
      <w:r>
        <w:rPr>
          <w:lang w:val="en-GB"/>
        </w:rPr>
        <w:t>Remember that a concept arrangement pattern explains how some set of Concepts is represented within a [Line Items]. The following is a summary of the identified financial reporting related concept arrangement patterns</w:t>
      </w:r>
      <w:r>
        <w:rPr>
          <w:rStyle w:val="FootnoteReference"/>
          <w:lang w:val="en-GB"/>
        </w:rPr>
        <w:footnoteReference w:id="8"/>
      </w:r>
      <w:r>
        <w:rPr>
          <w:lang w:val="en-GB"/>
        </w:rPr>
        <w:t>. Another resource for examining actual concept arrangement patterns is the digital financial reporting conformance suite</w:t>
      </w:r>
      <w:r>
        <w:rPr>
          <w:rStyle w:val="FootnoteReference"/>
          <w:lang w:val="en-GB"/>
        </w:rPr>
        <w:footnoteReference w:id="9"/>
      </w:r>
      <w:r>
        <w:rPr>
          <w:lang w:val="en-GB"/>
        </w:rPr>
        <w:t>.</w:t>
      </w:r>
      <w:r w:rsidR="00B50653">
        <w:rPr>
          <w:lang w:val="en-GB"/>
        </w:rPr>
        <w:t xml:space="preserve"> You can use the conformance quite to example each of the XBRL artefacts that describe the business report.  Each of the concept arrangement patterns references human readable information which helps the reader understand the concept arrangement pattern.</w:t>
      </w:r>
    </w:p>
    <w:p w14:paraId="374E2B2B" w14:textId="218BEC3F" w:rsidR="00B94AC8" w:rsidRDefault="00B94AC8" w:rsidP="00F57591">
      <w:pPr>
        <w:pStyle w:val="BodyText"/>
        <w:rPr>
          <w:lang w:val="en-GB"/>
        </w:rPr>
      </w:pPr>
      <w:r>
        <w:rPr>
          <w:lang w:val="en-GB"/>
        </w:rPr>
        <w:t xml:space="preserve">Note that for each of the examples shown below there are multiple software vendors that provide </w:t>
      </w:r>
      <w:r w:rsidR="00ED0F3D">
        <w:rPr>
          <w:lang w:val="en-GB"/>
        </w:rPr>
        <w:t xml:space="preserve">the capability to render the information contained within the concept arrangement patterns.  See the document, </w:t>
      </w:r>
      <w:r w:rsidR="00ED0F3D" w:rsidRPr="00ED0F3D">
        <w:rPr>
          <w:i/>
          <w:iCs/>
          <w:lang w:val="en-GB"/>
        </w:rPr>
        <w:t>Comparison of Renderings for Concept Arrangement Patterns</w:t>
      </w:r>
      <w:r w:rsidR="00ED0F3D">
        <w:rPr>
          <w:rStyle w:val="FootnoteReference"/>
          <w:lang w:val="en-GB"/>
        </w:rPr>
        <w:footnoteReference w:id="10"/>
      </w:r>
      <w:r w:rsidR="00ED0F3D">
        <w:rPr>
          <w:lang w:val="en-GB"/>
        </w:rPr>
        <w:t>, for more information.</w:t>
      </w:r>
    </w:p>
    <w:p w14:paraId="3BB2230B" w14:textId="0079D312" w:rsidR="006A6E87" w:rsidRDefault="006A6E87" w:rsidP="00105371">
      <w:pPr>
        <w:pStyle w:val="Heading2"/>
      </w:pPr>
      <w:bookmarkStart w:id="3" w:name="_Toc418919905"/>
      <w:r>
        <w:t>Set (</w:t>
      </w:r>
      <w:r w:rsidR="002F7CEB">
        <w:t>a.k.a.</w:t>
      </w:r>
      <w:r>
        <w:t xml:space="preserve"> Hierarchy</w:t>
      </w:r>
      <w:bookmarkEnd w:id="3"/>
      <w:r>
        <w:t>)</w:t>
      </w:r>
    </w:p>
    <w:p w14:paraId="3BF720A8" w14:textId="1EC905EE" w:rsidR="006A6E87" w:rsidRDefault="006A6E87" w:rsidP="00F57591">
      <w:pPr>
        <w:pStyle w:val="BodyText"/>
        <w:rPr>
          <w:lang w:val="en-GB"/>
        </w:rPr>
      </w:pPr>
      <w:r>
        <w:rPr>
          <w:lang w:val="en-GB"/>
        </w:rPr>
        <w:t xml:space="preserve">A </w:t>
      </w:r>
      <w:r>
        <w:rPr>
          <w:b/>
          <w:lang w:val="en-GB"/>
        </w:rPr>
        <w:t>set</w:t>
      </w:r>
      <w:r w:rsidR="00D93EE1" w:rsidRPr="00D93EE1">
        <w:rPr>
          <w:rStyle w:val="FootnoteReference"/>
          <w:bCs/>
          <w:lang w:val="en-GB"/>
        </w:rPr>
        <w:footnoteReference w:id="11"/>
      </w:r>
      <w:r>
        <w:rPr>
          <w:lang w:val="en-GB"/>
        </w:rPr>
        <w:t xml:space="preserve"> (hierarchy</w:t>
      </w:r>
      <w:r w:rsidR="00D93EE1">
        <w:rPr>
          <w:rStyle w:val="FootnoteReference"/>
          <w:lang w:val="en-GB"/>
        </w:rPr>
        <w:footnoteReference w:id="12"/>
      </w:r>
      <w:r w:rsidR="00D93EE1">
        <w:rPr>
          <w:lang w:val="en-GB"/>
        </w:rPr>
        <w:t xml:space="preserve"> is a synonym for set</w:t>
      </w:r>
      <w:r>
        <w:rPr>
          <w:lang w:val="en-GB"/>
        </w:rPr>
        <w:t xml:space="preserve">) concept arrangement pattern denotes a hierarchy of concepts with no numeric relations. If no numeric relations exist, then the concept arrangement pattern of the report fragment is a set (hierarchy).  Basically, anything can be represented as a </w:t>
      </w:r>
      <w:r w:rsidR="00B50653">
        <w:rPr>
          <w:lang w:val="en-GB"/>
        </w:rPr>
        <w:t>set</w:t>
      </w:r>
      <w:r>
        <w:rPr>
          <w:lang w:val="en-GB"/>
        </w:rPr>
        <w:t xml:space="preserve">. It is the addition of additional relations, typically mathematical computations, which turns a </w:t>
      </w:r>
      <w:r w:rsidR="00B50653">
        <w:rPr>
          <w:lang w:val="en-GB"/>
        </w:rPr>
        <w:t>set</w:t>
      </w:r>
      <w:r>
        <w:rPr>
          <w:lang w:val="en-GB"/>
        </w:rPr>
        <w:t xml:space="preserve"> into some other concept arrangement pattern.</w:t>
      </w:r>
    </w:p>
    <w:p w14:paraId="12ACA7B3" w14:textId="20F542DF" w:rsidR="006A6E87" w:rsidRDefault="006A6E87" w:rsidP="00F57591">
      <w:pPr>
        <w:pStyle w:val="BodyText"/>
        <w:rPr>
          <w:lang w:val="en-GB"/>
        </w:rPr>
      </w:pPr>
      <w:r>
        <w:rPr>
          <w:lang w:val="en-GB"/>
        </w:rPr>
        <w:t>A set (hierarchy) can be detected because there are no XBRL calculation relations or XBRL Formulas related to mathematical computations.</w:t>
      </w:r>
      <w:r w:rsidR="00D93EE1">
        <w:rPr>
          <w:lang w:val="en-GB"/>
        </w:rPr>
        <w:t xml:space="preserve">  Also, none of the concepts within a set can be a Text Block which is its own unique pattern.</w:t>
      </w:r>
    </w:p>
    <w:p w14:paraId="04AA2944" w14:textId="13BCCCFB" w:rsidR="006A6E87" w:rsidRDefault="006A6E87" w:rsidP="00394532">
      <w:pPr>
        <w:pStyle w:val="BodyText"/>
        <w:jc w:val="center"/>
        <w:rPr>
          <w:lang w:val="en-GB"/>
        </w:rPr>
      </w:pPr>
      <w:r>
        <w:rPr>
          <w:noProof/>
        </w:rPr>
        <w:lastRenderedPageBreak/>
        <w:drawing>
          <wp:inline distT="0" distB="0" distL="0" distR="0" wp14:anchorId="1A307633" wp14:editId="50334750">
            <wp:extent cx="5574183" cy="3506493"/>
            <wp:effectExtent l="0" t="0" r="762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575129" cy="3507088"/>
                    </a:xfrm>
                    <a:prstGeom prst="rect">
                      <a:avLst/>
                    </a:prstGeom>
                  </pic:spPr>
                </pic:pic>
              </a:graphicData>
            </a:graphic>
          </wp:inline>
        </w:drawing>
      </w:r>
    </w:p>
    <w:p w14:paraId="090E8D9D" w14:textId="77777777" w:rsidR="00B50653" w:rsidRDefault="00B50653" w:rsidP="00B50653">
      <w:pPr>
        <w:pStyle w:val="BodyText"/>
        <w:rPr>
          <w:lang w:val="en-GB"/>
        </w:rPr>
      </w:pPr>
      <w:r>
        <w:rPr>
          <w:lang w:val="en-GB"/>
        </w:rPr>
        <w:t>A set is simply some group of concepts that generally has something in common.</w:t>
      </w:r>
    </w:p>
    <w:p w14:paraId="37FF2830" w14:textId="77777777" w:rsidR="006A6E87" w:rsidRDefault="006A6E87" w:rsidP="00105371">
      <w:pPr>
        <w:pStyle w:val="Heading2"/>
      </w:pPr>
      <w:bookmarkStart w:id="4" w:name="_Toc418919906"/>
      <w:r>
        <w:t>Roll up</w:t>
      </w:r>
      <w:bookmarkEnd w:id="4"/>
    </w:p>
    <w:p w14:paraId="52B584D1" w14:textId="3B4DA37B" w:rsidR="006A6E87" w:rsidRDefault="006A6E87" w:rsidP="00F57591">
      <w:pPr>
        <w:pStyle w:val="BodyText"/>
        <w:rPr>
          <w:lang w:val="en-GB"/>
        </w:rPr>
      </w:pPr>
      <w:r>
        <w:rPr>
          <w:lang w:val="en-GB"/>
        </w:rPr>
        <w:t xml:space="preserve">A </w:t>
      </w:r>
      <w:r w:rsidRPr="00970B7F">
        <w:rPr>
          <w:b/>
          <w:lang w:val="en-GB"/>
        </w:rPr>
        <w:t>roll up</w:t>
      </w:r>
      <w:r w:rsidR="00B50653" w:rsidRPr="00B50653">
        <w:rPr>
          <w:rStyle w:val="FootnoteReference"/>
          <w:bCs/>
          <w:lang w:val="en-GB"/>
        </w:rPr>
        <w:footnoteReference w:id="13"/>
      </w:r>
      <w:r>
        <w:rPr>
          <w:lang w:val="en-GB"/>
        </w:rPr>
        <w:t xml:space="preserve"> concept arrangement pattern represents a total, or roll up, and some set of other Concepts that aggregate to that total. This concept arrangement pattern is commonly referred to a “roll up”, or the equation A + B + </w:t>
      </w:r>
      <w:r w:rsidRPr="00394532">
        <w:rPr>
          <w:i/>
          <w:lang w:val="en-GB"/>
        </w:rPr>
        <w:t>n</w:t>
      </w:r>
      <w:r>
        <w:rPr>
          <w:lang w:val="en-GB"/>
        </w:rPr>
        <w:t xml:space="preserve"> = Total</w:t>
      </w:r>
      <w:r w:rsidR="00B50653">
        <w:rPr>
          <w:lang w:val="en-GB"/>
        </w:rPr>
        <w:t xml:space="preserve"> where “</w:t>
      </w:r>
      <w:r w:rsidR="00B50653" w:rsidRPr="00B50653">
        <w:rPr>
          <w:i/>
          <w:iCs/>
          <w:lang w:val="en-GB"/>
        </w:rPr>
        <w:t>n</w:t>
      </w:r>
      <w:r w:rsidR="00B50653">
        <w:rPr>
          <w:lang w:val="en-GB"/>
        </w:rPr>
        <w:t>” can be any number of numeric Concepts</w:t>
      </w:r>
      <w:r>
        <w:rPr>
          <w:lang w:val="en-GB"/>
        </w:rPr>
        <w:t xml:space="preserve">.  All concepts involved in this concept arrangement pattern have the same set of </w:t>
      </w:r>
      <w:r w:rsidR="00B50653">
        <w:rPr>
          <w:lang w:val="en-GB"/>
        </w:rPr>
        <w:t>aspects</w:t>
      </w:r>
      <w:r>
        <w:rPr>
          <w:lang w:val="en-GB"/>
        </w:rPr>
        <w:t xml:space="preserve"> and all must be numeric and of the same period type</w:t>
      </w:r>
      <w:r w:rsidR="00B50653">
        <w:rPr>
          <w:lang w:val="en-GB"/>
        </w:rPr>
        <w:t xml:space="preserve"> and data type</w:t>
      </w:r>
      <w:r>
        <w:rPr>
          <w:lang w:val="en-GB"/>
        </w:rPr>
        <w:t>.</w:t>
      </w:r>
    </w:p>
    <w:p w14:paraId="18B5156D" w14:textId="77777777" w:rsidR="006A6E87" w:rsidRDefault="006A6E87" w:rsidP="00F57591">
      <w:pPr>
        <w:pStyle w:val="BodyText"/>
        <w:jc w:val="center"/>
        <w:rPr>
          <w:lang w:val="en-GB"/>
        </w:rPr>
      </w:pPr>
      <w:r>
        <w:rPr>
          <w:noProof/>
        </w:rPr>
        <w:drawing>
          <wp:inline distT="0" distB="0" distL="0" distR="0" wp14:anchorId="5A439829" wp14:editId="6E313D66">
            <wp:extent cx="5486400" cy="2110154"/>
            <wp:effectExtent l="0" t="0" r="0" b="4445"/>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86400" cy="2110154"/>
                    </a:xfrm>
                    <a:prstGeom prst="rect">
                      <a:avLst/>
                    </a:prstGeom>
                  </pic:spPr>
                </pic:pic>
              </a:graphicData>
            </a:graphic>
          </wp:inline>
        </w:drawing>
      </w:r>
    </w:p>
    <w:p w14:paraId="7603C5B8" w14:textId="6EDA5053" w:rsidR="006A6E87" w:rsidRPr="00970B7F" w:rsidRDefault="006A6E87" w:rsidP="003A6A23">
      <w:pPr>
        <w:pStyle w:val="BodyText"/>
        <w:jc w:val="left"/>
        <w:rPr>
          <w:lang w:val="en-GB"/>
        </w:rPr>
      </w:pPr>
      <w:r>
        <w:rPr>
          <w:lang w:val="en-GB"/>
        </w:rPr>
        <w:lastRenderedPageBreak/>
        <w:t>A roll up concept arrangement pattern is detected by the existence of XBRL calculation relations</w:t>
      </w:r>
      <w:r w:rsidR="00B50653">
        <w:rPr>
          <w:lang w:val="en-GB"/>
        </w:rPr>
        <w:t xml:space="preserve"> that are used to represent the roll up mathematical relations</w:t>
      </w:r>
      <w:r>
        <w:rPr>
          <w:lang w:val="en-GB"/>
        </w:rPr>
        <w:t>.</w:t>
      </w:r>
      <w:r w:rsidR="00B50653">
        <w:rPr>
          <w:lang w:val="en-GB"/>
        </w:rPr>
        <w:t xml:space="preserve">  Alternatively, XBRL Formula could have been used to represent the mathematical relations.</w:t>
      </w:r>
      <w:r w:rsidR="00250C19">
        <w:rPr>
          <w:lang w:val="en-GB"/>
        </w:rPr>
        <w:t xml:space="preserve">  Note that a roll up can have other roll ups (subtotals) nested within one another.</w:t>
      </w:r>
    </w:p>
    <w:p w14:paraId="09C51CDB" w14:textId="77777777" w:rsidR="006A6E87" w:rsidRDefault="006A6E87" w:rsidP="00105371">
      <w:pPr>
        <w:pStyle w:val="Heading2"/>
      </w:pPr>
      <w:bookmarkStart w:id="5" w:name="_Toc418919907"/>
      <w:r>
        <w:t>Roll forward</w:t>
      </w:r>
      <w:bookmarkEnd w:id="5"/>
    </w:p>
    <w:p w14:paraId="69F0BE85" w14:textId="41EBB139" w:rsidR="006A6E87" w:rsidRDefault="006A6E87" w:rsidP="00F57591">
      <w:pPr>
        <w:pStyle w:val="BodyText"/>
        <w:rPr>
          <w:lang w:val="en-GB"/>
        </w:rPr>
      </w:pPr>
      <w:r>
        <w:rPr>
          <w:lang w:val="en-GB"/>
        </w:rPr>
        <w:t xml:space="preserve">A </w:t>
      </w:r>
      <w:r w:rsidRPr="00970B7F">
        <w:rPr>
          <w:b/>
          <w:lang w:val="en-GB"/>
        </w:rPr>
        <w:t>roll forward</w:t>
      </w:r>
      <w:r w:rsidR="00B50653" w:rsidRPr="00B50653">
        <w:rPr>
          <w:rStyle w:val="FootnoteReference"/>
          <w:bCs/>
          <w:lang w:val="en-GB"/>
        </w:rPr>
        <w:footnoteReference w:id="14"/>
      </w:r>
      <w:r>
        <w:rPr>
          <w:lang w:val="en-GB"/>
        </w:rPr>
        <w:t xml:space="preserve"> concept arrangement pattern reconciles the balance of a concept between two points in time. This concept arrangement pattern is commonly referred to </w:t>
      </w:r>
      <w:r w:rsidR="00250C19">
        <w:rPr>
          <w:lang w:val="en-GB"/>
        </w:rPr>
        <w:t xml:space="preserve">as </w:t>
      </w:r>
      <w:r>
        <w:rPr>
          <w:lang w:val="en-GB"/>
        </w:rPr>
        <w:t xml:space="preserve">a “roll forward” or “movement analysis” </w:t>
      </w:r>
      <w:r w:rsidR="00250C19">
        <w:rPr>
          <w:lang w:val="en-GB"/>
        </w:rPr>
        <w:t xml:space="preserve">or “reconciliation” </w:t>
      </w:r>
      <w:r>
        <w:rPr>
          <w:lang w:val="en-GB"/>
        </w:rPr>
        <w:t>or the equation: beginning balance + additions – subtractions = ending balance. In this equation the Period [Axis] is as of two different points in time and the changes (additions/subtractions) occur during the period between those two points in time.</w:t>
      </w:r>
    </w:p>
    <w:p w14:paraId="53C9E0A9" w14:textId="77777777" w:rsidR="006A6E87" w:rsidRDefault="006A6E87" w:rsidP="00F57591">
      <w:pPr>
        <w:pStyle w:val="BodyText"/>
        <w:jc w:val="center"/>
        <w:rPr>
          <w:lang w:val="en-GB"/>
        </w:rPr>
      </w:pPr>
      <w:r>
        <w:rPr>
          <w:noProof/>
        </w:rPr>
        <w:drawing>
          <wp:inline distT="0" distB="0" distL="0" distR="0" wp14:anchorId="720D7075" wp14:editId="08A022D5">
            <wp:extent cx="5530291" cy="2905778"/>
            <wp:effectExtent l="0" t="0" r="0" b="889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531304" cy="2906310"/>
                    </a:xfrm>
                    <a:prstGeom prst="rect">
                      <a:avLst/>
                    </a:prstGeom>
                  </pic:spPr>
                </pic:pic>
              </a:graphicData>
            </a:graphic>
          </wp:inline>
        </w:drawing>
      </w:r>
    </w:p>
    <w:p w14:paraId="02BCA643" w14:textId="4848695A" w:rsidR="006A6E87" w:rsidRDefault="006A6E87" w:rsidP="003A6A23">
      <w:pPr>
        <w:pStyle w:val="BodyText"/>
        <w:jc w:val="left"/>
        <w:rPr>
          <w:lang w:val="en-GB"/>
        </w:rPr>
      </w:pPr>
      <w:r>
        <w:rPr>
          <w:lang w:val="en-GB"/>
        </w:rPr>
        <w:t xml:space="preserve">A roll forward can be detected because (a) it always has in instant as the first and last concept in the presentation relations, (b) the first instant has a </w:t>
      </w:r>
      <w:proofErr w:type="spellStart"/>
      <w:r>
        <w:rPr>
          <w:lang w:val="en-GB"/>
        </w:rPr>
        <w:t>periodStart</w:t>
      </w:r>
      <w:proofErr w:type="spellEnd"/>
      <w:r>
        <w:rPr>
          <w:lang w:val="en-GB"/>
        </w:rPr>
        <w:t xml:space="preserve"> label role, (c) the second instant concept is the same as the first and has the </w:t>
      </w:r>
      <w:proofErr w:type="spellStart"/>
      <w:r>
        <w:rPr>
          <w:lang w:val="en-GB"/>
        </w:rPr>
        <w:t>periodEnd</w:t>
      </w:r>
      <w:proofErr w:type="spellEnd"/>
      <w:r>
        <w:rPr>
          <w:lang w:val="en-GB"/>
        </w:rPr>
        <w:t xml:space="preserve"> label, and (d) XBRL Formulas exist the represent the roll forward mathematical relation.</w:t>
      </w:r>
    </w:p>
    <w:p w14:paraId="1CFE7C70" w14:textId="2F508763" w:rsidR="00250C19" w:rsidRDefault="00250C19" w:rsidP="003A6A23">
      <w:pPr>
        <w:pStyle w:val="BodyText"/>
        <w:jc w:val="left"/>
        <w:rPr>
          <w:lang w:val="en-GB"/>
        </w:rPr>
      </w:pPr>
      <w:r>
        <w:rPr>
          <w:lang w:val="en-GB"/>
        </w:rPr>
        <w:t>Another form of expressing the relationship is: Instant</w:t>
      </w:r>
      <w:r w:rsidRPr="00250C19">
        <w:rPr>
          <w:vertAlign w:val="superscript"/>
          <w:lang w:val="en-GB"/>
        </w:rPr>
        <w:t>T1</w:t>
      </w:r>
      <w:r>
        <w:rPr>
          <w:lang w:val="en-GB"/>
        </w:rPr>
        <w:t xml:space="preserve"> = Instant</w:t>
      </w:r>
      <w:r w:rsidRPr="00250C19">
        <w:rPr>
          <w:vertAlign w:val="superscript"/>
          <w:lang w:val="en-GB"/>
        </w:rPr>
        <w:t>T0</w:t>
      </w:r>
      <w:r>
        <w:rPr>
          <w:lang w:val="en-GB"/>
        </w:rPr>
        <w:t xml:space="preserve"> + Changes</w:t>
      </w:r>
      <w:r w:rsidRPr="00250C19">
        <w:rPr>
          <w:vertAlign w:val="superscript"/>
          <w:lang w:val="en-GB"/>
        </w:rPr>
        <w:t>P1</w:t>
      </w:r>
      <w:r>
        <w:rPr>
          <w:lang w:val="en-GB"/>
        </w:rPr>
        <w:t xml:space="preserve"> where T0 is the balance at time 0, P1 are changes during some period, and T1 is the balance at time 1.  Another way to understand the roll forward is to use the notion of stocks and flows</w:t>
      </w:r>
      <w:r>
        <w:rPr>
          <w:rStyle w:val="FootnoteReference"/>
          <w:lang w:val="en-GB"/>
        </w:rPr>
        <w:footnoteReference w:id="15"/>
      </w:r>
      <w:r>
        <w:rPr>
          <w:lang w:val="en-GB"/>
        </w:rPr>
        <w:t>.  Stocks are accumulations.  Flows change the accumulation.</w:t>
      </w:r>
    </w:p>
    <w:p w14:paraId="1A431D47" w14:textId="77777777" w:rsidR="006A6E87" w:rsidRDefault="006A6E87" w:rsidP="00105371">
      <w:pPr>
        <w:pStyle w:val="Heading2"/>
      </w:pPr>
      <w:r>
        <w:lastRenderedPageBreak/>
        <w:t>Roll forward info</w:t>
      </w:r>
    </w:p>
    <w:p w14:paraId="1BC6E478" w14:textId="7671693B" w:rsidR="006A6E87" w:rsidRDefault="006A6E87" w:rsidP="00296F32">
      <w:pPr>
        <w:pStyle w:val="BodyText"/>
        <w:rPr>
          <w:lang w:val="en-GB"/>
        </w:rPr>
      </w:pPr>
      <w:r>
        <w:rPr>
          <w:lang w:val="en-GB"/>
        </w:rPr>
        <w:t xml:space="preserve">A </w:t>
      </w:r>
      <w:r w:rsidRPr="00970B7F">
        <w:rPr>
          <w:b/>
          <w:lang w:val="en-GB"/>
        </w:rPr>
        <w:t>roll forwar</w:t>
      </w:r>
      <w:r>
        <w:rPr>
          <w:b/>
          <w:lang w:val="en-GB"/>
        </w:rPr>
        <w:t>d info</w:t>
      </w:r>
      <w:r w:rsidR="00250C19" w:rsidRPr="006977C9">
        <w:rPr>
          <w:rStyle w:val="FootnoteReference"/>
          <w:bCs/>
          <w:lang w:val="en-GB"/>
        </w:rPr>
        <w:footnoteReference w:id="16"/>
      </w:r>
      <w:r w:rsidRPr="006977C9">
        <w:rPr>
          <w:bCs/>
          <w:lang w:val="en-GB"/>
        </w:rPr>
        <w:t xml:space="preserve"> </w:t>
      </w:r>
      <w:r>
        <w:rPr>
          <w:lang w:val="en-GB"/>
        </w:rPr>
        <w:t xml:space="preserve">concept arrangement pattern looks </w:t>
      </w:r>
      <w:r w:rsidR="006977C9">
        <w:rPr>
          <w:lang w:val="en-GB"/>
        </w:rPr>
        <w:t xml:space="preserve">somewhat </w:t>
      </w:r>
      <w:r>
        <w:rPr>
          <w:lang w:val="en-GB"/>
        </w:rPr>
        <w:t>like a roll forward</w:t>
      </w:r>
      <w:r w:rsidR="006977C9">
        <w:rPr>
          <w:lang w:val="en-GB"/>
        </w:rPr>
        <w:t xml:space="preserve"> visually</w:t>
      </w:r>
      <w:r>
        <w:rPr>
          <w:lang w:val="en-GB"/>
        </w:rPr>
        <w:t xml:space="preserve">, but is not really a roll forward.  While a roll forward reconciles the balance of a concept between two points in time; the roll forward info is really just a </w:t>
      </w:r>
      <w:r w:rsidR="006977C9">
        <w:rPr>
          <w:lang w:val="en-GB"/>
        </w:rPr>
        <w:t>set</w:t>
      </w:r>
      <w:r>
        <w:rPr>
          <w:lang w:val="en-GB"/>
        </w:rPr>
        <w:t xml:space="preserve"> which shows a beginning and ending balance</w:t>
      </w:r>
      <w:r w:rsidR="006977C9">
        <w:rPr>
          <w:lang w:val="en-GB"/>
        </w:rPr>
        <w:t xml:space="preserve"> and other information that is generally about some roll forward</w:t>
      </w:r>
      <w:r>
        <w:rPr>
          <w:lang w:val="en-GB"/>
        </w:rPr>
        <w:t>. A roll forward info concept arrangement pattern is generally shown with a roll forward.</w:t>
      </w:r>
    </w:p>
    <w:p w14:paraId="38379880" w14:textId="77777777" w:rsidR="006A6E87" w:rsidRDefault="006A6E87" w:rsidP="00F57591">
      <w:pPr>
        <w:pStyle w:val="BodyText"/>
        <w:jc w:val="center"/>
        <w:rPr>
          <w:lang w:val="en-GB"/>
        </w:rPr>
      </w:pPr>
      <w:r>
        <w:rPr>
          <w:noProof/>
        </w:rPr>
        <w:drawing>
          <wp:inline distT="0" distB="0" distL="0" distR="0" wp14:anchorId="0264EF45" wp14:editId="753BCBC8">
            <wp:extent cx="5537607" cy="2914069"/>
            <wp:effectExtent l="0" t="0" r="6350" b="635"/>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546136" cy="2918557"/>
                    </a:xfrm>
                    <a:prstGeom prst="rect">
                      <a:avLst/>
                    </a:prstGeom>
                  </pic:spPr>
                </pic:pic>
              </a:graphicData>
            </a:graphic>
          </wp:inline>
        </w:drawing>
      </w:r>
    </w:p>
    <w:p w14:paraId="47E23639" w14:textId="335E25B1" w:rsidR="006A6E87" w:rsidRPr="00970B7F" w:rsidRDefault="006A6E87" w:rsidP="003A6A23">
      <w:pPr>
        <w:pStyle w:val="BodyText"/>
        <w:jc w:val="left"/>
        <w:rPr>
          <w:lang w:val="en-GB"/>
        </w:rPr>
      </w:pPr>
      <w:r>
        <w:rPr>
          <w:lang w:val="en-GB"/>
        </w:rPr>
        <w:t xml:space="preserve">A roll forward info pattern can be detected because (a) the first concept has a </w:t>
      </w:r>
      <w:proofErr w:type="spellStart"/>
      <w:r>
        <w:rPr>
          <w:lang w:val="en-GB"/>
        </w:rPr>
        <w:t>periodStart</w:t>
      </w:r>
      <w:proofErr w:type="spellEnd"/>
      <w:r>
        <w:rPr>
          <w:lang w:val="en-GB"/>
        </w:rPr>
        <w:t xml:space="preserve"> label, (b) the last concept in the presentation relations has a </w:t>
      </w:r>
      <w:proofErr w:type="spellStart"/>
      <w:r>
        <w:rPr>
          <w:lang w:val="en-GB"/>
        </w:rPr>
        <w:t>periodEnd</w:t>
      </w:r>
      <w:proofErr w:type="spellEnd"/>
      <w:r>
        <w:rPr>
          <w:lang w:val="en-GB"/>
        </w:rPr>
        <w:t xml:space="preserve"> label.</w:t>
      </w:r>
      <w:r w:rsidR="006977C9">
        <w:rPr>
          <w:lang w:val="en-GB"/>
        </w:rPr>
        <w:t xml:space="preserve">  A roll forward info is numbers that describe other numbers.</w:t>
      </w:r>
    </w:p>
    <w:p w14:paraId="4C470CBC" w14:textId="77777777" w:rsidR="006A6E87" w:rsidRDefault="006A6E87" w:rsidP="00105371">
      <w:pPr>
        <w:pStyle w:val="Heading2"/>
      </w:pPr>
      <w:bookmarkStart w:id="6" w:name="_Toc418919908"/>
      <w:r>
        <w:t>Adjustment</w:t>
      </w:r>
      <w:bookmarkEnd w:id="6"/>
    </w:p>
    <w:p w14:paraId="3CFA2352" w14:textId="77777777" w:rsidR="006977C9" w:rsidRDefault="006A6E87" w:rsidP="00F57591">
      <w:pPr>
        <w:pStyle w:val="BodyText"/>
        <w:rPr>
          <w:lang w:val="en-GB"/>
        </w:rPr>
      </w:pPr>
      <w:r>
        <w:rPr>
          <w:lang w:val="en-GB"/>
        </w:rPr>
        <w:t xml:space="preserve">An </w:t>
      </w:r>
      <w:r w:rsidRPr="00970B7F">
        <w:rPr>
          <w:b/>
          <w:lang w:val="en-GB"/>
        </w:rPr>
        <w:t>adjustment</w:t>
      </w:r>
      <w:r w:rsidR="006977C9" w:rsidRPr="006977C9">
        <w:rPr>
          <w:rStyle w:val="FootnoteReference"/>
          <w:bCs/>
          <w:lang w:val="en-GB"/>
        </w:rPr>
        <w:footnoteReference w:id="17"/>
      </w:r>
      <w:r w:rsidRPr="006977C9">
        <w:rPr>
          <w:bCs/>
          <w:lang w:val="en-GB"/>
        </w:rPr>
        <w:t xml:space="preserve"> </w:t>
      </w:r>
      <w:r>
        <w:rPr>
          <w:lang w:val="en-GB"/>
        </w:rPr>
        <w:t xml:space="preserve">concept arrangement pattern reconciles an originally stated balance to a restated balance, the adjustment being the total change, between two different report dates.  </w:t>
      </w:r>
    </w:p>
    <w:p w14:paraId="5CC074F1" w14:textId="40D81714" w:rsidR="006A6E87" w:rsidRDefault="006A6E87" w:rsidP="00F57591">
      <w:pPr>
        <w:pStyle w:val="BodyText"/>
        <w:rPr>
          <w:lang w:val="en-GB"/>
        </w:rPr>
      </w:pPr>
      <w:r>
        <w:rPr>
          <w:lang w:val="en-GB"/>
        </w:rPr>
        <w:t>An adjustment is similar to a roll forward in that it is a reconciliation, however rather than the p</w:t>
      </w:r>
      <w:r w:rsidRPr="00272DCD">
        <w:rPr>
          <w:lang w:val="en-GB"/>
        </w:rPr>
        <w:t>eriod [Axis]</w:t>
      </w:r>
      <w:r>
        <w:rPr>
          <w:lang w:val="en-GB"/>
        </w:rPr>
        <w:t xml:space="preserve"> changing; it is the </w:t>
      </w:r>
      <w:r w:rsidRPr="00272DCD">
        <w:rPr>
          <w:i/>
          <w:lang w:val="en-GB"/>
        </w:rPr>
        <w:t>Report Date [Axis]</w:t>
      </w:r>
      <w:r>
        <w:rPr>
          <w:lang w:val="en-GB"/>
        </w:rPr>
        <w:t xml:space="preserve"> which changes: originally reported balance + adjustment = restated balance.</w:t>
      </w:r>
    </w:p>
    <w:p w14:paraId="5E5329ED" w14:textId="65964D42" w:rsidR="006A6E87" w:rsidRDefault="006977C9" w:rsidP="00F57591">
      <w:pPr>
        <w:pStyle w:val="BodyText"/>
        <w:jc w:val="center"/>
        <w:rPr>
          <w:lang w:val="en-GB"/>
        </w:rPr>
      </w:pPr>
      <w:r>
        <w:rPr>
          <w:noProof/>
        </w:rPr>
        <w:lastRenderedPageBreak/>
        <w:drawing>
          <wp:inline distT="0" distB="0" distL="0" distR="0" wp14:anchorId="521EB9D0" wp14:editId="6A7C0909">
            <wp:extent cx="5486400" cy="21577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86400" cy="2157730"/>
                    </a:xfrm>
                    <a:prstGeom prst="rect">
                      <a:avLst/>
                    </a:prstGeom>
                  </pic:spPr>
                </pic:pic>
              </a:graphicData>
            </a:graphic>
          </wp:inline>
        </w:drawing>
      </w:r>
    </w:p>
    <w:p w14:paraId="366E6D30" w14:textId="77777777" w:rsidR="006C2254" w:rsidRDefault="006A6E87" w:rsidP="003A6A23">
      <w:pPr>
        <w:pStyle w:val="BodyText"/>
        <w:jc w:val="left"/>
        <w:rPr>
          <w:lang w:val="en-GB"/>
        </w:rPr>
      </w:pPr>
      <w:r>
        <w:rPr>
          <w:lang w:val="en-GB"/>
        </w:rPr>
        <w:t xml:space="preserve">An adjustment always has a Report Date [Axis] that is generally specific to the profile </w:t>
      </w:r>
      <w:r w:rsidR="006977C9">
        <w:rPr>
          <w:lang w:val="en-GB"/>
        </w:rPr>
        <w:t xml:space="preserve">used by </w:t>
      </w:r>
      <w:r>
        <w:rPr>
          <w:lang w:val="en-GB"/>
        </w:rPr>
        <w:t>the XBRL instance</w:t>
      </w:r>
      <w:r w:rsidR="006977C9">
        <w:rPr>
          <w:lang w:val="en-GB"/>
        </w:rPr>
        <w:t xml:space="preserve"> (because XBRL International does not provide this standard dimension)</w:t>
      </w:r>
      <w:r>
        <w:rPr>
          <w:lang w:val="en-GB"/>
        </w:rPr>
        <w:t xml:space="preserve">, the first concept in the presentation relations is an instant and uses the </w:t>
      </w:r>
      <w:proofErr w:type="spellStart"/>
      <w:r>
        <w:rPr>
          <w:lang w:val="en-GB"/>
        </w:rPr>
        <w:t>origionallyStated</w:t>
      </w:r>
      <w:proofErr w:type="spellEnd"/>
      <w:r>
        <w:rPr>
          <w:lang w:val="en-GB"/>
        </w:rPr>
        <w:t xml:space="preserve"> label role appropriate for the profile</w:t>
      </w:r>
      <w:r w:rsidR="006C2254">
        <w:rPr>
          <w:lang w:val="en-GB"/>
        </w:rPr>
        <w:t xml:space="preserve"> (because XBRL international does not provide this as a standard label role)</w:t>
      </w:r>
      <w:r>
        <w:rPr>
          <w:lang w:val="en-GB"/>
        </w:rPr>
        <w:t>, the last concept in the presentation relations is an instant and uses the restated label role (which is published by XBRL International)</w:t>
      </w:r>
      <w:r w:rsidR="006C2254" w:rsidRPr="006C2254">
        <w:rPr>
          <w:rStyle w:val="FootnoteReference"/>
          <w:lang w:val="en-GB"/>
        </w:rPr>
        <w:t xml:space="preserve"> </w:t>
      </w:r>
      <w:r w:rsidR="006C2254">
        <w:rPr>
          <w:rStyle w:val="FootnoteReference"/>
          <w:lang w:val="en-GB"/>
        </w:rPr>
        <w:footnoteReference w:id="18"/>
      </w:r>
      <w:r>
        <w:rPr>
          <w:lang w:val="en-GB"/>
        </w:rPr>
        <w:t xml:space="preserve">.  </w:t>
      </w:r>
      <w:r w:rsidR="006C2254">
        <w:rPr>
          <w:lang w:val="en-GB"/>
        </w:rPr>
        <w:t xml:space="preserve">Between the originally stated and restated concepts are the adjustments.  </w:t>
      </w:r>
    </w:p>
    <w:p w14:paraId="377C43E9" w14:textId="64449754" w:rsidR="006A6E87" w:rsidRPr="00970B7F" w:rsidRDefault="006A6E87" w:rsidP="003A6A23">
      <w:pPr>
        <w:pStyle w:val="BodyText"/>
        <w:jc w:val="left"/>
        <w:rPr>
          <w:lang w:val="en-GB"/>
        </w:rPr>
      </w:pPr>
      <w:r>
        <w:rPr>
          <w:lang w:val="en-GB"/>
        </w:rPr>
        <w:t xml:space="preserve">Concepts for </w:t>
      </w:r>
      <w:r w:rsidRPr="00CB4926">
        <w:rPr>
          <w:lang w:val="en-GB"/>
        </w:rPr>
        <w:t>Report Creation Date [Axis]</w:t>
      </w:r>
      <w:r>
        <w:rPr>
          <w:lang w:val="en-GB"/>
        </w:rPr>
        <w:t xml:space="preserve">: </w:t>
      </w:r>
      <w:proofErr w:type="spellStart"/>
      <w:r w:rsidRPr="00CB4926">
        <w:rPr>
          <w:lang w:val="en-GB"/>
        </w:rPr>
        <w:t>us-</w:t>
      </w:r>
      <w:proofErr w:type="gramStart"/>
      <w:r w:rsidRPr="00CB4926">
        <w:rPr>
          <w:lang w:val="en-GB"/>
        </w:rPr>
        <w:t>gaap:CreationDateAxis</w:t>
      </w:r>
      <w:proofErr w:type="spellEnd"/>
      <w:proofErr w:type="gramEnd"/>
      <w:r>
        <w:rPr>
          <w:lang w:val="en-GB"/>
        </w:rPr>
        <w:t xml:space="preserve">, </w:t>
      </w:r>
      <w:proofErr w:type="spellStart"/>
      <w:r w:rsidRPr="00CB4926">
        <w:rPr>
          <w:lang w:val="en-GB"/>
        </w:rPr>
        <w:t>ifrs-full:CreationDateAxis</w:t>
      </w:r>
      <w:proofErr w:type="spellEnd"/>
      <w:r>
        <w:rPr>
          <w:lang w:val="en-GB"/>
        </w:rPr>
        <w:t xml:space="preserve">, </w:t>
      </w:r>
      <w:proofErr w:type="spellStart"/>
      <w:r w:rsidRPr="00CB4926">
        <w:rPr>
          <w:lang w:val="en-GB"/>
        </w:rPr>
        <w:t>frm:ReportDateAxis</w:t>
      </w:r>
      <w:proofErr w:type="spellEnd"/>
      <w:r>
        <w:rPr>
          <w:lang w:val="en-GB"/>
        </w:rPr>
        <w:t>.</w:t>
      </w:r>
    </w:p>
    <w:p w14:paraId="3546212E" w14:textId="77777777" w:rsidR="006A6E87" w:rsidRDefault="006A6E87" w:rsidP="00105371">
      <w:pPr>
        <w:pStyle w:val="Heading2"/>
      </w:pPr>
      <w:bookmarkStart w:id="7" w:name="_Toc418919909"/>
      <w:r>
        <w:t>Variance</w:t>
      </w:r>
      <w:bookmarkEnd w:id="7"/>
    </w:p>
    <w:p w14:paraId="5E73ABE3" w14:textId="71B7CF03" w:rsidR="006A6E87" w:rsidRDefault="006A6E87" w:rsidP="00F57591">
      <w:pPr>
        <w:pStyle w:val="BodyText"/>
        <w:rPr>
          <w:lang w:val="en-GB"/>
        </w:rPr>
      </w:pPr>
      <w:r>
        <w:rPr>
          <w:lang w:val="en-GB"/>
        </w:rPr>
        <w:t xml:space="preserve">A </w:t>
      </w:r>
      <w:r w:rsidRPr="00970B7F">
        <w:rPr>
          <w:b/>
          <w:lang w:val="en-GB"/>
        </w:rPr>
        <w:t>variance</w:t>
      </w:r>
      <w:r w:rsidR="006C2254" w:rsidRPr="006C2254">
        <w:rPr>
          <w:rStyle w:val="FootnoteReference"/>
          <w:bCs/>
          <w:lang w:val="en-GB"/>
        </w:rPr>
        <w:footnoteReference w:id="19"/>
      </w:r>
      <w:r>
        <w:rPr>
          <w:lang w:val="en-GB"/>
        </w:rPr>
        <w:t xml:space="preserve"> concept arrangement pattern reconciles some reporting scenario with </w:t>
      </w:r>
      <w:r w:rsidR="006C2254">
        <w:rPr>
          <w:lang w:val="en-GB"/>
        </w:rPr>
        <w:t xml:space="preserve">some other </w:t>
      </w:r>
      <w:r>
        <w:rPr>
          <w:lang w:val="en-GB"/>
        </w:rPr>
        <w:t>reporting scenario, the variance between reporting scenarios being the variance or changes.  For example, an analysis which reconciles the concept sales for the reporting scenarios of actual and budgeted is a variance.  The equation is: actual – budget = variance. Note that the actual member is represented as the dimension default because the actual would tie to the income statement</w:t>
      </w:r>
      <w:r w:rsidR="006C2254">
        <w:rPr>
          <w:lang w:val="en-GB"/>
        </w:rPr>
        <w:t xml:space="preserve"> in this case</w:t>
      </w:r>
      <w:r>
        <w:rPr>
          <w:lang w:val="en-GB"/>
        </w:rPr>
        <w:t>.</w:t>
      </w:r>
    </w:p>
    <w:p w14:paraId="16961CED" w14:textId="218047F2" w:rsidR="006A6E87" w:rsidRDefault="006C2254" w:rsidP="00F57591">
      <w:pPr>
        <w:pStyle w:val="BodyText"/>
        <w:jc w:val="center"/>
        <w:rPr>
          <w:lang w:val="en-GB"/>
        </w:rPr>
      </w:pPr>
      <w:r>
        <w:rPr>
          <w:noProof/>
        </w:rPr>
        <w:drawing>
          <wp:inline distT="0" distB="0" distL="0" distR="0" wp14:anchorId="5154C40A" wp14:editId="3CC7C769">
            <wp:extent cx="5486400" cy="21101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86400" cy="2110105"/>
                    </a:xfrm>
                    <a:prstGeom prst="rect">
                      <a:avLst/>
                    </a:prstGeom>
                  </pic:spPr>
                </pic:pic>
              </a:graphicData>
            </a:graphic>
          </wp:inline>
        </w:drawing>
      </w:r>
    </w:p>
    <w:p w14:paraId="17E0746F" w14:textId="5A179588" w:rsidR="006A6E87" w:rsidRDefault="006A6E87" w:rsidP="00841E5F">
      <w:pPr>
        <w:pStyle w:val="BodyText"/>
        <w:jc w:val="left"/>
        <w:rPr>
          <w:lang w:val="en-GB"/>
        </w:rPr>
      </w:pPr>
      <w:r>
        <w:rPr>
          <w:lang w:val="en-GB"/>
        </w:rPr>
        <w:lastRenderedPageBreak/>
        <w:t>A variance can be a specialization of other concept arrangement patterns such as a [</w:t>
      </w:r>
      <w:r w:rsidR="002F7CEB">
        <w:rPr>
          <w:lang w:val="en-GB"/>
        </w:rPr>
        <w:t>Hierarchy</w:t>
      </w:r>
      <w:r>
        <w:rPr>
          <w:lang w:val="en-GB"/>
        </w:rPr>
        <w:t>] as shown above, a [Roll Up] if the [Line Items] rolled up, or even a [Roll Forward].</w:t>
      </w:r>
    </w:p>
    <w:p w14:paraId="18DF92FB" w14:textId="77777777" w:rsidR="006A6E87" w:rsidRPr="00970B7F" w:rsidRDefault="006A6E87" w:rsidP="00841E5F">
      <w:pPr>
        <w:pStyle w:val="BodyText"/>
        <w:jc w:val="left"/>
        <w:rPr>
          <w:lang w:val="en-GB"/>
        </w:rPr>
      </w:pPr>
      <w:r>
        <w:rPr>
          <w:lang w:val="en-GB"/>
        </w:rPr>
        <w:t>A variance can always be discovered because it uses the Reporting Scenario [Axis] that is related to the reporting profile.</w:t>
      </w:r>
      <w:r w:rsidRPr="00CB4926">
        <w:t xml:space="preserve"> </w:t>
      </w:r>
      <w:r>
        <w:t xml:space="preserve"> Concepts for </w:t>
      </w:r>
      <w:r w:rsidRPr="00CB4926">
        <w:rPr>
          <w:lang w:val="en-GB"/>
        </w:rPr>
        <w:t>Reporting Scenario [Axis]</w:t>
      </w:r>
      <w:r>
        <w:rPr>
          <w:lang w:val="en-GB"/>
        </w:rPr>
        <w:t>:</w:t>
      </w:r>
      <w:proofErr w:type="spellStart"/>
      <w:r>
        <w:rPr>
          <w:lang w:val="en-GB"/>
        </w:rPr>
        <w:t>us-</w:t>
      </w:r>
      <w:proofErr w:type="gramStart"/>
      <w:r>
        <w:rPr>
          <w:lang w:val="en-GB"/>
        </w:rPr>
        <w:t>gaap:StatementScenarioAxis</w:t>
      </w:r>
      <w:proofErr w:type="spellEnd"/>
      <w:proofErr w:type="gramEnd"/>
      <w:r>
        <w:rPr>
          <w:lang w:val="en-GB"/>
        </w:rPr>
        <w:t xml:space="preserve">, </w:t>
      </w:r>
      <w:proofErr w:type="spellStart"/>
      <w:r w:rsidRPr="00CB4926">
        <w:rPr>
          <w:lang w:val="en-GB"/>
        </w:rPr>
        <w:t>frm:ReportingScenarioAxis</w:t>
      </w:r>
      <w:proofErr w:type="spellEnd"/>
      <w:r>
        <w:rPr>
          <w:lang w:val="en-GB"/>
        </w:rPr>
        <w:t>. (Seems missing from IFRS).</w:t>
      </w:r>
    </w:p>
    <w:p w14:paraId="541653B1" w14:textId="7BDE080A" w:rsidR="006A6E87" w:rsidRDefault="002F7CEB" w:rsidP="00105371">
      <w:pPr>
        <w:pStyle w:val="Heading2"/>
      </w:pPr>
      <w:bookmarkStart w:id="8" w:name="_Toc418919910"/>
      <w:r>
        <w:t xml:space="preserve">Arithmetic (a.k.a. </w:t>
      </w:r>
      <w:r w:rsidR="006A6E87">
        <w:t>Complex computation</w:t>
      </w:r>
      <w:bookmarkEnd w:id="8"/>
      <w:r w:rsidR="006A6E87">
        <w:t>)</w:t>
      </w:r>
    </w:p>
    <w:p w14:paraId="77958317" w14:textId="50EA8015" w:rsidR="006A6E87" w:rsidRDefault="006A6E87" w:rsidP="00F57591">
      <w:pPr>
        <w:pStyle w:val="BodyText"/>
        <w:rPr>
          <w:lang w:val="en-GB"/>
        </w:rPr>
      </w:pPr>
      <w:r>
        <w:rPr>
          <w:lang w:val="en-GB"/>
        </w:rPr>
        <w:t>A</w:t>
      </w:r>
      <w:r w:rsidR="002F7CEB">
        <w:rPr>
          <w:lang w:val="en-GB"/>
        </w:rPr>
        <w:t xml:space="preserve">n </w:t>
      </w:r>
      <w:r w:rsidR="002F7CEB">
        <w:rPr>
          <w:b/>
          <w:lang w:val="en-GB"/>
        </w:rPr>
        <w:t>arithmetic</w:t>
      </w:r>
      <w:r w:rsidR="002F7CEB" w:rsidRPr="002F7CEB">
        <w:rPr>
          <w:rStyle w:val="FootnoteReference"/>
          <w:bCs/>
          <w:lang w:val="en-GB"/>
        </w:rPr>
        <w:footnoteReference w:id="20"/>
      </w:r>
      <w:r>
        <w:rPr>
          <w:lang w:val="en-GB"/>
        </w:rPr>
        <w:t xml:space="preserve"> (a.k.a. </w:t>
      </w:r>
      <w:r w:rsidR="002F7CEB">
        <w:rPr>
          <w:lang w:val="en-GB"/>
        </w:rPr>
        <w:t>complex computation</w:t>
      </w:r>
      <w:r>
        <w:rPr>
          <w:lang w:val="en-GB"/>
        </w:rPr>
        <w:t xml:space="preserve">) concept arrangement pattern can be thought of as a </w:t>
      </w:r>
      <w:r w:rsidR="002F7CEB">
        <w:rPr>
          <w:lang w:val="en-GB"/>
        </w:rPr>
        <w:t>set</w:t>
      </w:r>
      <w:r>
        <w:rPr>
          <w:lang w:val="en-GB"/>
        </w:rPr>
        <w:t xml:space="preserve"> plus a mathematical commutation between different concepts within that </w:t>
      </w:r>
      <w:r w:rsidR="002F7CEB">
        <w:rPr>
          <w:lang w:val="en-GB"/>
        </w:rPr>
        <w:t>set</w:t>
      </w:r>
      <w:r>
        <w:rPr>
          <w:lang w:val="en-GB"/>
        </w:rPr>
        <w:t xml:space="preserve"> which are challenging to model as the parent/child relations of </w:t>
      </w:r>
      <w:r w:rsidR="002F7CEB">
        <w:rPr>
          <w:lang w:val="en-GB"/>
        </w:rPr>
        <w:t>the XBRL presentation relations</w:t>
      </w:r>
      <w:r>
        <w:rPr>
          <w:lang w:val="en-GB"/>
        </w:rPr>
        <w:t xml:space="preserve">. The type of </w:t>
      </w:r>
      <w:r w:rsidR="002F7CEB">
        <w:rPr>
          <w:lang w:val="en-GB"/>
        </w:rPr>
        <w:t xml:space="preserve">mathematical </w:t>
      </w:r>
      <w:r>
        <w:rPr>
          <w:lang w:val="en-GB"/>
        </w:rPr>
        <w:t xml:space="preserve">computations can vary significantly, thus </w:t>
      </w:r>
      <w:r w:rsidR="002F7CEB">
        <w:rPr>
          <w:lang w:val="en-GB"/>
        </w:rPr>
        <w:t xml:space="preserve">potentially </w:t>
      </w:r>
      <w:r>
        <w:rPr>
          <w:lang w:val="en-GB"/>
        </w:rPr>
        <w:t xml:space="preserve">challenging </w:t>
      </w:r>
      <w:r w:rsidR="002F7CEB">
        <w:rPr>
          <w:lang w:val="en-GB"/>
        </w:rPr>
        <w:t>when</w:t>
      </w:r>
      <w:r>
        <w:rPr>
          <w:lang w:val="en-GB"/>
        </w:rPr>
        <w:t xml:space="preserve"> modelling.  For example, the computation of earnings per share is a</w:t>
      </w:r>
      <w:r w:rsidR="002F7CEB">
        <w:rPr>
          <w:lang w:val="en-GB"/>
        </w:rPr>
        <w:t>n arithmetic concept arrangement pattern</w:t>
      </w:r>
      <w:r>
        <w:rPr>
          <w:lang w:val="en-GB"/>
        </w:rPr>
        <w:t>.</w:t>
      </w:r>
    </w:p>
    <w:p w14:paraId="3DD308BC" w14:textId="77777777" w:rsidR="006A6E87" w:rsidRDefault="006A6E87" w:rsidP="00F57591">
      <w:pPr>
        <w:pStyle w:val="BodyText"/>
        <w:jc w:val="center"/>
        <w:rPr>
          <w:lang w:val="en-GB"/>
        </w:rPr>
      </w:pPr>
      <w:r>
        <w:rPr>
          <w:noProof/>
        </w:rPr>
        <w:drawing>
          <wp:inline distT="0" distB="0" distL="0" distR="0" wp14:anchorId="29D21FEE" wp14:editId="7D1FB025">
            <wp:extent cx="5486400" cy="2097845"/>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486400" cy="2097845"/>
                    </a:xfrm>
                    <a:prstGeom prst="rect">
                      <a:avLst/>
                    </a:prstGeom>
                  </pic:spPr>
                </pic:pic>
              </a:graphicData>
            </a:graphic>
          </wp:inline>
        </w:drawing>
      </w:r>
    </w:p>
    <w:p w14:paraId="6402E60B" w14:textId="24B73800" w:rsidR="006A6E87" w:rsidRDefault="006A6E87" w:rsidP="003A6A23">
      <w:pPr>
        <w:pStyle w:val="BodyText"/>
        <w:jc w:val="left"/>
        <w:rPr>
          <w:lang w:val="en-GB"/>
        </w:rPr>
      </w:pPr>
      <w:r>
        <w:rPr>
          <w:lang w:val="en-GB"/>
        </w:rPr>
        <w:t>A</w:t>
      </w:r>
      <w:r w:rsidR="00102EEC">
        <w:rPr>
          <w:lang w:val="en-GB"/>
        </w:rPr>
        <w:t xml:space="preserve">n arithmetic concept arrangement pattern </w:t>
      </w:r>
      <w:r>
        <w:rPr>
          <w:lang w:val="en-GB"/>
        </w:rPr>
        <w:t>can be identified because (a) there are numeric relations and those relations do not follow any of the other mathematical patterns, (b) there is an XBRL formula that represents a mathematical relation other than one of the other mathematical computation patterns.</w:t>
      </w:r>
    </w:p>
    <w:p w14:paraId="4BE888D1" w14:textId="32D58A1A" w:rsidR="002F7CEB" w:rsidRDefault="002F7CEB" w:rsidP="003A6A23">
      <w:pPr>
        <w:pStyle w:val="BodyText"/>
        <w:jc w:val="left"/>
        <w:rPr>
          <w:lang w:val="en-GB"/>
        </w:rPr>
      </w:pPr>
      <w:r>
        <w:rPr>
          <w:lang w:val="en-GB"/>
        </w:rPr>
        <w:t xml:space="preserve">An arithmetic pattern mathematical computation can be quite complex.  For </w:t>
      </w:r>
      <w:proofErr w:type="gramStart"/>
      <w:r>
        <w:rPr>
          <w:lang w:val="en-GB"/>
        </w:rPr>
        <w:t>example</w:t>
      </w:r>
      <w:proofErr w:type="gramEnd"/>
      <w:r>
        <w:rPr>
          <w:rStyle w:val="FootnoteReference"/>
          <w:lang w:val="en-GB"/>
        </w:rPr>
        <w:footnoteReference w:id="21"/>
      </w:r>
      <w:r>
        <w:rPr>
          <w:lang w:val="en-GB"/>
        </w:rPr>
        <w:t xml:space="preserve">, </w:t>
      </w:r>
    </w:p>
    <w:p w14:paraId="02CE12C7" w14:textId="00BF7498" w:rsidR="002F7CEB" w:rsidRDefault="002F7CEB" w:rsidP="002F7CEB">
      <w:pPr>
        <w:pStyle w:val="BodyText"/>
        <w:ind w:left="720"/>
        <w:jc w:val="left"/>
        <w:rPr>
          <w:lang w:val="en-GB"/>
        </w:rPr>
      </w:pPr>
      <w:r w:rsidRPr="002F7CEB">
        <w:rPr>
          <w:lang w:val="en-GB"/>
        </w:rPr>
        <w:t>0= (($</w:t>
      </w:r>
      <w:proofErr w:type="spellStart"/>
      <w:r w:rsidRPr="002F7CEB">
        <w:rPr>
          <w:lang w:val="en-GB"/>
        </w:rPr>
        <w:t>Equity_BalanceStart</w:t>
      </w:r>
      <w:proofErr w:type="spellEnd"/>
      <w:r w:rsidRPr="002F7CEB">
        <w:rPr>
          <w:lang w:val="en-GB"/>
        </w:rPr>
        <w:t xml:space="preserve"> + (($Revenues - $Expenses) + ($Gains - $Losses)) + ($</w:t>
      </w:r>
      <w:proofErr w:type="spellStart"/>
      <w:r w:rsidRPr="002F7CEB">
        <w:rPr>
          <w:lang w:val="en-GB"/>
        </w:rPr>
        <w:t>InvestmentsByOwners</w:t>
      </w:r>
      <w:proofErr w:type="spellEnd"/>
      <w:r w:rsidRPr="002F7CEB">
        <w:rPr>
          <w:lang w:val="en-GB"/>
        </w:rPr>
        <w:t xml:space="preserve"> - $</w:t>
      </w:r>
      <w:proofErr w:type="spellStart"/>
      <w:r w:rsidRPr="002F7CEB">
        <w:rPr>
          <w:lang w:val="en-GB"/>
        </w:rPr>
        <w:t>DistributionsToOwners</w:t>
      </w:r>
      <w:proofErr w:type="spellEnd"/>
      <w:r w:rsidRPr="002F7CEB">
        <w:rPr>
          <w:lang w:val="en-GB"/>
        </w:rPr>
        <w:t>)) + ($</w:t>
      </w:r>
      <w:proofErr w:type="spellStart"/>
      <w:r w:rsidRPr="002F7CEB">
        <w:rPr>
          <w:lang w:val="en-GB"/>
        </w:rPr>
        <w:t>Liabilities_BalanceEnd</w:t>
      </w:r>
      <w:proofErr w:type="spellEnd"/>
      <w:r w:rsidRPr="002F7CEB">
        <w:rPr>
          <w:lang w:val="en-GB"/>
        </w:rPr>
        <w:t xml:space="preserve"> - $</w:t>
      </w:r>
      <w:proofErr w:type="spellStart"/>
      <w:r w:rsidRPr="002F7CEB">
        <w:rPr>
          <w:lang w:val="en-GB"/>
        </w:rPr>
        <w:t>Assets_BalanceEnd</w:t>
      </w:r>
      <w:proofErr w:type="spellEnd"/>
      <w:r w:rsidRPr="002F7CEB">
        <w:rPr>
          <w:lang w:val="en-GB"/>
        </w:rPr>
        <w:t>))</w:t>
      </w:r>
    </w:p>
    <w:p w14:paraId="67448FAB" w14:textId="0EB8EC6C" w:rsidR="002F7CEB" w:rsidRDefault="00102EEC" w:rsidP="003A6A23">
      <w:pPr>
        <w:pStyle w:val="BodyText"/>
        <w:jc w:val="left"/>
        <w:rPr>
          <w:lang w:val="en-GB"/>
        </w:rPr>
      </w:pPr>
      <w:r>
        <w:rPr>
          <w:lang w:val="en-GB"/>
        </w:rPr>
        <w:t>The facts that would be involved in this computation is provided here simply as a set of facts.  The XBRL formula describes the relationship between the facts.</w:t>
      </w:r>
    </w:p>
    <w:p w14:paraId="13C4F14E" w14:textId="062C0AC1" w:rsidR="002F7CEB" w:rsidRDefault="002F7CEB" w:rsidP="003A6A23">
      <w:pPr>
        <w:pStyle w:val="BodyText"/>
        <w:jc w:val="left"/>
        <w:rPr>
          <w:lang w:val="en-GB"/>
        </w:rPr>
      </w:pPr>
      <w:r>
        <w:rPr>
          <w:noProof/>
        </w:rPr>
        <w:lastRenderedPageBreak/>
        <w:drawing>
          <wp:inline distT="0" distB="0" distL="0" distR="0" wp14:anchorId="6123BDB7" wp14:editId="00A2F20A">
            <wp:extent cx="5486400" cy="28841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86400" cy="2884170"/>
                    </a:xfrm>
                    <a:prstGeom prst="rect">
                      <a:avLst/>
                    </a:prstGeom>
                  </pic:spPr>
                </pic:pic>
              </a:graphicData>
            </a:graphic>
          </wp:inline>
        </w:drawing>
      </w:r>
    </w:p>
    <w:p w14:paraId="62A54C87" w14:textId="77777777" w:rsidR="002F7CEB" w:rsidRPr="00970B7F" w:rsidRDefault="002F7CEB" w:rsidP="003A6A23">
      <w:pPr>
        <w:pStyle w:val="BodyText"/>
        <w:jc w:val="left"/>
        <w:rPr>
          <w:lang w:val="en-GB"/>
        </w:rPr>
      </w:pPr>
    </w:p>
    <w:p w14:paraId="5E40145A" w14:textId="77777777" w:rsidR="006A6E87" w:rsidRDefault="006A6E87" w:rsidP="00105371">
      <w:pPr>
        <w:pStyle w:val="Heading2"/>
      </w:pPr>
      <w:bookmarkStart w:id="9" w:name="_Toc418919911"/>
      <w:r>
        <w:t>Text block</w:t>
      </w:r>
      <w:bookmarkEnd w:id="9"/>
    </w:p>
    <w:p w14:paraId="67B4462F" w14:textId="2D7D538B" w:rsidR="00102EEC" w:rsidRDefault="006A6E87" w:rsidP="00F57591">
      <w:pPr>
        <w:pStyle w:val="BodyText"/>
        <w:rPr>
          <w:lang w:val="en-GB"/>
        </w:rPr>
      </w:pPr>
      <w:r>
        <w:rPr>
          <w:lang w:val="en-GB"/>
        </w:rPr>
        <w:t xml:space="preserve">A </w:t>
      </w:r>
      <w:r w:rsidRPr="00970B7F">
        <w:rPr>
          <w:b/>
          <w:lang w:val="en-GB"/>
        </w:rPr>
        <w:t>text block</w:t>
      </w:r>
      <w:r w:rsidR="00102EEC" w:rsidRPr="00FC4915">
        <w:rPr>
          <w:rStyle w:val="FootnoteReference"/>
          <w:bCs/>
          <w:lang w:val="en-GB"/>
        </w:rPr>
        <w:footnoteReference w:id="22"/>
      </w:r>
      <w:r>
        <w:rPr>
          <w:lang w:val="en-GB"/>
        </w:rPr>
        <w:t xml:space="preserve"> concept arrangement pattern is a concept arrangement pattern which contains, by definition, only one concept and that concept expresses what amounts to a narrative or prose as escaped HTML within that one concept. </w:t>
      </w:r>
      <w:r w:rsidR="00102EEC">
        <w:rPr>
          <w:lang w:val="en-GB"/>
        </w:rPr>
        <w:t>That single concept always has the data type of “</w:t>
      </w:r>
      <w:proofErr w:type="spellStart"/>
      <w:proofErr w:type="gramStart"/>
      <w:r w:rsidR="00102EEC" w:rsidRPr="00102EEC">
        <w:rPr>
          <w:lang w:val="en-GB"/>
        </w:rPr>
        <w:t>nonnum:textBlockItemType</w:t>
      </w:r>
      <w:proofErr w:type="spellEnd"/>
      <w:proofErr w:type="gramEnd"/>
      <w:r w:rsidR="00102EEC">
        <w:rPr>
          <w:lang w:val="en-GB"/>
        </w:rPr>
        <w:t>” which is defined by XBRL International</w:t>
      </w:r>
      <w:r w:rsidR="00FC4915">
        <w:rPr>
          <w:rStyle w:val="FootnoteReference"/>
          <w:lang w:val="en-GB"/>
        </w:rPr>
        <w:footnoteReference w:id="23"/>
      </w:r>
      <w:r w:rsidR="00102EEC">
        <w:rPr>
          <w:lang w:val="en-GB"/>
        </w:rPr>
        <w:t xml:space="preserve"> </w:t>
      </w:r>
      <w:r w:rsidR="00FC4915">
        <w:rPr>
          <w:lang w:val="en-GB"/>
        </w:rPr>
        <w:t>or in the XBRL International Data Type Registry</w:t>
      </w:r>
      <w:r w:rsidR="00102EEC">
        <w:rPr>
          <w:rStyle w:val="FootnoteReference"/>
          <w:lang w:val="en-GB"/>
        </w:rPr>
        <w:footnoteReference w:id="24"/>
      </w:r>
      <w:r w:rsidR="00102EEC">
        <w:rPr>
          <w:lang w:val="en-GB"/>
        </w:rPr>
        <w:t xml:space="preserve">. </w:t>
      </w:r>
    </w:p>
    <w:p w14:paraId="5B59B129" w14:textId="41726534" w:rsidR="006A6E87" w:rsidRDefault="006A6E87" w:rsidP="00F57591">
      <w:pPr>
        <w:pStyle w:val="BodyText"/>
        <w:rPr>
          <w:lang w:val="en-GB"/>
        </w:rPr>
      </w:pPr>
      <w:r>
        <w:rPr>
          <w:lang w:val="en-GB"/>
        </w:rPr>
        <w:t xml:space="preserve">For example, the narrative associated with a set of accounting policies expressed as a list or a table presentation format is a text block. </w:t>
      </w:r>
      <w:r w:rsidR="00FC4915">
        <w:rPr>
          <w:lang w:val="en-GB"/>
        </w:rPr>
        <w:t xml:space="preserve">Another term for this formatted information is “prose”.  </w:t>
      </w:r>
      <w:r>
        <w:rPr>
          <w:lang w:val="en-GB"/>
        </w:rPr>
        <w:t>As there is only one concept, there can be no relations within the concept arrangement pattern</w:t>
      </w:r>
      <w:r w:rsidR="00FC4915">
        <w:rPr>
          <w:lang w:val="en-GB"/>
        </w:rPr>
        <w:t xml:space="preserve"> that are identifiable in terms of meaning, however, there is presentation related structure contained within the Text Block</w:t>
      </w:r>
      <w:r>
        <w:rPr>
          <w:lang w:val="en-GB"/>
        </w:rPr>
        <w:t>.</w:t>
      </w:r>
    </w:p>
    <w:p w14:paraId="5CA15654" w14:textId="3CB9D015" w:rsidR="00FC4915" w:rsidRDefault="00FC4915" w:rsidP="00F57591">
      <w:pPr>
        <w:pStyle w:val="BodyText"/>
        <w:rPr>
          <w:lang w:val="en-GB"/>
        </w:rPr>
      </w:pPr>
      <w:r>
        <w:rPr>
          <w:lang w:val="en-GB"/>
        </w:rPr>
        <w:t>Note that escaped XHTML is used because rather than simple XHTML because XBRL concepts are prohibited from containing mark up of any kind.</w:t>
      </w:r>
    </w:p>
    <w:p w14:paraId="3F7078B1" w14:textId="7DA1597B" w:rsidR="009450C1" w:rsidRDefault="009450C1" w:rsidP="00F57591">
      <w:pPr>
        <w:pStyle w:val="BodyText"/>
        <w:rPr>
          <w:lang w:val="en-GB"/>
        </w:rPr>
      </w:pPr>
      <w:r>
        <w:rPr>
          <w:lang w:val="en-GB"/>
        </w:rPr>
        <w:t>Note that the US GAAP XBRL Taxonomy and the SEC break down text blocks into three distinct groups: Level 1 Note Text Blocks, Level 2 Policy Text Blocks, Level 3 Disclosure Text Blocks.  Everything that is NOT a text block per these rules is considered a Level 4 Disclosure Detail.  The IFRS XBRL Taxonomy uses similar notions but different terms that basically mean the same thing.</w:t>
      </w:r>
    </w:p>
    <w:p w14:paraId="1AEE6463" w14:textId="37A0F8BD" w:rsidR="006A6E87" w:rsidRDefault="00FC4915" w:rsidP="00F57591">
      <w:pPr>
        <w:pStyle w:val="BodyText"/>
        <w:jc w:val="center"/>
        <w:rPr>
          <w:lang w:val="en-GB"/>
        </w:rPr>
      </w:pPr>
      <w:r>
        <w:rPr>
          <w:noProof/>
        </w:rPr>
        <w:lastRenderedPageBreak/>
        <w:drawing>
          <wp:inline distT="0" distB="0" distL="0" distR="0" wp14:anchorId="357348C5" wp14:editId="09DB81A1">
            <wp:extent cx="5486400" cy="2517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86400" cy="2517775"/>
                    </a:xfrm>
                    <a:prstGeom prst="rect">
                      <a:avLst/>
                    </a:prstGeom>
                  </pic:spPr>
                </pic:pic>
              </a:graphicData>
            </a:graphic>
          </wp:inline>
        </w:drawing>
      </w:r>
    </w:p>
    <w:p w14:paraId="468DF26C" w14:textId="26A93F11" w:rsidR="006A6E87" w:rsidRDefault="006A6E87" w:rsidP="00105371">
      <w:pPr>
        <w:pStyle w:val="BodyText"/>
        <w:jc w:val="left"/>
        <w:rPr>
          <w:lang w:val="en-GB"/>
        </w:rPr>
      </w:pPr>
      <w:r>
        <w:rPr>
          <w:lang w:val="en-GB"/>
        </w:rPr>
        <w:t xml:space="preserve">A text block can always be identified by the data type </w:t>
      </w:r>
      <w:r w:rsidR="00FC4915" w:rsidRPr="00FC4915">
        <w:rPr>
          <w:lang w:val="en-GB"/>
        </w:rPr>
        <w:t>“</w:t>
      </w:r>
      <w:proofErr w:type="spellStart"/>
      <w:proofErr w:type="gramStart"/>
      <w:r w:rsidR="00FC4915" w:rsidRPr="00FC4915">
        <w:rPr>
          <w:lang w:val="en-GB"/>
        </w:rPr>
        <w:t>nonnum:textBlockItemType</w:t>
      </w:r>
      <w:proofErr w:type="spellEnd"/>
      <w:proofErr w:type="gramEnd"/>
      <w:r w:rsidR="00FC4915" w:rsidRPr="00FC4915">
        <w:rPr>
          <w:lang w:val="en-GB"/>
        </w:rPr>
        <w:t>”</w:t>
      </w:r>
      <w:r w:rsidR="00FC4915">
        <w:rPr>
          <w:lang w:val="en-GB"/>
        </w:rPr>
        <w:t xml:space="preserve"> being used (or some other similar allowed data type) to</w:t>
      </w:r>
      <w:r>
        <w:rPr>
          <w:lang w:val="en-GB"/>
        </w:rPr>
        <w:t xml:space="preserve"> represent the text block.</w:t>
      </w:r>
    </w:p>
    <w:p w14:paraId="4E99E583" w14:textId="77777777" w:rsidR="006A6E87" w:rsidRDefault="006A6E87" w:rsidP="00105371">
      <w:pPr>
        <w:pStyle w:val="Heading2"/>
      </w:pPr>
      <w:bookmarkStart w:id="10" w:name="_Toc418919912"/>
      <w:r>
        <w:t>Grid (not really a pattern)</w:t>
      </w:r>
      <w:bookmarkEnd w:id="10"/>
    </w:p>
    <w:p w14:paraId="0106A8FD" w14:textId="39ED8A25" w:rsidR="006A6E87" w:rsidRDefault="006A6E87" w:rsidP="00F57591">
      <w:pPr>
        <w:pStyle w:val="BodyText"/>
        <w:rPr>
          <w:lang w:val="en-GB"/>
        </w:rPr>
      </w:pPr>
      <w:r>
        <w:rPr>
          <w:lang w:val="en-GB"/>
        </w:rPr>
        <w:t xml:space="preserve">A </w:t>
      </w:r>
      <w:r w:rsidRPr="00970B7F">
        <w:rPr>
          <w:b/>
          <w:lang w:val="en-GB"/>
        </w:rPr>
        <w:t>grid</w:t>
      </w:r>
      <w:r w:rsidR="00FC4915" w:rsidRPr="00FC4915">
        <w:rPr>
          <w:rStyle w:val="FootnoteReference"/>
          <w:bCs/>
          <w:lang w:val="en-GB"/>
        </w:rPr>
        <w:footnoteReference w:id="25"/>
      </w:r>
      <w:r>
        <w:rPr>
          <w:lang w:val="en-GB"/>
        </w:rPr>
        <w:t xml:space="preserve"> pattern which uses the presentation characteristics of the columns and rows of a table to represent information is a pseudo concept arrangement pattern.  Because the grid models presentation information and not business semantics, it cannot be considered a </w:t>
      </w:r>
      <w:r w:rsidR="00B94AC8">
        <w:rPr>
          <w:lang w:val="en-GB"/>
        </w:rPr>
        <w:t>true concept arrangement pattern</w:t>
      </w:r>
      <w:r>
        <w:rPr>
          <w:lang w:val="en-GB"/>
        </w:rPr>
        <w:t>.  However, the grid is included in this list because the US GAAP Taxonomy uses a grid concept arrangement pattern to model the statement of changes in equity.</w:t>
      </w:r>
    </w:p>
    <w:p w14:paraId="778D8F94" w14:textId="68D988A1" w:rsidR="006A6E87" w:rsidRDefault="00FC4915" w:rsidP="00F57591">
      <w:pPr>
        <w:pStyle w:val="BodyText"/>
        <w:jc w:val="center"/>
        <w:rPr>
          <w:lang w:val="en-GB"/>
        </w:rPr>
      </w:pPr>
      <w:r>
        <w:rPr>
          <w:noProof/>
        </w:rPr>
        <w:drawing>
          <wp:inline distT="0" distB="0" distL="0" distR="0" wp14:anchorId="7D6090EC" wp14:editId="2FD4CCA1">
            <wp:extent cx="5486400" cy="23031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486400" cy="2303145"/>
                    </a:xfrm>
                    <a:prstGeom prst="rect">
                      <a:avLst/>
                    </a:prstGeom>
                  </pic:spPr>
                </pic:pic>
              </a:graphicData>
            </a:graphic>
          </wp:inline>
        </w:drawing>
      </w:r>
    </w:p>
    <w:p w14:paraId="7C5B647F" w14:textId="47C865DF" w:rsidR="00B94AC8" w:rsidRDefault="00B94AC8" w:rsidP="00B94AC8">
      <w:pPr>
        <w:pStyle w:val="BodyText"/>
        <w:jc w:val="left"/>
        <w:rPr>
          <w:lang w:val="en-GB"/>
        </w:rPr>
      </w:pPr>
      <w:r>
        <w:rPr>
          <w:lang w:val="en-GB"/>
        </w:rPr>
        <w:t>The grid pattern simply uses the [Member]s of an Axis to indicate which column information should be represented in and the [Line Items] to indicate the information which should be represented within the rows.  This forms a readable table of information.</w:t>
      </w:r>
    </w:p>
    <w:p w14:paraId="0CCA1E46" w14:textId="77777777" w:rsidR="006A6E87" w:rsidRDefault="006A6E87" w:rsidP="00105371">
      <w:pPr>
        <w:pStyle w:val="Heading2"/>
      </w:pPr>
      <w:bookmarkStart w:id="11" w:name="_Toc418919913"/>
      <w:r>
        <w:lastRenderedPageBreak/>
        <w:t>Compound fact (not really a pattern)</w:t>
      </w:r>
      <w:bookmarkEnd w:id="11"/>
    </w:p>
    <w:p w14:paraId="5F8E146C" w14:textId="77777777" w:rsidR="00B94AC8" w:rsidRDefault="006A6E87" w:rsidP="00F57591">
      <w:pPr>
        <w:pStyle w:val="BodyText"/>
        <w:rPr>
          <w:lang w:val="en-GB"/>
        </w:rPr>
      </w:pPr>
      <w:r w:rsidRPr="00970B7F">
        <w:rPr>
          <w:lang w:val="en-GB"/>
        </w:rPr>
        <w:t xml:space="preserve">A </w:t>
      </w:r>
      <w:r w:rsidRPr="00970B7F">
        <w:rPr>
          <w:b/>
          <w:lang w:val="en-GB"/>
        </w:rPr>
        <w:t>compound fact</w:t>
      </w:r>
      <w:r w:rsidR="00B94AC8" w:rsidRPr="00B94AC8">
        <w:rPr>
          <w:rStyle w:val="FootnoteReference"/>
          <w:bCs/>
          <w:lang w:val="en-GB"/>
        </w:rPr>
        <w:footnoteReference w:id="26"/>
      </w:r>
      <w:r>
        <w:rPr>
          <w:lang w:val="en-GB"/>
        </w:rPr>
        <w:t xml:space="preserve"> is a pseudo pattern were a concept arrangement pattern that is further characterized by one or more additional [Axis]</w:t>
      </w:r>
      <w:r w:rsidRPr="00970B7F">
        <w:rPr>
          <w:lang w:val="en-GB"/>
        </w:rPr>
        <w:t xml:space="preserve">. </w:t>
      </w:r>
    </w:p>
    <w:p w14:paraId="40F82C09" w14:textId="2FE782B5" w:rsidR="006A6E87" w:rsidRDefault="006A6E87" w:rsidP="00F57591">
      <w:pPr>
        <w:pStyle w:val="BodyText"/>
        <w:rPr>
          <w:lang w:val="en-GB"/>
        </w:rPr>
      </w:pPr>
      <w:r w:rsidRPr="00970B7F">
        <w:rPr>
          <w:lang w:val="en-GB"/>
        </w:rPr>
        <w:t xml:space="preserve">For example, the salary information for </w:t>
      </w:r>
      <w:r>
        <w:rPr>
          <w:lang w:val="en-GB"/>
        </w:rPr>
        <w:t>the directors of an entity shown below is a [Hierarchy] of concepts that is further characterized by the name of the director which receives the compensation.</w:t>
      </w:r>
      <w:r w:rsidRPr="00970B7F">
        <w:rPr>
          <w:lang w:val="en-GB"/>
        </w:rPr>
        <w:t xml:space="preserve">  The salary information is made up of salary, bonuses, director fees and this set of </w:t>
      </w:r>
      <w:r>
        <w:rPr>
          <w:lang w:val="en-GB"/>
        </w:rPr>
        <w:t>information (or compound facts)</w:t>
      </w:r>
      <w:r w:rsidRPr="00970B7F">
        <w:rPr>
          <w:lang w:val="en-GB"/>
        </w:rPr>
        <w:t xml:space="preserve"> can be expressed for any number of directors, the director being the characteristic or axis of the compound fact.</w:t>
      </w:r>
    </w:p>
    <w:p w14:paraId="0D8AA1D4" w14:textId="68B255B0" w:rsidR="0022597A" w:rsidRDefault="00B94AC8" w:rsidP="00105371">
      <w:pPr>
        <w:pStyle w:val="BodyText"/>
        <w:jc w:val="center"/>
        <w:rPr>
          <w:lang w:val="en-GB"/>
        </w:rPr>
      </w:pPr>
      <w:r>
        <w:rPr>
          <w:noProof/>
        </w:rPr>
        <w:drawing>
          <wp:inline distT="0" distB="0" distL="0" distR="0" wp14:anchorId="2DC616D1" wp14:editId="6F99751F">
            <wp:extent cx="5486400" cy="22910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486400" cy="2291080"/>
                    </a:xfrm>
                    <a:prstGeom prst="rect">
                      <a:avLst/>
                    </a:prstGeom>
                  </pic:spPr>
                </pic:pic>
              </a:graphicData>
            </a:graphic>
          </wp:inline>
        </w:drawing>
      </w:r>
    </w:p>
    <w:p w14:paraId="1C8E34B4" w14:textId="4506F08E" w:rsidR="00B94AC8" w:rsidRDefault="00B94AC8" w:rsidP="00B94AC8">
      <w:pPr>
        <w:pStyle w:val="BodyText"/>
        <w:jc w:val="left"/>
        <w:rPr>
          <w:lang w:val="en-GB"/>
        </w:rPr>
      </w:pPr>
      <w:r>
        <w:rPr>
          <w:lang w:val="en-GB"/>
        </w:rPr>
        <w:t>The compound fact may, or may not, have mathematical relations that explain the mathematical associations between the concepts contained within the compound fact.  For example, in the example above the sum of all salaries, bonuses, fees, and options granted is totalled for each director and is represented using an XBRL formula</w:t>
      </w:r>
      <w:r>
        <w:rPr>
          <w:rStyle w:val="FootnoteReference"/>
          <w:lang w:val="en-GB"/>
        </w:rPr>
        <w:footnoteReference w:id="27"/>
      </w:r>
      <w:r>
        <w:rPr>
          <w:lang w:val="en-GB"/>
        </w:rPr>
        <w:t>.</w:t>
      </w:r>
    </w:p>
    <w:p w14:paraId="28DDCA69" w14:textId="7DDBBBB3" w:rsidR="007E27C9" w:rsidRDefault="007E27C9" w:rsidP="007E27C9">
      <w:pPr>
        <w:pStyle w:val="Heading2"/>
      </w:pPr>
      <w:r>
        <w:t>Proof</w:t>
      </w:r>
    </w:p>
    <w:p w14:paraId="71BCC779" w14:textId="4595F376" w:rsidR="007E27C9" w:rsidRDefault="007E27C9" w:rsidP="007E27C9">
      <w:pPr>
        <w:pStyle w:val="BodyText"/>
      </w:pPr>
      <w:r>
        <w:t>In order to test each concept arrangement pattern individually and to test the interaction between concept arrangement patterns, a proof which combines all the concept arrangement patterns into one document was created</w:t>
      </w:r>
      <w:r>
        <w:rPr>
          <w:rStyle w:val="FootnoteReference"/>
        </w:rPr>
        <w:footnoteReference w:id="28"/>
      </w:r>
      <w:r>
        <w:t>.</w:t>
      </w:r>
    </w:p>
    <w:p w14:paraId="24A9DC4C" w14:textId="01EE263B" w:rsidR="007E27C9" w:rsidRDefault="007E27C9" w:rsidP="007E27C9">
      <w:pPr>
        <w:pStyle w:val="BodyText"/>
      </w:pPr>
      <w:r>
        <w:t>The graphic below shows the interaction between the concept arrangement patterns and that the logic of the represented information interconnects correctly within the one report:</w:t>
      </w:r>
    </w:p>
    <w:p w14:paraId="3B0374C3" w14:textId="283D59CF" w:rsidR="007E27C9" w:rsidRDefault="007E27C9" w:rsidP="007E27C9">
      <w:pPr>
        <w:pStyle w:val="BodyText"/>
      </w:pPr>
      <w:r>
        <w:rPr>
          <w:noProof/>
        </w:rPr>
        <w:lastRenderedPageBreak/>
        <w:drawing>
          <wp:inline distT="0" distB="0" distL="0" distR="0" wp14:anchorId="4C80E13E" wp14:editId="2E747AC0">
            <wp:extent cx="5486400" cy="1991751"/>
            <wp:effectExtent l="0" t="0" r="0" b="8890"/>
            <wp:docPr id="5156" name="Picture 5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86400" cy="1991751"/>
                    </a:xfrm>
                    <a:prstGeom prst="rect">
                      <a:avLst/>
                    </a:prstGeom>
                    <a:noFill/>
                    <a:ln>
                      <a:noFill/>
                    </a:ln>
                  </pic:spPr>
                </pic:pic>
              </a:graphicData>
            </a:graphic>
          </wp:inline>
        </w:drawing>
      </w:r>
    </w:p>
    <w:p w14:paraId="54AB32C4" w14:textId="6EEA8086" w:rsidR="007E27C9" w:rsidRDefault="007E27C9" w:rsidP="007E27C9">
      <w:pPr>
        <w:pStyle w:val="Heading2"/>
      </w:pPr>
      <w:r>
        <w:t>Interoperability</w:t>
      </w:r>
    </w:p>
    <w:p w14:paraId="35517F9A" w14:textId="2690F2E4" w:rsidR="007E27C9" w:rsidRDefault="007E27C9" w:rsidP="007E27C9">
      <w:pPr>
        <w:pStyle w:val="BodyText"/>
      </w:pPr>
      <w:r>
        <w:t>Any software application that presents information to business users about reports should provide a consistent representation of the meaning of that information.  Saying this another way, by changing which software application you use should not change the meaning of the information you are working with.</w:t>
      </w:r>
    </w:p>
    <w:p w14:paraId="21C2D292" w14:textId="0567D6EA" w:rsidR="007E27C9" w:rsidRDefault="007E27C9" w:rsidP="007E27C9">
      <w:pPr>
        <w:pStyle w:val="BodyText"/>
      </w:pPr>
      <w:r>
        <w:t xml:space="preserve">For example, here is a comparison of </w:t>
      </w:r>
      <w:r w:rsidR="00834518">
        <w:t>three separate implementations showing how a roll up is represented in each</w:t>
      </w:r>
      <w:r w:rsidR="00834518">
        <w:rPr>
          <w:rStyle w:val="FootnoteReference"/>
        </w:rPr>
        <w:footnoteReference w:id="29"/>
      </w:r>
      <w:r w:rsidR="00834518">
        <w:t>:</w:t>
      </w:r>
    </w:p>
    <w:p w14:paraId="6833F887" w14:textId="1CC465A6" w:rsidR="007E27C9" w:rsidRPr="007E27C9" w:rsidRDefault="007E27C9" w:rsidP="007E27C9">
      <w:pPr>
        <w:pStyle w:val="BodyText"/>
      </w:pPr>
      <w:r>
        <w:rPr>
          <w:noProof/>
        </w:rPr>
        <w:drawing>
          <wp:inline distT="0" distB="0" distL="0" distR="0" wp14:anchorId="357C58CA" wp14:editId="576A68D5">
            <wp:extent cx="5486400" cy="1294130"/>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486400" cy="1294130"/>
                    </a:xfrm>
                    <a:prstGeom prst="rect">
                      <a:avLst/>
                    </a:prstGeom>
                  </pic:spPr>
                </pic:pic>
              </a:graphicData>
            </a:graphic>
          </wp:inline>
        </w:drawing>
      </w:r>
    </w:p>
    <w:p w14:paraId="44B29740" w14:textId="77777777" w:rsidR="00B94AC8" w:rsidRPr="00105371" w:rsidRDefault="00B94AC8" w:rsidP="00B94AC8">
      <w:pPr>
        <w:pStyle w:val="BodyText"/>
        <w:jc w:val="left"/>
        <w:rPr>
          <w:lang w:val="en-GB"/>
        </w:rPr>
      </w:pPr>
    </w:p>
    <w:sectPr w:rsidR="00B94AC8" w:rsidRPr="00105371" w:rsidSect="00D5119C">
      <w:headerReference w:type="default" r:id="rId21"/>
      <w:footerReference w:type="default" r:id="rId22"/>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EEB1B6" w14:textId="77777777" w:rsidR="00D34980" w:rsidRDefault="00D34980">
      <w:r>
        <w:separator/>
      </w:r>
    </w:p>
  </w:endnote>
  <w:endnote w:type="continuationSeparator" w:id="0">
    <w:p w14:paraId="1FB6B632" w14:textId="77777777" w:rsidR="00D34980" w:rsidRDefault="00D34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8BCFC" w14:textId="77777777" w:rsidR="00E3449C" w:rsidRDefault="00316E3F">
    <w:pPr>
      <w:pStyle w:val="Footer"/>
      <w:rPr>
        <w:rFonts w:cs="Lucida Sans Unicode"/>
        <w:sz w:val="16"/>
      </w:rPr>
    </w:pPr>
    <w:r>
      <w:rPr>
        <w:noProof/>
      </w:rPr>
      <w:drawing>
        <wp:inline distT="0" distB="0" distL="0" distR="0" wp14:anchorId="63E5FE8A" wp14:editId="0962DB3D">
          <wp:extent cx="1302385" cy="241300"/>
          <wp:effectExtent l="0" t="0" r="0" b="6350"/>
          <wp:docPr id="3" name="Picture 3">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sz w:val="12"/>
        <w:szCs w:val="16"/>
      </w:rPr>
      <w:t xml:space="preserve"> </w:t>
    </w:r>
    <w:r w:rsidR="00E3449C">
      <w:rPr>
        <w:rFonts w:cs="Lucida Sans Unicode"/>
        <w:sz w:val="16"/>
      </w:rPr>
      <w:tab/>
    </w:r>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5D1D74">
      <w:rPr>
        <w:rFonts w:cs="Lucida Sans Unicode"/>
        <w:sz w:val="16"/>
      </w:rPr>
      <w:t>8</w:t>
    </w:r>
    <w:r w:rsidR="00E3449C">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9DAE62" w14:textId="77777777" w:rsidR="00D34980" w:rsidRDefault="00D34980">
      <w:r>
        <w:separator/>
      </w:r>
    </w:p>
  </w:footnote>
  <w:footnote w:type="continuationSeparator" w:id="0">
    <w:p w14:paraId="4EE13B77" w14:textId="77777777" w:rsidR="00D34980" w:rsidRDefault="00D34980">
      <w:r>
        <w:continuationSeparator/>
      </w:r>
    </w:p>
  </w:footnote>
  <w:footnote w:id="1">
    <w:p w14:paraId="17BE9F9B" w14:textId="77777777" w:rsidR="006A6E87" w:rsidRDefault="006A6E87" w:rsidP="00F154D7">
      <w:pPr>
        <w:pStyle w:val="FootnoteText"/>
        <w:jc w:val="left"/>
      </w:pPr>
      <w:r>
        <w:rPr>
          <w:rStyle w:val="FootnoteReference"/>
        </w:rPr>
        <w:footnoteRef/>
      </w:r>
      <w:r>
        <w:t xml:space="preserve"> </w:t>
      </w:r>
      <w:r w:rsidRPr="00F154D7">
        <w:rPr>
          <w:sz w:val="16"/>
          <w:szCs w:val="16"/>
        </w:rPr>
        <w:t xml:space="preserve">YouTube, Systems Theory, </w:t>
      </w:r>
      <w:hyperlink r:id="rId1" w:history="1">
        <w:r w:rsidRPr="00F154D7">
          <w:rPr>
            <w:rStyle w:val="Hyperlink"/>
            <w:sz w:val="16"/>
            <w:szCs w:val="16"/>
          </w:rPr>
          <w:t>https://www.youtube.com/watch?v=GRnkggRSIDY&amp;feature=youtu.be</w:t>
        </w:r>
      </w:hyperlink>
      <w:r>
        <w:t xml:space="preserve"> </w:t>
      </w:r>
    </w:p>
  </w:footnote>
  <w:footnote w:id="2">
    <w:p w14:paraId="06FDBDC0" w14:textId="77777777" w:rsidR="006A6E87" w:rsidRDefault="006A6E87" w:rsidP="00F154D7">
      <w:pPr>
        <w:pStyle w:val="FootnoteText"/>
        <w:jc w:val="left"/>
      </w:pPr>
      <w:r>
        <w:rPr>
          <w:rStyle w:val="FootnoteReference"/>
        </w:rPr>
        <w:footnoteRef/>
      </w:r>
      <w:r>
        <w:t xml:space="preserve"> </w:t>
      </w:r>
      <w:r w:rsidRPr="00F154D7">
        <w:rPr>
          <w:sz w:val="16"/>
          <w:szCs w:val="16"/>
        </w:rPr>
        <w:t xml:space="preserve">Systems Theory, </w:t>
      </w:r>
      <w:hyperlink r:id="rId2" w:history="1">
        <w:r w:rsidRPr="00F154D7">
          <w:rPr>
            <w:rStyle w:val="Hyperlink"/>
            <w:sz w:val="16"/>
            <w:szCs w:val="16"/>
          </w:rPr>
          <w:t>http://xbrl.squarespace.com/journal/2019/12/29/systems-theory-method-to-my-madness.html</w:t>
        </w:r>
      </w:hyperlink>
      <w:r w:rsidRPr="00F154D7">
        <w:rPr>
          <w:sz w:val="16"/>
          <w:szCs w:val="16"/>
        </w:rPr>
        <w:t xml:space="preserve"> </w:t>
      </w:r>
    </w:p>
  </w:footnote>
  <w:footnote w:id="3">
    <w:p w14:paraId="16178F55" w14:textId="5463581C" w:rsidR="00D93EE1" w:rsidRDefault="00D93EE1" w:rsidP="00D93EE1">
      <w:pPr>
        <w:pStyle w:val="FootnoteText"/>
        <w:jc w:val="left"/>
      </w:pPr>
      <w:r>
        <w:rPr>
          <w:rStyle w:val="FootnoteReference"/>
        </w:rPr>
        <w:footnoteRef/>
      </w:r>
      <w:r>
        <w:t xml:space="preserve"> </w:t>
      </w:r>
      <w:r w:rsidRPr="00D93EE1">
        <w:rPr>
          <w:sz w:val="16"/>
          <w:szCs w:val="16"/>
        </w:rPr>
        <w:t xml:space="preserve">Business Use Case Examples, </w:t>
      </w:r>
      <w:hyperlink r:id="rId3" w:history="1">
        <w:r w:rsidRPr="00D93EE1">
          <w:rPr>
            <w:rStyle w:val="Hyperlink"/>
            <w:sz w:val="16"/>
            <w:szCs w:val="16"/>
          </w:rPr>
          <w:t>http://xbrlsite.azurewebsites.net/2017/IntelligentDigitalFinancialReporting/Part04_Chapter07.4_BusinessUseCaseExamples.pdf</w:t>
        </w:r>
      </w:hyperlink>
      <w:r>
        <w:t xml:space="preserve"> </w:t>
      </w:r>
    </w:p>
  </w:footnote>
  <w:footnote w:id="4">
    <w:p w14:paraId="7007EC24" w14:textId="3D160B91" w:rsidR="00EE0242" w:rsidRDefault="00EE0242" w:rsidP="00EE0242">
      <w:pPr>
        <w:pStyle w:val="FootnoteText"/>
        <w:jc w:val="left"/>
      </w:pPr>
      <w:r>
        <w:rPr>
          <w:rStyle w:val="FootnoteReference"/>
        </w:rPr>
        <w:footnoteRef/>
      </w:r>
      <w:r>
        <w:t xml:space="preserve"> </w:t>
      </w:r>
      <w:r w:rsidRPr="00EE0242">
        <w:rPr>
          <w:i/>
          <w:iCs/>
          <w:sz w:val="16"/>
          <w:szCs w:val="16"/>
        </w:rPr>
        <w:t>Understanding and Leveraging Fact Sets</w:t>
      </w:r>
      <w:r w:rsidRPr="00EE0242">
        <w:rPr>
          <w:sz w:val="16"/>
          <w:szCs w:val="16"/>
        </w:rPr>
        <w:t xml:space="preserve">, </w:t>
      </w:r>
      <w:hyperlink r:id="rId4" w:history="1">
        <w:r w:rsidRPr="00EE0242">
          <w:rPr>
            <w:rStyle w:val="Hyperlink"/>
            <w:sz w:val="16"/>
            <w:szCs w:val="16"/>
          </w:rPr>
          <w:t>http://xbrlsite.azurewebsites.net/2019/Library/UnderstandingAndLeveragingFactSets.pdf</w:t>
        </w:r>
      </w:hyperlink>
    </w:p>
  </w:footnote>
  <w:footnote w:id="5">
    <w:p w14:paraId="12F16C57" w14:textId="1C63519F" w:rsidR="00EE0242" w:rsidRDefault="00EE0242" w:rsidP="00EE0242">
      <w:pPr>
        <w:pStyle w:val="FootnoteText"/>
        <w:jc w:val="left"/>
      </w:pPr>
      <w:r>
        <w:rPr>
          <w:rStyle w:val="FootnoteReference"/>
        </w:rPr>
        <w:footnoteRef/>
      </w:r>
      <w:r>
        <w:t xml:space="preserve"> </w:t>
      </w:r>
      <w:r w:rsidRPr="00EE0242">
        <w:rPr>
          <w:i/>
          <w:iCs/>
          <w:sz w:val="16"/>
          <w:szCs w:val="16"/>
        </w:rPr>
        <w:t>Breaking Down the Pieces of an XBRL-based Digital Financial Report</w:t>
      </w:r>
      <w:r w:rsidRPr="00EE0242">
        <w:rPr>
          <w:sz w:val="16"/>
          <w:szCs w:val="16"/>
        </w:rPr>
        <w:t xml:space="preserve">, </w:t>
      </w:r>
      <w:hyperlink r:id="rId5" w:history="1">
        <w:r w:rsidRPr="00EE0242">
          <w:rPr>
            <w:rStyle w:val="Hyperlink"/>
            <w:sz w:val="16"/>
            <w:szCs w:val="16"/>
          </w:rPr>
          <w:t>http://xbrl.squarespace.com/journal/2019/4/9/breaking-down-the-pieces-of-an-xbrl-based-digital-financial.html</w:t>
        </w:r>
      </w:hyperlink>
      <w:r>
        <w:t xml:space="preserve"> </w:t>
      </w:r>
    </w:p>
  </w:footnote>
  <w:footnote w:id="6">
    <w:p w14:paraId="52C05C7C" w14:textId="78E4A9EA" w:rsidR="00D5164E" w:rsidRDefault="00D5164E" w:rsidP="00D5164E">
      <w:pPr>
        <w:pStyle w:val="FootnoteText"/>
        <w:jc w:val="left"/>
      </w:pPr>
      <w:r>
        <w:rPr>
          <w:rStyle w:val="FootnoteReference"/>
        </w:rPr>
        <w:footnoteRef/>
      </w:r>
      <w:r>
        <w:t xml:space="preserve"> </w:t>
      </w:r>
      <w:r w:rsidRPr="00D5164E">
        <w:rPr>
          <w:sz w:val="16"/>
          <w:szCs w:val="16"/>
        </w:rPr>
        <w:t xml:space="preserve">US GAAP Disclosures, </w:t>
      </w:r>
      <w:hyperlink r:id="rId6" w:history="1">
        <w:r w:rsidRPr="00D5164E">
          <w:rPr>
            <w:rStyle w:val="Hyperlink"/>
            <w:sz w:val="16"/>
            <w:szCs w:val="16"/>
          </w:rPr>
          <w:t>http://xbrlsite-app.azurewebsites.net/DisclosureBestPractices/DisclosureBestPractices.aspx?DisclosureName=BalanceSheet</w:t>
        </w:r>
      </w:hyperlink>
      <w:r>
        <w:t xml:space="preserve"> </w:t>
      </w:r>
    </w:p>
  </w:footnote>
  <w:footnote w:id="7">
    <w:p w14:paraId="6DA19280" w14:textId="3A6A2F9D" w:rsidR="00D5164E" w:rsidRDefault="00D5164E" w:rsidP="00D5164E">
      <w:pPr>
        <w:pStyle w:val="FootnoteText"/>
        <w:jc w:val="left"/>
      </w:pPr>
      <w:r>
        <w:rPr>
          <w:rStyle w:val="FootnoteReference"/>
        </w:rPr>
        <w:footnoteRef/>
      </w:r>
      <w:r>
        <w:t xml:space="preserve"> </w:t>
      </w:r>
      <w:r w:rsidRPr="00D5164E">
        <w:rPr>
          <w:sz w:val="16"/>
          <w:szCs w:val="16"/>
        </w:rPr>
        <w:t xml:space="preserve">IFRS Disclosures, </w:t>
      </w:r>
      <w:hyperlink r:id="rId7" w:history="1">
        <w:r w:rsidRPr="00D5164E">
          <w:rPr>
            <w:rStyle w:val="Hyperlink"/>
            <w:sz w:val="16"/>
            <w:szCs w:val="16"/>
          </w:rPr>
          <w:t>http://xbrlsite-app.azurewebsites.net/DisclosureBestPractices_IFRS/DisclosureBestPractices.aspx?DisclosureName=BalanceSheet</w:t>
        </w:r>
      </w:hyperlink>
      <w:r>
        <w:t xml:space="preserve"> </w:t>
      </w:r>
    </w:p>
  </w:footnote>
  <w:footnote w:id="8">
    <w:p w14:paraId="4F652A51" w14:textId="77777777" w:rsidR="006A6E87" w:rsidRDefault="006A6E87" w:rsidP="00593BF0">
      <w:pPr>
        <w:pStyle w:val="FootnoteText"/>
        <w:jc w:val="left"/>
      </w:pPr>
      <w:r>
        <w:rPr>
          <w:rStyle w:val="FootnoteReference"/>
        </w:rPr>
        <w:footnoteRef/>
      </w:r>
      <w:r>
        <w:t xml:space="preserve"> </w:t>
      </w:r>
      <w:r w:rsidRPr="00593BF0">
        <w:rPr>
          <w:sz w:val="16"/>
        </w:rPr>
        <w:t xml:space="preserve">Concept Arrangement Pattern Examples, </w:t>
      </w:r>
      <w:hyperlink r:id="rId8" w:history="1">
        <w:r w:rsidRPr="00593BF0">
          <w:rPr>
            <w:rStyle w:val="Hyperlink"/>
            <w:sz w:val="16"/>
          </w:rPr>
          <w:t>http://xbrlsite.azurewebsites.net/DigitalFinancialReporting/ConceptArrangementPatterns/2017-05-07/</w:t>
        </w:r>
      </w:hyperlink>
      <w:r w:rsidRPr="00593BF0">
        <w:rPr>
          <w:sz w:val="16"/>
        </w:rPr>
        <w:t xml:space="preserve"> </w:t>
      </w:r>
    </w:p>
  </w:footnote>
  <w:footnote w:id="9">
    <w:p w14:paraId="77154EC6" w14:textId="77777777" w:rsidR="006A6E87" w:rsidRDefault="006A6E87" w:rsidP="00105371">
      <w:pPr>
        <w:pStyle w:val="FootnoteText"/>
        <w:jc w:val="left"/>
      </w:pPr>
      <w:r>
        <w:rPr>
          <w:rStyle w:val="FootnoteReference"/>
        </w:rPr>
        <w:footnoteRef/>
      </w:r>
      <w:r>
        <w:t xml:space="preserve"> </w:t>
      </w:r>
      <w:r w:rsidRPr="00105371">
        <w:rPr>
          <w:sz w:val="16"/>
          <w:szCs w:val="16"/>
        </w:rPr>
        <w:t xml:space="preserve">Conformance Suite, </w:t>
      </w:r>
      <w:hyperlink r:id="rId9" w:history="1">
        <w:r w:rsidRPr="00105371">
          <w:rPr>
            <w:rStyle w:val="Hyperlink"/>
            <w:sz w:val="16"/>
            <w:szCs w:val="16"/>
          </w:rPr>
          <w:t>http://xbrlsite.azurewebsites.net/2019/Prototype/conformance-suite/Production/index.xml</w:t>
        </w:r>
      </w:hyperlink>
      <w:r>
        <w:t xml:space="preserve"> </w:t>
      </w:r>
    </w:p>
  </w:footnote>
  <w:footnote w:id="10">
    <w:p w14:paraId="0FF2F831" w14:textId="61E0A889" w:rsidR="00ED0F3D" w:rsidRDefault="00ED0F3D" w:rsidP="00ED0F3D">
      <w:pPr>
        <w:pStyle w:val="FootnoteText"/>
        <w:jc w:val="left"/>
      </w:pPr>
      <w:r>
        <w:rPr>
          <w:rStyle w:val="FootnoteReference"/>
        </w:rPr>
        <w:footnoteRef/>
      </w:r>
      <w:r>
        <w:t xml:space="preserve"> </w:t>
      </w:r>
      <w:r w:rsidRPr="00ED0F3D">
        <w:rPr>
          <w:sz w:val="16"/>
          <w:szCs w:val="16"/>
        </w:rPr>
        <w:t xml:space="preserve">Comparison of Renderings for Concept Arrangement Patterns, </w:t>
      </w:r>
      <w:hyperlink r:id="rId10" w:history="1">
        <w:r w:rsidRPr="00ED0F3D">
          <w:rPr>
            <w:rStyle w:val="Hyperlink"/>
            <w:sz w:val="16"/>
            <w:szCs w:val="16"/>
          </w:rPr>
          <w:t>http://xbrlsite.azurewebsites.net/2019/Prototype/conformance-suite/Production/ComparisonOfConceptArrangementPatternRenderings.pdf</w:t>
        </w:r>
      </w:hyperlink>
      <w:r>
        <w:t xml:space="preserve"> </w:t>
      </w:r>
    </w:p>
  </w:footnote>
  <w:footnote w:id="11">
    <w:p w14:paraId="238E4CB8" w14:textId="46BAB3E2" w:rsidR="00D93EE1" w:rsidRDefault="00D93EE1" w:rsidP="00D93EE1">
      <w:pPr>
        <w:pStyle w:val="FootnoteText"/>
        <w:jc w:val="left"/>
      </w:pPr>
      <w:r>
        <w:rPr>
          <w:rStyle w:val="FootnoteReference"/>
        </w:rPr>
        <w:footnoteRef/>
      </w:r>
      <w:r>
        <w:t xml:space="preserve"> </w:t>
      </w:r>
      <w:r w:rsidRPr="00D93EE1">
        <w:rPr>
          <w:sz w:val="16"/>
          <w:szCs w:val="16"/>
        </w:rPr>
        <w:t xml:space="preserve">Set, </w:t>
      </w:r>
      <w:hyperlink r:id="rId11" w:history="1">
        <w:r w:rsidRPr="000942E2">
          <w:rPr>
            <w:rStyle w:val="Hyperlink"/>
            <w:sz w:val="16"/>
            <w:szCs w:val="16"/>
          </w:rPr>
          <w:t>http://xbrlsite.azurewebsites.net/2019/Prototype/conformance-suite/Production/1000-ConceptArangementPatterns/11-Set/evidence-package</w:t>
        </w:r>
      </w:hyperlink>
      <w:r>
        <w:rPr>
          <w:sz w:val="16"/>
          <w:szCs w:val="16"/>
        </w:rPr>
        <w:t xml:space="preserve"> </w:t>
      </w:r>
    </w:p>
  </w:footnote>
  <w:footnote w:id="12">
    <w:p w14:paraId="5A6EEC9D" w14:textId="325E6622" w:rsidR="00D93EE1" w:rsidRDefault="00D93EE1" w:rsidP="00D93EE1">
      <w:pPr>
        <w:pStyle w:val="FootnoteText"/>
        <w:jc w:val="left"/>
      </w:pPr>
      <w:r>
        <w:rPr>
          <w:rStyle w:val="FootnoteReference"/>
        </w:rPr>
        <w:footnoteRef/>
      </w:r>
      <w:r>
        <w:t xml:space="preserve"> </w:t>
      </w:r>
      <w:r w:rsidRPr="00D93EE1">
        <w:rPr>
          <w:sz w:val="16"/>
          <w:szCs w:val="16"/>
        </w:rPr>
        <w:t xml:space="preserve">Hierarchy, </w:t>
      </w:r>
      <w:hyperlink r:id="rId12" w:history="1">
        <w:r w:rsidRPr="000942E2">
          <w:rPr>
            <w:rStyle w:val="Hyperlink"/>
            <w:sz w:val="16"/>
            <w:szCs w:val="16"/>
          </w:rPr>
          <w:t>http://xbrlsite.azurewebsites.net/2019/Prototype/conformance-suite/Production/1000-ConceptArangementPatterns/01-Hierarchy/evidence-package</w:t>
        </w:r>
      </w:hyperlink>
      <w:r>
        <w:rPr>
          <w:sz w:val="16"/>
          <w:szCs w:val="16"/>
        </w:rPr>
        <w:t xml:space="preserve"> </w:t>
      </w:r>
    </w:p>
  </w:footnote>
  <w:footnote w:id="13">
    <w:p w14:paraId="737E3E91" w14:textId="7F5C9D13" w:rsidR="00B50653" w:rsidRDefault="00B50653" w:rsidP="00B50653">
      <w:pPr>
        <w:pStyle w:val="FootnoteText"/>
        <w:jc w:val="left"/>
      </w:pPr>
      <w:r>
        <w:rPr>
          <w:rStyle w:val="FootnoteReference"/>
        </w:rPr>
        <w:footnoteRef/>
      </w:r>
      <w:r>
        <w:t xml:space="preserve"> </w:t>
      </w:r>
      <w:r w:rsidRPr="00B50653">
        <w:rPr>
          <w:sz w:val="16"/>
          <w:szCs w:val="16"/>
        </w:rPr>
        <w:t xml:space="preserve">Roll Up, </w:t>
      </w:r>
      <w:hyperlink r:id="rId13" w:history="1">
        <w:r w:rsidRPr="00B50653">
          <w:rPr>
            <w:rStyle w:val="Hyperlink"/>
            <w:sz w:val="16"/>
            <w:szCs w:val="16"/>
          </w:rPr>
          <w:t>http://xbrlsite.azurewebsites.net/2019/Prototype/conformance-suite/Production/1000-ConceptArangementPatterns/02-RollUp/evidence-package</w:t>
        </w:r>
      </w:hyperlink>
      <w:r>
        <w:t xml:space="preserve"> </w:t>
      </w:r>
    </w:p>
  </w:footnote>
  <w:footnote w:id="14">
    <w:p w14:paraId="67C3FF3B" w14:textId="58EB1FF2" w:rsidR="00B50653" w:rsidRDefault="00B50653" w:rsidP="00B50653">
      <w:pPr>
        <w:pStyle w:val="FootnoteText"/>
        <w:jc w:val="left"/>
      </w:pPr>
      <w:r>
        <w:rPr>
          <w:rStyle w:val="FootnoteReference"/>
        </w:rPr>
        <w:footnoteRef/>
      </w:r>
      <w:r>
        <w:t xml:space="preserve"> </w:t>
      </w:r>
      <w:r w:rsidRPr="00B50653">
        <w:rPr>
          <w:sz w:val="16"/>
          <w:szCs w:val="16"/>
        </w:rPr>
        <w:t xml:space="preserve">Roll Forward, </w:t>
      </w:r>
      <w:hyperlink r:id="rId14" w:history="1">
        <w:r w:rsidRPr="00B50653">
          <w:rPr>
            <w:rStyle w:val="Hyperlink"/>
            <w:sz w:val="16"/>
            <w:szCs w:val="16"/>
          </w:rPr>
          <w:t>http://xbrlsite.azurewebsites.net/2019/Prototype/conformance-suite/Production/1000-ConceptArangementPatterns/03-RollForward/evidence-package</w:t>
        </w:r>
      </w:hyperlink>
      <w:r>
        <w:t xml:space="preserve"> </w:t>
      </w:r>
    </w:p>
  </w:footnote>
  <w:footnote w:id="15">
    <w:p w14:paraId="415FFDD9" w14:textId="15126B98" w:rsidR="00250C19" w:rsidRDefault="00250C19" w:rsidP="00250C19">
      <w:pPr>
        <w:pStyle w:val="FootnoteText"/>
        <w:jc w:val="left"/>
      </w:pPr>
      <w:r>
        <w:rPr>
          <w:rStyle w:val="FootnoteReference"/>
        </w:rPr>
        <w:footnoteRef/>
      </w:r>
      <w:r>
        <w:t xml:space="preserve"> </w:t>
      </w:r>
      <w:r w:rsidRPr="00250C19">
        <w:rPr>
          <w:sz w:val="16"/>
          <w:szCs w:val="16"/>
        </w:rPr>
        <w:t xml:space="preserve">Stocks and Flows, </w:t>
      </w:r>
      <w:hyperlink r:id="rId15" w:history="1">
        <w:r w:rsidRPr="00250C19">
          <w:rPr>
            <w:rStyle w:val="Hyperlink"/>
            <w:sz w:val="16"/>
            <w:szCs w:val="16"/>
          </w:rPr>
          <w:t>https://www.youtube.com/watch?v=nRlYGDBGcRA</w:t>
        </w:r>
      </w:hyperlink>
      <w:r>
        <w:t xml:space="preserve"> </w:t>
      </w:r>
    </w:p>
  </w:footnote>
  <w:footnote w:id="16">
    <w:p w14:paraId="6011256D" w14:textId="795F34F6" w:rsidR="00250C19" w:rsidRDefault="00250C19" w:rsidP="006977C9">
      <w:pPr>
        <w:pStyle w:val="FootnoteText"/>
        <w:jc w:val="left"/>
      </w:pPr>
      <w:r>
        <w:rPr>
          <w:rStyle w:val="FootnoteReference"/>
        </w:rPr>
        <w:footnoteRef/>
      </w:r>
      <w:r>
        <w:t xml:space="preserve"> </w:t>
      </w:r>
      <w:r w:rsidR="006977C9" w:rsidRPr="006977C9">
        <w:rPr>
          <w:sz w:val="16"/>
          <w:szCs w:val="16"/>
        </w:rPr>
        <w:t xml:space="preserve">Roll Forward Info, </w:t>
      </w:r>
      <w:hyperlink r:id="rId16" w:history="1">
        <w:r w:rsidR="006977C9" w:rsidRPr="006977C9">
          <w:rPr>
            <w:rStyle w:val="Hyperlink"/>
            <w:sz w:val="16"/>
            <w:szCs w:val="16"/>
          </w:rPr>
          <w:t>http://xbrlsite.azurewebsites.net/2019/Prototype/conformance-suite/Production/1000-ConceptArangementPatterns/10-RollForwardInfo/evidence-package</w:t>
        </w:r>
      </w:hyperlink>
      <w:r w:rsidR="006977C9" w:rsidRPr="006977C9">
        <w:rPr>
          <w:sz w:val="16"/>
          <w:szCs w:val="16"/>
        </w:rPr>
        <w:t xml:space="preserve"> </w:t>
      </w:r>
    </w:p>
  </w:footnote>
  <w:footnote w:id="17">
    <w:p w14:paraId="4307164D" w14:textId="6D250906" w:rsidR="006977C9" w:rsidRPr="006977C9" w:rsidRDefault="006977C9" w:rsidP="006977C9">
      <w:pPr>
        <w:pStyle w:val="FootnoteText"/>
        <w:jc w:val="left"/>
        <w:rPr>
          <w:sz w:val="16"/>
          <w:szCs w:val="16"/>
        </w:rPr>
      </w:pPr>
      <w:r>
        <w:rPr>
          <w:rStyle w:val="FootnoteReference"/>
        </w:rPr>
        <w:footnoteRef/>
      </w:r>
      <w:r>
        <w:t xml:space="preserve"> </w:t>
      </w:r>
      <w:r w:rsidRPr="006977C9">
        <w:rPr>
          <w:sz w:val="16"/>
          <w:szCs w:val="16"/>
        </w:rPr>
        <w:t xml:space="preserve">Adjustment, </w:t>
      </w:r>
      <w:hyperlink r:id="rId17" w:history="1">
        <w:r w:rsidRPr="006977C9">
          <w:rPr>
            <w:rStyle w:val="Hyperlink"/>
            <w:sz w:val="16"/>
            <w:szCs w:val="16"/>
          </w:rPr>
          <w:t>http://xbrlsite.azurewebsites.net/2019/Prototype/conformance-suite/Production/1000-ConceptArangementPatterns/05-Adjustment/evidence-package/</w:t>
        </w:r>
      </w:hyperlink>
      <w:r w:rsidRPr="006977C9">
        <w:rPr>
          <w:sz w:val="16"/>
          <w:szCs w:val="16"/>
        </w:rPr>
        <w:t xml:space="preserve"> </w:t>
      </w:r>
    </w:p>
  </w:footnote>
  <w:footnote w:id="18">
    <w:p w14:paraId="6D533347" w14:textId="08D24946" w:rsidR="006C2254" w:rsidRDefault="006C2254" w:rsidP="006C2254">
      <w:pPr>
        <w:pStyle w:val="FootnoteText"/>
        <w:jc w:val="left"/>
      </w:pPr>
      <w:r>
        <w:rPr>
          <w:rStyle w:val="FootnoteReference"/>
        </w:rPr>
        <w:footnoteRef/>
      </w:r>
      <w:r>
        <w:t xml:space="preserve"> </w:t>
      </w:r>
      <w:r w:rsidRPr="006C2254">
        <w:rPr>
          <w:sz w:val="16"/>
          <w:szCs w:val="16"/>
        </w:rPr>
        <w:t xml:space="preserve">Originally stated label role, </w:t>
      </w:r>
      <w:hyperlink r:id="rId18" w:anchor="role-restatedLabel" w:history="1">
        <w:r w:rsidRPr="006C2254">
          <w:rPr>
            <w:rStyle w:val="Hyperlink"/>
            <w:sz w:val="16"/>
            <w:szCs w:val="16"/>
          </w:rPr>
          <w:t>https://specifications.xbrl.org/registries/lrr-2.0/#role-restatedLabel</w:t>
        </w:r>
      </w:hyperlink>
      <w:r>
        <w:t xml:space="preserve"> </w:t>
      </w:r>
    </w:p>
  </w:footnote>
  <w:footnote w:id="19">
    <w:p w14:paraId="098B2223" w14:textId="3A6697DC" w:rsidR="006C2254" w:rsidRDefault="006C2254" w:rsidP="006C2254">
      <w:pPr>
        <w:pStyle w:val="FootnoteText"/>
        <w:jc w:val="left"/>
      </w:pPr>
      <w:r>
        <w:rPr>
          <w:rStyle w:val="FootnoteReference"/>
        </w:rPr>
        <w:footnoteRef/>
      </w:r>
      <w:r>
        <w:t xml:space="preserve"> </w:t>
      </w:r>
      <w:r w:rsidRPr="006C2254">
        <w:rPr>
          <w:sz w:val="16"/>
          <w:szCs w:val="16"/>
        </w:rPr>
        <w:t xml:space="preserve">Variance, </w:t>
      </w:r>
      <w:hyperlink r:id="rId19" w:history="1">
        <w:r w:rsidRPr="006C2254">
          <w:rPr>
            <w:rStyle w:val="Hyperlink"/>
            <w:sz w:val="16"/>
            <w:szCs w:val="16"/>
          </w:rPr>
          <w:t>http://xbrlsite.azurewebsites.net/2019/Prototype/conformance-suite/Production/1000-ConceptArangementPatterns/06-Variance/evidence-package/</w:t>
        </w:r>
      </w:hyperlink>
      <w:r>
        <w:t xml:space="preserve"> </w:t>
      </w:r>
    </w:p>
  </w:footnote>
  <w:footnote w:id="20">
    <w:p w14:paraId="4F4075A7" w14:textId="4FCC1372" w:rsidR="002F7CEB" w:rsidRDefault="002F7CEB" w:rsidP="002F7CEB">
      <w:pPr>
        <w:pStyle w:val="FootnoteText"/>
        <w:jc w:val="left"/>
      </w:pPr>
      <w:r>
        <w:rPr>
          <w:rStyle w:val="FootnoteReference"/>
        </w:rPr>
        <w:footnoteRef/>
      </w:r>
      <w:r>
        <w:t xml:space="preserve"> </w:t>
      </w:r>
      <w:r w:rsidRPr="002F7CEB">
        <w:rPr>
          <w:sz w:val="16"/>
          <w:szCs w:val="16"/>
        </w:rPr>
        <w:t xml:space="preserve">Arithmetic, </w:t>
      </w:r>
      <w:hyperlink r:id="rId20" w:history="1">
        <w:r w:rsidRPr="002F7CEB">
          <w:rPr>
            <w:rStyle w:val="Hyperlink"/>
            <w:sz w:val="16"/>
            <w:szCs w:val="16"/>
          </w:rPr>
          <w:t>http://xbrlsite.azurewebsites.net/2019/Prototype/conformance-suite/Production/1000-ConceptArangementPatterns/12-Arithmetic/evidence-package/</w:t>
        </w:r>
      </w:hyperlink>
      <w:r w:rsidRPr="002F7CEB">
        <w:rPr>
          <w:sz w:val="16"/>
          <w:szCs w:val="16"/>
        </w:rPr>
        <w:t xml:space="preserve"> </w:t>
      </w:r>
    </w:p>
  </w:footnote>
  <w:footnote w:id="21">
    <w:p w14:paraId="451FD406" w14:textId="49433965" w:rsidR="002F7CEB" w:rsidRDefault="002F7CEB" w:rsidP="00102EEC">
      <w:pPr>
        <w:pStyle w:val="FootnoteText"/>
        <w:jc w:val="left"/>
      </w:pPr>
      <w:r>
        <w:rPr>
          <w:rStyle w:val="FootnoteReference"/>
        </w:rPr>
        <w:footnoteRef/>
      </w:r>
      <w:r>
        <w:t xml:space="preserve"> </w:t>
      </w:r>
      <w:r w:rsidRPr="00102EEC">
        <w:rPr>
          <w:sz w:val="16"/>
          <w:szCs w:val="16"/>
        </w:rPr>
        <w:t xml:space="preserve">XBRL Formula, </w:t>
      </w:r>
      <w:hyperlink r:id="rId21" w:history="1">
        <w:r w:rsidRPr="00102EEC">
          <w:rPr>
            <w:rStyle w:val="Hyperlink"/>
            <w:sz w:val="16"/>
            <w:szCs w:val="16"/>
          </w:rPr>
          <w:t>http://xbrlsite.azurewebsites.net/2019/Prototype/conformance-suite/Production/1000-ConceptArangementPatterns/12-Arithmetic/Arithmetic-formula.xml</w:t>
        </w:r>
      </w:hyperlink>
      <w:r>
        <w:t xml:space="preserve"> </w:t>
      </w:r>
    </w:p>
  </w:footnote>
  <w:footnote w:id="22">
    <w:p w14:paraId="6AF25782" w14:textId="504E12EF" w:rsidR="00102EEC" w:rsidRDefault="00102EEC" w:rsidP="00102EEC">
      <w:pPr>
        <w:pStyle w:val="FootnoteText"/>
        <w:jc w:val="left"/>
      </w:pPr>
      <w:r>
        <w:rPr>
          <w:rStyle w:val="FootnoteReference"/>
        </w:rPr>
        <w:footnoteRef/>
      </w:r>
      <w:r>
        <w:t xml:space="preserve"> </w:t>
      </w:r>
      <w:r w:rsidRPr="00102EEC">
        <w:rPr>
          <w:sz w:val="16"/>
          <w:szCs w:val="16"/>
        </w:rPr>
        <w:t xml:space="preserve">Text Block, </w:t>
      </w:r>
      <w:hyperlink r:id="rId22" w:history="1">
        <w:r w:rsidRPr="00102EEC">
          <w:rPr>
            <w:rStyle w:val="Hyperlink"/>
            <w:sz w:val="16"/>
            <w:szCs w:val="16"/>
          </w:rPr>
          <w:t>http://xbrlsite.azurewebsites.net/2019/Prototype/conformance-suite/Production/1000-ConceptArangementPatterns/08-TextBlock/evidence-package</w:t>
        </w:r>
      </w:hyperlink>
      <w:r>
        <w:t xml:space="preserve"> </w:t>
      </w:r>
    </w:p>
  </w:footnote>
  <w:footnote w:id="23">
    <w:p w14:paraId="531E890A" w14:textId="088B7716" w:rsidR="00FC4915" w:rsidRPr="00FC4915" w:rsidRDefault="00FC4915" w:rsidP="00FC4915">
      <w:pPr>
        <w:pStyle w:val="FootnoteText"/>
        <w:jc w:val="left"/>
        <w:rPr>
          <w:sz w:val="16"/>
          <w:szCs w:val="16"/>
        </w:rPr>
      </w:pPr>
      <w:r>
        <w:rPr>
          <w:rStyle w:val="FootnoteReference"/>
        </w:rPr>
        <w:footnoteRef/>
      </w:r>
      <w:r>
        <w:t xml:space="preserve"> </w:t>
      </w:r>
      <w:r w:rsidRPr="00FC4915">
        <w:rPr>
          <w:sz w:val="16"/>
          <w:szCs w:val="16"/>
        </w:rPr>
        <w:t xml:space="preserve">Nonnumeric data types, </w:t>
      </w:r>
      <w:hyperlink r:id="rId23" w:history="1">
        <w:r w:rsidRPr="00FC4915">
          <w:rPr>
            <w:rStyle w:val="Hyperlink"/>
            <w:sz w:val="16"/>
            <w:szCs w:val="16"/>
          </w:rPr>
          <w:t>http://www.xbrl.org/dtr/type/nonNumeric-2009-12-16.xsd</w:t>
        </w:r>
      </w:hyperlink>
      <w:r w:rsidRPr="00FC4915">
        <w:rPr>
          <w:sz w:val="16"/>
          <w:szCs w:val="16"/>
        </w:rPr>
        <w:t xml:space="preserve"> </w:t>
      </w:r>
    </w:p>
  </w:footnote>
  <w:footnote w:id="24">
    <w:p w14:paraId="25D2957A" w14:textId="0D86293E" w:rsidR="00102EEC" w:rsidRDefault="00102EEC" w:rsidP="00102EEC">
      <w:pPr>
        <w:pStyle w:val="FootnoteText"/>
        <w:jc w:val="left"/>
      </w:pPr>
      <w:r>
        <w:rPr>
          <w:rStyle w:val="FootnoteReference"/>
        </w:rPr>
        <w:footnoteRef/>
      </w:r>
      <w:r>
        <w:t xml:space="preserve"> </w:t>
      </w:r>
      <w:r w:rsidRPr="00102EEC">
        <w:rPr>
          <w:sz w:val="16"/>
          <w:szCs w:val="16"/>
        </w:rPr>
        <w:t xml:space="preserve">XBRL International Data Type Registry, </w:t>
      </w:r>
      <w:hyperlink r:id="rId24" w:history="1">
        <w:r w:rsidRPr="00102EEC">
          <w:rPr>
            <w:rStyle w:val="Hyperlink"/>
            <w:sz w:val="16"/>
            <w:szCs w:val="16"/>
          </w:rPr>
          <w:t>http://www.xbrl.org/dtr/dtr.xml</w:t>
        </w:r>
      </w:hyperlink>
      <w:r>
        <w:t xml:space="preserve"> </w:t>
      </w:r>
    </w:p>
  </w:footnote>
  <w:footnote w:id="25">
    <w:p w14:paraId="6E9BE685" w14:textId="61345A2D" w:rsidR="00FC4915" w:rsidRDefault="00FC4915" w:rsidP="00FC4915">
      <w:pPr>
        <w:pStyle w:val="FootnoteText"/>
        <w:jc w:val="left"/>
      </w:pPr>
      <w:r>
        <w:rPr>
          <w:rStyle w:val="FootnoteReference"/>
        </w:rPr>
        <w:footnoteRef/>
      </w:r>
      <w:r>
        <w:t xml:space="preserve"> </w:t>
      </w:r>
      <w:r w:rsidRPr="00FC4915">
        <w:rPr>
          <w:sz w:val="16"/>
          <w:szCs w:val="16"/>
        </w:rPr>
        <w:t xml:space="preserve">Grid, </w:t>
      </w:r>
      <w:hyperlink r:id="rId25" w:history="1">
        <w:r w:rsidRPr="00FC4915">
          <w:rPr>
            <w:rStyle w:val="Hyperlink"/>
            <w:sz w:val="16"/>
            <w:szCs w:val="16"/>
          </w:rPr>
          <w:t>http://xbrlsite.azurewebsites.net/2019/Prototype/conformance-suite/Production/1000-ConceptArangementPatterns/09-Grid/evidence-package</w:t>
        </w:r>
      </w:hyperlink>
      <w:r>
        <w:t xml:space="preserve"> </w:t>
      </w:r>
    </w:p>
  </w:footnote>
  <w:footnote w:id="26">
    <w:p w14:paraId="40FCE55A" w14:textId="2EF02FC3" w:rsidR="00B94AC8" w:rsidRPr="00B94AC8" w:rsidRDefault="00B94AC8" w:rsidP="00B94AC8">
      <w:pPr>
        <w:pStyle w:val="FootnoteText"/>
        <w:jc w:val="left"/>
        <w:rPr>
          <w:sz w:val="16"/>
          <w:szCs w:val="16"/>
        </w:rPr>
      </w:pPr>
      <w:r>
        <w:rPr>
          <w:rStyle w:val="FootnoteReference"/>
        </w:rPr>
        <w:footnoteRef/>
      </w:r>
      <w:r>
        <w:t xml:space="preserve"> </w:t>
      </w:r>
      <w:r w:rsidRPr="00B94AC8">
        <w:rPr>
          <w:sz w:val="16"/>
          <w:szCs w:val="16"/>
        </w:rPr>
        <w:t xml:space="preserve">Compound Fact, </w:t>
      </w:r>
      <w:hyperlink r:id="rId26" w:history="1">
        <w:r w:rsidRPr="00B94AC8">
          <w:rPr>
            <w:rStyle w:val="Hyperlink"/>
            <w:sz w:val="16"/>
            <w:szCs w:val="16"/>
          </w:rPr>
          <w:t>http://xbrlsite.azurewebsites.net/2019/Prototype/conformance-suite/Production/1000-ConceptArangementPatterns/04-CompoundFact/evidence-package</w:t>
        </w:r>
      </w:hyperlink>
      <w:r w:rsidRPr="00B94AC8">
        <w:rPr>
          <w:sz w:val="16"/>
          <w:szCs w:val="16"/>
        </w:rPr>
        <w:t xml:space="preserve"> </w:t>
      </w:r>
    </w:p>
  </w:footnote>
  <w:footnote w:id="27">
    <w:p w14:paraId="3647492F" w14:textId="1EA2DF20" w:rsidR="00B94AC8" w:rsidRDefault="00B94AC8" w:rsidP="00B94AC8">
      <w:pPr>
        <w:pStyle w:val="FootnoteText"/>
        <w:jc w:val="left"/>
      </w:pPr>
      <w:r>
        <w:rPr>
          <w:rStyle w:val="FootnoteReference"/>
        </w:rPr>
        <w:footnoteRef/>
      </w:r>
      <w:r>
        <w:t xml:space="preserve"> </w:t>
      </w:r>
      <w:r w:rsidRPr="00B94AC8">
        <w:rPr>
          <w:sz w:val="16"/>
          <w:szCs w:val="16"/>
        </w:rPr>
        <w:t xml:space="preserve">Compound Fact XBRL Formula, </w:t>
      </w:r>
      <w:hyperlink r:id="rId27" w:history="1">
        <w:r w:rsidRPr="00B94AC8">
          <w:rPr>
            <w:rStyle w:val="Hyperlink"/>
            <w:sz w:val="16"/>
            <w:szCs w:val="16"/>
          </w:rPr>
          <w:t>http://xbrlsite.azurewebsites.net/2019/Prototype/conformance-suite/Production/1000-ConceptArangementPatterns/04-CompoundFact/CompoundFact-formula.xml</w:t>
        </w:r>
      </w:hyperlink>
      <w:r>
        <w:t xml:space="preserve"> </w:t>
      </w:r>
    </w:p>
  </w:footnote>
  <w:footnote w:id="28">
    <w:p w14:paraId="482A2E33" w14:textId="606D912E" w:rsidR="007E27C9" w:rsidRDefault="007E27C9" w:rsidP="007E27C9">
      <w:pPr>
        <w:pStyle w:val="FootnoteText"/>
        <w:jc w:val="left"/>
      </w:pPr>
      <w:r>
        <w:rPr>
          <w:rStyle w:val="FootnoteReference"/>
        </w:rPr>
        <w:footnoteRef/>
      </w:r>
      <w:r>
        <w:t xml:space="preserve"> </w:t>
      </w:r>
      <w:r w:rsidRPr="007E27C9">
        <w:rPr>
          <w:sz w:val="16"/>
          <w:szCs w:val="16"/>
        </w:rPr>
        <w:t xml:space="preserve">Charles Hoffman, CPA, </w:t>
      </w:r>
      <w:r w:rsidRPr="007E27C9">
        <w:rPr>
          <w:i/>
          <w:iCs/>
          <w:sz w:val="16"/>
          <w:szCs w:val="16"/>
        </w:rPr>
        <w:t>Understanding Proof</w:t>
      </w:r>
      <w:r w:rsidRPr="007E27C9">
        <w:rPr>
          <w:sz w:val="16"/>
          <w:szCs w:val="16"/>
        </w:rPr>
        <w:t xml:space="preserve">, </w:t>
      </w:r>
      <w:hyperlink r:id="rId28" w:history="1">
        <w:r w:rsidRPr="007E27C9">
          <w:rPr>
            <w:rStyle w:val="Hyperlink"/>
            <w:sz w:val="16"/>
            <w:szCs w:val="16"/>
          </w:rPr>
          <w:t>http://xbrlsite.azurewebsites.net/2020/Library/UnderstandingProof.pdf</w:t>
        </w:r>
      </w:hyperlink>
    </w:p>
  </w:footnote>
  <w:footnote w:id="29">
    <w:p w14:paraId="7BAC9510" w14:textId="0D381A2F" w:rsidR="00834518" w:rsidRDefault="00834518" w:rsidP="00834518">
      <w:pPr>
        <w:pStyle w:val="FootnoteText"/>
        <w:jc w:val="left"/>
      </w:pPr>
      <w:r>
        <w:rPr>
          <w:rStyle w:val="FootnoteReference"/>
        </w:rPr>
        <w:footnoteRef/>
      </w:r>
      <w:r>
        <w:t xml:space="preserve"> </w:t>
      </w:r>
      <w:r w:rsidRPr="00834518">
        <w:rPr>
          <w:sz w:val="16"/>
          <w:szCs w:val="16"/>
        </w:rPr>
        <w:t>Comparison of Renderings for Concept Arrangement Patterns</w:t>
      </w:r>
      <w:r w:rsidRPr="00834518">
        <w:rPr>
          <w:sz w:val="16"/>
          <w:szCs w:val="16"/>
        </w:rPr>
        <w:t xml:space="preserve">, </w:t>
      </w:r>
      <w:hyperlink r:id="rId29" w:history="1">
        <w:r w:rsidRPr="00834518">
          <w:rPr>
            <w:rStyle w:val="Hyperlink"/>
            <w:sz w:val="16"/>
            <w:szCs w:val="16"/>
          </w:rPr>
          <w:t>http://xbrlsite.azurewebsites.net/2019/Prototype/conformance-suite/Production/ComparisonOfConceptArrangementPatternRenderings.pdf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34F32" w14:textId="7C2621AB" w:rsidR="00E3449C" w:rsidRPr="00DF510D" w:rsidRDefault="003E753A" w:rsidP="00DF510D">
    <w:pPr>
      <w:pStyle w:val="Header"/>
      <w:jc w:val="center"/>
      <w:rPr>
        <w:szCs w:val="18"/>
      </w:rPr>
    </w:pPr>
    <w:r>
      <w:rPr>
        <w:smallCaps/>
        <w:sz w:val="16"/>
        <w:szCs w:val="18"/>
      </w:rPr>
      <w:t xml:space="preserve">Mastering XBRL-based </w:t>
    </w:r>
    <w:r w:rsidR="00334AB5" w:rsidRPr="00DF510D">
      <w:rPr>
        <w:smallCaps/>
        <w:sz w:val="16"/>
        <w:szCs w:val="18"/>
      </w:rPr>
      <w:t xml:space="preserve">Digital Financial Reporting – Part 2: </w:t>
    </w:r>
    <w:r>
      <w:rPr>
        <w:smallCaps/>
        <w:sz w:val="16"/>
        <w:szCs w:val="18"/>
      </w:rPr>
      <w:t xml:space="preserve">Logical Conceptualization of </w:t>
    </w:r>
    <w:r w:rsidR="00334AB5" w:rsidRPr="00DF510D">
      <w:rPr>
        <w:smallCaps/>
        <w:sz w:val="16"/>
        <w:szCs w:val="18"/>
      </w:rPr>
      <w:t>Financial Report – Concept Arrangement Patterns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8035D8"/>
    <w:multiLevelType w:val="hybridMultilevel"/>
    <w:tmpl w:val="C8225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851B28"/>
    <w:multiLevelType w:val="hybridMultilevel"/>
    <w:tmpl w:val="E2CE9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B4776"/>
    <w:multiLevelType w:val="hybridMultilevel"/>
    <w:tmpl w:val="7D78F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96584F"/>
    <w:multiLevelType w:val="hybridMultilevel"/>
    <w:tmpl w:val="3FE6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735E1"/>
    <w:multiLevelType w:val="hybridMultilevel"/>
    <w:tmpl w:val="588C7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9B08AA"/>
    <w:multiLevelType w:val="hybridMultilevel"/>
    <w:tmpl w:val="1A8CC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567E1B"/>
    <w:multiLevelType w:val="hybridMultilevel"/>
    <w:tmpl w:val="6D500F6E"/>
    <w:lvl w:ilvl="0" w:tplc="04090001">
      <w:start w:val="1"/>
      <w:numFmt w:val="bullet"/>
      <w:lvlText w:val=""/>
      <w:lvlJc w:val="left"/>
      <w:pPr>
        <w:ind w:left="720" w:hanging="360"/>
      </w:pPr>
      <w:rPr>
        <w:rFonts w:ascii="Symbol" w:hAnsi="Symbol" w:hint="default"/>
      </w:rPr>
    </w:lvl>
    <w:lvl w:ilvl="1" w:tplc="658C0F6C">
      <w:numFmt w:val="bullet"/>
      <w:lvlText w:val="•"/>
      <w:lvlJc w:val="left"/>
      <w:pPr>
        <w:ind w:left="1800" w:hanging="720"/>
      </w:pPr>
      <w:rPr>
        <w:rFonts w:ascii="Verdana" w:eastAsia="Times New Roman" w:hAnsi="Verdana"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8B7714"/>
    <w:multiLevelType w:val="hybridMultilevel"/>
    <w:tmpl w:val="2E328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100C64"/>
    <w:multiLevelType w:val="hybridMultilevel"/>
    <w:tmpl w:val="2128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9455A3"/>
    <w:multiLevelType w:val="hybridMultilevel"/>
    <w:tmpl w:val="121AD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D12331"/>
    <w:multiLevelType w:val="hybridMultilevel"/>
    <w:tmpl w:val="8A069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num w:numId="1">
    <w:abstractNumId w:val="11"/>
  </w:num>
  <w:num w:numId="2">
    <w:abstractNumId w:val="1"/>
  </w:num>
  <w:num w:numId="3">
    <w:abstractNumId w:val="8"/>
  </w:num>
  <w:num w:numId="4">
    <w:abstractNumId w:val="4"/>
  </w:num>
  <w:num w:numId="5">
    <w:abstractNumId w:val="9"/>
  </w:num>
  <w:num w:numId="6">
    <w:abstractNumId w:val="3"/>
  </w:num>
  <w:num w:numId="7">
    <w:abstractNumId w:val="6"/>
  </w:num>
  <w:num w:numId="8">
    <w:abstractNumId w:val="5"/>
  </w:num>
  <w:num w:numId="9">
    <w:abstractNumId w:val="2"/>
  </w:num>
  <w:num w:numId="10">
    <w:abstractNumId w:val="0"/>
  </w:num>
  <w:num w:numId="11">
    <w:abstractNumId w:val="11"/>
  </w:num>
  <w:num w:numId="12">
    <w:abstractNumId w:val="10"/>
  </w:num>
  <w:num w:numId="13">
    <w:abstractNumId w:val="7"/>
  </w:num>
  <w:num w:numId="1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5D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30B6D"/>
    <w:rsid w:val="00031734"/>
    <w:rsid w:val="00032644"/>
    <w:rsid w:val="00035771"/>
    <w:rsid w:val="000358B0"/>
    <w:rsid w:val="00035C81"/>
    <w:rsid w:val="0003759F"/>
    <w:rsid w:val="00043122"/>
    <w:rsid w:val="000434D4"/>
    <w:rsid w:val="00043E99"/>
    <w:rsid w:val="00044165"/>
    <w:rsid w:val="000443D5"/>
    <w:rsid w:val="00044614"/>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697"/>
    <w:rsid w:val="00055BEE"/>
    <w:rsid w:val="00055F80"/>
    <w:rsid w:val="00056607"/>
    <w:rsid w:val="000570AE"/>
    <w:rsid w:val="00060120"/>
    <w:rsid w:val="000609B0"/>
    <w:rsid w:val="00061B60"/>
    <w:rsid w:val="000637EB"/>
    <w:rsid w:val="00063DBD"/>
    <w:rsid w:val="00063F84"/>
    <w:rsid w:val="000653B6"/>
    <w:rsid w:val="000659DD"/>
    <w:rsid w:val="000659E8"/>
    <w:rsid w:val="00065BD3"/>
    <w:rsid w:val="00067C1F"/>
    <w:rsid w:val="000715DD"/>
    <w:rsid w:val="00072ABF"/>
    <w:rsid w:val="00073599"/>
    <w:rsid w:val="00074E20"/>
    <w:rsid w:val="00074E5B"/>
    <w:rsid w:val="000770E7"/>
    <w:rsid w:val="00077496"/>
    <w:rsid w:val="000803CD"/>
    <w:rsid w:val="00080C5A"/>
    <w:rsid w:val="00082761"/>
    <w:rsid w:val="00084349"/>
    <w:rsid w:val="00084367"/>
    <w:rsid w:val="00084532"/>
    <w:rsid w:val="0008471D"/>
    <w:rsid w:val="00085A93"/>
    <w:rsid w:val="00086CD7"/>
    <w:rsid w:val="000902B5"/>
    <w:rsid w:val="00090664"/>
    <w:rsid w:val="000915E4"/>
    <w:rsid w:val="00096E5C"/>
    <w:rsid w:val="000A03AF"/>
    <w:rsid w:val="000A08F0"/>
    <w:rsid w:val="000A135D"/>
    <w:rsid w:val="000A2463"/>
    <w:rsid w:val="000A3DAF"/>
    <w:rsid w:val="000A408C"/>
    <w:rsid w:val="000A4F2F"/>
    <w:rsid w:val="000A6B47"/>
    <w:rsid w:val="000A7166"/>
    <w:rsid w:val="000A76D3"/>
    <w:rsid w:val="000A778C"/>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217"/>
    <w:rsid w:val="000D4CF5"/>
    <w:rsid w:val="000D5414"/>
    <w:rsid w:val="000D6234"/>
    <w:rsid w:val="000D63DA"/>
    <w:rsid w:val="000D6B34"/>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2941"/>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2EEC"/>
    <w:rsid w:val="001048F2"/>
    <w:rsid w:val="00104DF5"/>
    <w:rsid w:val="00104E4F"/>
    <w:rsid w:val="00104E90"/>
    <w:rsid w:val="00105371"/>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202E3"/>
    <w:rsid w:val="00120D76"/>
    <w:rsid w:val="00121AB0"/>
    <w:rsid w:val="00123CEA"/>
    <w:rsid w:val="00123F69"/>
    <w:rsid w:val="001245CE"/>
    <w:rsid w:val="0012470B"/>
    <w:rsid w:val="0012632D"/>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53E"/>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28B"/>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6"/>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597A"/>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0FA"/>
    <w:rsid w:val="002401AA"/>
    <w:rsid w:val="00240961"/>
    <w:rsid w:val="00240C65"/>
    <w:rsid w:val="00241485"/>
    <w:rsid w:val="00241637"/>
    <w:rsid w:val="00242029"/>
    <w:rsid w:val="002423E9"/>
    <w:rsid w:val="002427D3"/>
    <w:rsid w:val="002435C0"/>
    <w:rsid w:val="00243CC7"/>
    <w:rsid w:val="002473B6"/>
    <w:rsid w:val="00247A70"/>
    <w:rsid w:val="00250A74"/>
    <w:rsid w:val="00250C19"/>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6F32"/>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17D3"/>
    <w:rsid w:val="002C556A"/>
    <w:rsid w:val="002C5CC9"/>
    <w:rsid w:val="002C689C"/>
    <w:rsid w:val="002C6D02"/>
    <w:rsid w:val="002D0954"/>
    <w:rsid w:val="002D0A4F"/>
    <w:rsid w:val="002D0E42"/>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1EC2"/>
    <w:rsid w:val="002F3C0E"/>
    <w:rsid w:val="002F7580"/>
    <w:rsid w:val="002F7668"/>
    <w:rsid w:val="002F7CEB"/>
    <w:rsid w:val="0030085C"/>
    <w:rsid w:val="00301BEB"/>
    <w:rsid w:val="003023BC"/>
    <w:rsid w:val="00303C53"/>
    <w:rsid w:val="00304C3B"/>
    <w:rsid w:val="00305E80"/>
    <w:rsid w:val="00306109"/>
    <w:rsid w:val="003063F6"/>
    <w:rsid w:val="00306D62"/>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6E3F"/>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4AB5"/>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1A9"/>
    <w:rsid w:val="0034688C"/>
    <w:rsid w:val="003470FA"/>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1D2"/>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4532"/>
    <w:rsid w:val="003951FC"/>
    <w:rsid w:val="0039544B"/>
    <w:rsid w:val="00395ED4"/>
    <w:rsid w:val="00396C0C"/>
    <w:rsid w:val="003A1B5C"/>
    <w:rsid w:val="003A1F82"/>
    <w:rsid w:val="003A20C0"/>
    <w:rsid w:val="003A2E5F"/>
    <w:rsid w:val="003A313C"/>
    <w:rsid w:val="003A45B9"/>
    <w:rsid w:val="003A6A23"/>
    <w:rsid w:val="003A6D77"/>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53A"/>
    <w:rsid w:val="003E7AAF"/>
    <w:rsid w:val="003E7AF9"/>
    <w:rsid w:val="003E7D16"/>
    <w:rsid w:val="003F0138"/>
    <w:rsid w:val="003F27C5"/>
    <w:rsid w:val="003F2908"/>
    <w:rsid w:val="003F2AB9"/>
    <w:rsid w:val="003F33C9"/>
    <w:rsid w:val="003F595B"/>
    <w:rsid w:val="003F5F4B"/>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31C"/>
    <w:rsid w:val="00507655"/>
    <w:rsid w:val="0051035E"/>
    <w:rsid w:val="00510B8A"/>
    <w:rsid w:val="00510DA0"/>
    <w:rsid w:val="0051147B"/>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8B0"/>
    <w:rsid w:val="00537D49"/>
    <w:rsid w:val="00540BA5"/>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BF0"/>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5C4"/>
    <w:rsid w:val="005A59B0"/>
    <w:rsid w:val="005A747B"/>
    <w:rsid w:val="005A78CF"/>
    <w:rsid w:val="005A7960"/>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0EF"/>
    <w:rsid w:val="005C4D16"/>
    <w:rsid w:val="005C4D91"/>
    <w:rsid w:val="005C561F"/>
    <w:rsid w:val="005C5900"/>
    <w:rsid w:val="005C5D1E"/>
    <w:rsid w:val="005C6164"/>
    <w:rsid w:val="005D03FC"/>
    <w:rsid w:val="005D12D3"/>
    <w:rsid w:val="005D194F"/>
    <w:rsid w:val="005D1D74"/>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991"/>
    <w:rsid w:val="00626A84"/>
    <w:rsid w:val="0062792A"/>
    <w:rsid w:val="0063048D"/>
    <w:rsid w:val="00632687"/>
    <w:rsid w:val="0063274A"/>
    <w:rsid w:val="006342CA"/>
    <w:rsid w:val="006344DD"/>
    <w:rsid w:val="00634E98"/>
    <w:rsid w:val="00635EB8"/>
    <w:rsid w:val="00636C60"/>
    <w:rsid w:val="0063743D"/>
    <w:rsid w:val="00641C5F"/>
    <w:rsid w:val="006425DB"/>
    <w:rsid w:val="00645692"/>
    <w:rsid w:val="0064583A"/>
    <w:rsid w:val="00645A01"/>
    <w:rsid w:val="00645D39"/>
    <w:rsid w:val="00645F33"/>
    <w:rsid w:val="00646631"/>
    <w:rsid w:val="00646B46"/>
    <w:rsid w:val="00646CFF"/>
    <w:rsid w:val="006474B4"/>
    <w:rsid w:val="00650D9C"/>
    <w:rsid w:val="00650E5E"/>
    <w:rsid w:val="00651B55"/>
    <w:rsid w:val="00652D06"/>
    <w:rsid w:val="00652E60"/>
    <w:rsid w:val="006530B0"/>
    <w:rsid w:val="00653185"/>
    <w:rsid w:val="006540EA"/>
    <w:rsid w:val="006546ED"/>
    <w:rsid w:val="00654A49"/>
    <w:rsid w:val="00654AEF"/>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65FF"/>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977C9"/>
    <w:rsid w:val="006A192D"/>
    <w:rsid w:val="006A27E6"/>
    <w:rsid w:val="006A31B6"/>
    <w:rsid w:val="006A38BA"/>
    <w:rsid w:val="006A4182"/>
    <w:rsid w:val="006A4412"/>
    <w:rsid w:val="006A4511"/>
    <w:rsid w:val="006A46E0"/>
    <w:rsid w:val="006A589A"/>
    <w:rsid w:val="006A5EC9"/>
    <w:rsid w:val="006A6D0E"/>
    <w:rsid w:val="006A6D75"/>
    <w:rsid w:val="006A6E87"/>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2254"/>
    <w:rsid w:val="006C3933"/>
    <w:rsid w:val="006C5863"/>
    <w:rsid w:val="006C5DF3"/>
    <w:rsid w:val="006C6392"/>
    <w:rsid w:val="006C6BF6"/>
    <w:rsid w:val="006C6E62"/>
    <w:rsid w:val="006C73E4"/>
    <w:rsid w:val="006C7B84"/>
    <w:rsid w:val="006D2C7C"/>
    <w:rsid w:val="006D3754"/>
    <w:rsid w:val="006D41AD"/>
    <w:rsid w:val="006D434D"/>
    <w:rsid w:val="006D4898"/>
    <w:rsid w:val="006D4ED4"/>
    <w:rsid w:val="006D53CC"/>
    <w:rsid w:val="006D562A"/>
    <w:rsid w:val="006D6CE3"/>
    <w:rsid w:val="006E0025"/>
    <w:rsid w:val="006E0B25"/>
    <w:rsid w:val="006E0FEB"/>
    <w:rsid w:val="006E24A2"/>
    <w:rsid w:val="006E3251"/>
    <w:rsid w:val="006E3576"/>
    <w:rsid w:val="006E40F7"/>
    <w:rsid w:val="006E450F"/>
    <w:rsid w:val="006E6484"/>
    <w:rsid w:val="006E65EA"/>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69D9"/>
    <w:rsid w:val="00727470"/>
    <w:rsid w:val="007315DF"/>
    <w:rsid w:val="00731A45"/>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57513"/>
    <w:rsid w:val="00760A27"/>
    <w:rsid w:val="00761382"/>
    <w:rsid w:val="007614CB"/>
    <w:rsid w:val="007618C0"/>
    <w:rsid w:val="00761F7E"/>
    <w:rsid w:val="007621AA"/>
    <w:rsid w:val="00762C43"/>
    <w:rsid w:val="0076400C"/>
    <w:rsid w:val="007645D1"/>
    <w:rsid w:val="00764892"/>
    <w:rsid w:val="0076499F"/>
    <w:rsid w:val="00765580"/>
    <w:rsid w:val="00765FFF"/>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7227"/>
    <w:rsid w:val="007B2565"/>
    <w:rsid w:val="007B2C1C"/>
    <w:rsid w:val="007B3281"/>
    <w:rsid w:val="007B40B5"/>
    <w:rsid w:val="007B444B"/>
    <w:rsid w:val="007B44CF"/>
    <w:rsid w:val="007B4837"/>
    <w:rsid w:val="007B5824"/>
    <w:rsid w:val="007B635D"/>
    <w:rsid w:val="007B692E"/>
    <w:rsid w:val="007B6C60"/>
    <w:rsid w:val="007B74D3"/>
    <w:rsid w:val="007B7CA9"/>
    <w:rsid w:val="007C0751"/>
    <w:rsid w:val="007C2318"/>
    <w:rsid w:val="007C27C3"/>
    <w:rsid w:val="007C32DB"/>
    <w:rsid w:val="007C3E54"/>
    <w:rsid w:val="007C437A"/>
    <w:rsid w:val="007C76AD"/>
    <w:rsid w:val="007D01E1"/>
    <w:rsid w:val="007D05A3"/>
    <w:rsid w:val="007D4279"/>
    <w:rsid w:val="007D6AC0"/>
    <w:rsid w:val="007D7B8E"/>
    <w:rsid w:val="007D7C2A"/>
    <w:rsid w:val="007E054C"/>
    <w:rsid w:val="007E18F3"/>
    <w:rsid w:val="007E24D6"/>
    <w:rsid w:val="007E25AB"/>
    <w:rsid w:val="007E27C9"/>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21B"/>
    <w:rsid w:val="0080077C"/>
    <w:rsid w:val="00801145"/>
    <w:rsid w:val="008015E3"/>
    <w:rsid w:val="0080165E"/>
    <w:rsid w:val="00802516"/>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6BF5"/>
    <w:rsid w:val="00827413"/>
    <w:rsid w:val="00830EBF"/>
    <w:rsid w:val="00832082"/>
    <w:rsid w:val="00832A40"/>
    <w:rsid w:val="0083321A"/>
    <w:rsid w:val="00834518"/>
    <w:rsid w:val="00835F93"/>
    <w:rsid w:val="0083630F"/>
    <w:rsid w:val="00836A2A"/>
    <w:rsid w:val="00836ED2"/>
    <w:rsid w:val="0083725D"/>
    <w:rsid w:val="008402A6"/>
    <w:rsid w:val="00840F29"/>
    <w:rsid w:val="00841E5F"/>
    <w:rsid w:val="00841EB1"/>
    <w:rsid w:val="0084230A"/>
    <w:rsid w:val="00842B7C"/>
    <w:rsid w:val="00842ECB"/>
    <w:rsid w:val="00843ED4"/>
    <w:rsid w:val="00847F83"/>
    <w:rsid w:val="00847FEF"/>
    <w:rsid w:val="00850D39"/>
    <w:rsid w:val="008521BF"/>
    <w:rsid w:val="00852DA3"/>
    <w:rsid w:val="0085361B"/>
    <w:rsid w:val="00853769"/>
    <w:rsid w:val="00854359"/>
    <w:rsid w:val="008561EB"/>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2C5B"/>
    <w:rsid w:val="00885561"/>
    <w:rsid w:val="00885880"/>
    <w:rsid w:val="00885D09"/>
    <w:rsid w:val="00886BCF"/>
    <w:rsid w:val="00887DDB"/>
    <w:rsid w:val="0089019B"/>
    <w:rsid w:val="00890AA6"/>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393"/>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5C31"/>
    <w:rsid w:val="00906313"/>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282C"/>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0C1"/>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4F80"/>
    <w:rsid w:val="00965EDA"/>
    <w:rsid w:val="00966A32"/>
    <w:rsid w:val="00966E74"/>
    <w:rsid w:val="00966F72"/>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5977"/>
    <w:rsid w:val="00985C26"/>
    <w:rsid w:val="009866A6"/>
    <w:rsid w:val="00987251"/>
    <w:rsid w:val="00990C68"/>
    <w:rsid w:val="00991EF5"/>
    <w:rsid w:val="009921FC"/>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16E4"/>
    <w:rsid w:val="009C270B"/>
    <w:rsid w:val="009C2DBF"/>
    <w:rsid w:val="009C38F6"/>
    <w:rsid w:val="009C3B14"/>
    <w:rsid w:val="009C42DE"/>
    <w:rsid w:val="009C44BA"/>
    <w:rsid w:val="009C4E91"/>
    <w:rsid w:val="009C510E"/>
    <w:rsid w:val="009C7529"/>
    <w:rsid w:val="009D03A0"/>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8CD"/>
    <w:rsid w:val="009F19EE"/>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93C"/>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352"/>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58B"/>
    <w:rsid w:val="00A52C3B"/>
    <w:rsid w:val="00A532FF"/>
    <w:rsid w:val="00A53B36"/>
    <w:rsid w:val="00A545B2"/>
    <w:rsid w:val="00A568D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3E95"/>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855"/>
    <w:rsid w:val="00A959C5"/>
    <w:rsid w:val="00A96662"/>
    <w:rsid w:val="00A966D5"/>
    <w:rsid w:val="00A97130"/>
    <w:rsid w:val="00A97132"/>
    <w:rsid w:val="00A976DB"/>
    <w:rsid w:val="00AA19BC"/>
    <w:rsid w:val="00AA19C0"/>
    <w:rsid w:val="00AA1A01"/>
    <w:rsid w:val="00AA1D0D"/>
    <w:rsid w:val="00AA33A6"/>
    <w:rsid w:val="00AA49D8"/>
    <w:rsid w:val="00AA4F8A"/>
    <w:rsid w:val="00AA5269"/>
    <w:rsid w:val="00AA68A9"/>
    <w:rsid w:val="00AB0448"/>
    <w:rsid w:val="00AB0FF4"/>
    <w:rsid w:val="00AB1E74"/>
    <w:rsid w:val="00AB2209"/>
    <w:rsid w:val="00AB260A"/>
    <w:rsid w:val="00AB2B62"/>
    <w:rsid w:val="00AB2F74"/>
    <w:rsid w:val="00AB470E"/>
    <w:rsid w:val="00AB4BEA"/>
    <w:rsid w:val="00AB55F6"/>
    <w:rsid w:val="00AB6EE1"/>
    <w:rsid w:val="00AB791D"/>
    <w:rsid w:val="00AB7990"/>
    <w:rsid w:val="00AB7EBD"/>
    <w:rsid w:val="00AC0A14"/>
    <w:rsid w:val="00AC1FE5"/>
    <w:rsid w:val="00AC235A"/>
    <w:rsid w:val="00AC3765"/>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B13"/>
    <w:rsid w:val="00B00CC3"/>
    <w:rsid w:val="00B01E9E"/>
    <w:rsid w:val="00B031CC"/>
    <w:rsid w:val="00B0407D"/>
    <w:rsid w:val="00B04AC3"/>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07E0"/>
    <w:rsid w:val="00B217DB"/>
    <w:rsid w:val="00B21E69"/>
    <w:rsid w:val="00B21F99"/>
    <w:rsid w:val="00B223CF"/>
    <w:rsid w:val="00B229F1"/>
    <w:rsid w:val="00B23121"/>
    <w:rsid w:val="00B23206"/>
    <w:rsid w:val="00B24FD4"/>
    <w:rsid w:val="00B259EF"/>
    <w:rsid w:val="00B25C5C"/>
    <w:rsid w:val="00B25C8D"/>
    <w:rsid w:val="00B25E74"/>
    <w:rsid w:val="00B263AA"/>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22"/>
    <w:rsid w:val="00B4243C"/>
    <w:rsid w:val="00B42993"/>
    <w:rsid w:val="00B4301E"/>
    <w:rsid w:val="00B440E8"/>
    <w:rsid w:val="00B443FD"/>
    <w:rsid w:val="00B4522F"/>
    <w:rsid w:val="00B459D7"/>
    <w:rsid w:val="00B472D2"/>
    <w:rsid w:val="00B4756A"/>
    <w:rsid w:val="00B50653"/>
    <w:rsid w:val="00B51073"/>
    <w:rsid w:val="00B52001"/>
    <w:rsid w:val="00B52411"/>
    <w:rsid w:val="00B5336E"/>
    <w:rsid w:val="00B55248"/>
    <w:rsid w:val="00B55609"/>
    <w:rsid w:val="00B55F7B"/>
    <w:rsid w:val="00B56561"/>
    <w:rsid w:val="00B601B9"/>
    <w:rsid w:val="00B60C5E"/>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023"/>
    <w:rsid w:val="00B7643C"/>
    <w:rsid w:val="00B7697D"/>
    <w:rsid w:val="00B76E9B"/>
    <w:rsid w:val="00B7768E"/>
    <w:rsid w:val="00B800AF"/>
    <w:rsid w:val="00B80302"/>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AC8"/>
    <w:rsid w:val="00B94EEB"/>
    <w:rsid w:val="00B959B0"/>
    <w:rsid w:val="00B95DD7"/>
    <w:rsid w:val="00B96039"/>
    <w:rsid w:val="00B962DF"/>
    <w:rsid w:val="00B96E54"/>
    <w:rsid w:val="00B96FA7"/>
    <w:rsid w:val="00B97678"/>
    <w:rsid w:val="00BA0124"/>
    <w:rsid w:val="00BA1DA0"/>
    <w:rsid w:val="00BA2B5D"/>
    <w:rsid w:val="00BA31AB"/>
    <w:rsid w:val="00BA38C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343"/>
    <w:rsid w:val="00BC0DE7"/>
    <w:rsid w:val="00BC0F4D"/>
    <w:rsid w:val="00BC1AF1"/>
    <w:rsid w:val="00BC2002"/>
    <w:rsid w:val="00BC2033"/>
    <w:rsid w:val="00BC2574"/>
    <w:rsid w:val="00BC2B9C"/>
    <w:rsid w:val="00BC2D72"/>
    <w:rsid w:val="00BC5542"/>
    <w:rsid w:val="00BC5D7F"/>
    <w:rsid w:val="00BC6776"/>
    <w:rsid w:val="00BC7F43"/>
    <w:rsid w:val="00BD43ED"/>
    <w:rsid w:val="00BD4783"/>
    <w:rsid w:val="00BD5A8F"/>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C6"/>
    <w:rsid w:val="00BF3E8F"/>
    <w:rsid w:val="00BF4D82"/>
    <w:rsid w:val="00BF5066"/>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2494"/>
    <w:rsid w:val="00C230E7"/>
    <w:rsid w:val="00C2370C"/>
    <w:rsid w:val="00C25074"/>
    <w:rsid w:val="00C252CE"/>
    <w:rsid w:val="00C25525"/>
    <w:rsid w:val="00C25F00"/>
    <w:rsid w:val="00C26BBD"/>
    <w:rsid w:val="00C27795"/>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4801"/>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B1060"/>
    <w:rsid w:val="00CB1364"/>
    <w:rsid w:val="00CB3455"/>
    <w:rsid w:val="00CB3C61"/>
    <w:rsid w:val="00CB4926"/>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284"/>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B76"/>
    <w:rsid w:val="00D253D6"/>
    <w:rsid w:val="00D26027"/>
    <w:rsid w:val="00D261FD"/>
    <w:rsid w:val="00D26CC1"/>
    <w:rsid w:val="00D27085"/>
    <w:rsid w:val="00D27373"/>
    <w:rsid w:val="00D311F7"/>
    <w:rsid w:val="00D31338"/>
    <w:rsid w:val="00D31967"/>
    <w:rsid w:val="00D325D0"/>
    <w:rsid w:val="00D33296"/>
    <w:rsid w:val="00D34980"/>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164E"/>
    <w:rsid w:val="00D53190"/>
    <w:rsid w:val="00D53259"/>
    <w:rsid w:val="00D53985"/>
    <w:rsid w:val="00D5412C"/>
    <w:rsid w:val="00D54FC3"/>
    <w:rsid w:val="00D55A77"/>
    <w:rsid w:val="00D60066"/>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3EE1"/>
    <w:rsid w:val="00D9456E"/>
    <w:rsid w:val="00D94B15"/>
    <w:rsid w:val="00D95D4B"/>
    <w:rsid w:val="00D97D65"/>
    <w:rsid w:val="00DA1BA5"/>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10D"/>
    <w:rsid w:val="00DF5538"/>
    <w:rsid w:val="00DF5982"/>
    <w:rsid w:val="00DF5C14"/>
    <w:rsid w:val="00DF6992"/>
    <w:rsid w:val="00DF7158"/>
    <w:rsid w:val="00DF74B1"/>
    <w:rsid w:val="00E00F81"/>
    <w:rsid w:val="00E02158"/>
    <w:rsid w:val="00E023DE"/>
    <w:rsid w:val="00E03F96"/>
    <w:rsid w:val="00E05F8E"/>
    <w:rsid w:val="00E0605F"/>
    <w:rsid w:val="00E075FB"/>
    <w:rsid w:val="00E07707"/>
    <w:rsid w:val="00E07947"/>
    <w:rsid w:val="00E111E6"/>
    <w:rsid w:val="00E120CA"/>
    <w:rsid w:val="00E13093"/>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AD6"/>
    <w:rsid w:val="00E51647"/>
    <w:rsid w:val="00E528F0"/>
    <w:rsid w:val="00E52903"/>
    <w:rsid w:val="00E52E3C"/>
    <w:rsid w:val="00E534B9"/>
    <w:rsid w:val="00E550DC"/>
    <w:rsid w:val="00E55124"/>
    <w:rsid w:val="00E55425"/>
    <w:rsid w:val="00E55D48"/>
    <w:rsid w:val="00E5616A"/>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08F"/>
    <w:rsid w:val="00E97282"/>
    <w:rsid w:val="00E97A68"/>
    <w:rsid w:val="00EA0BEA"/>
    <w:rsid w:val="00EA1F60"/>
    <w:rsid w:val="00EA250D"/>
    <w:rsid w:val="00EA2BFE"/>
    <w:rsid w:val="00EA3A0A"/>
    <w:rsid w:val="00EA3D8A"/>
    <w:rsid w:val="00EA4E4A"/>
    <w:rsid w:val="00EA5453"/>
    <w:rsid w:val="00EA5BAF"/>
    <w:rsid w:val="00EA7470"/>
    <w:rsid w:val="00EB001C"/>
    <w:rsid w:val="00EB0ED8"/>
    <w:rsid w:val="00EB14BC"/>
    <w:rsid w:val="00EB1AC0"/>
    <w:rsid w:val="00EB1F06"/>
    <w:rsid w:val="00EB2D42"/>
    <w:rsid w:val="00EB3499"/>
    <w:rsid w:val="00EB3735"/>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687"/>
    <w:rsid w:val="00EC5F6F"/>
    <w:rsid w:val="00EC659E"/>
    <w:rsid w:val="00EC7C56"/>
    <w:rsid w:val="00ED0121"/>
    <w:rsid w:val="00ED020B"/>
    <w:rsid w:val="00ED024F"/>
    <w:rsid w:val="00ED081B"/>
    <w:rsid w:val="00ED0A62"/>
    <w:rsid w:val="00ED0F3D"/>
    <w:rsid w:val="00ED2C89"/>
    <w:rsid w:val="00ED33D7"/>
    <w:rsid w:val="00ED3966"/>
    <w:rsid w:val="00ED4AF0"/>
    <w:rsid w:val="00ED501B"/>
    <w:rsid w:val="00ED5965"/>
    <w:rsid w:val="00ED5B41"/>
    <w:rsid w:val="00ED62F3"/>
    <w:rsid w:val="00ED6991"/>
    <w:rsid w:val="00ED710D"/>
    <w:rsid w:val="00ED7130"/>
    <w:rsid w:val="00ED7290"/>
    <w:rsid w:val="00ED738A"/>
    <w:rsid w:val="00ED76F5"/>
    <w:rsid w:val="00ED7924"/>
    <w:rsid w:val="00ED7EA4"/>
    <w:rsid w:val="00EE0242"/>
    <w:rsid w:val="00EE12C2"/>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C6F"/>
    <w:rsid w:val="00F154D7"/>
    <w:rsid w:val="00F15AEC"/>
    <w:rsid w:val="00F15B27"/>
    <w:rsid w:val="00F166EC"/>
    <w:rsid w:val="00F1698C"/>
    <w:rsid w:val="00F177AC"/>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7E44"/>
    <w:rsid w:val="00F47EFA"/>
    <w:rsid w:val="00F50A4E"/>
    <w:rsid w:val="00F5149A"/>
    <w:rsid w:val="00F531D4"/>
    <w:rsid w:val="00F53E29"/>
    <w:rsid w:val="00F54164"/>
    <w:rsid w:val="00F542FE"/>
    <w:rsid w:val="00F546DB"/>
    <w:rsid w:val="00F54851"/>
    <w:rsid w:val="00F55120"/>
    <w:rsid w:val="00F556F6"/>
    <w:rsid w:val="00F5752A"/>
    <w:rsid w:val="00F57591"/>
    <w:rsid w:val="00F57694"/>
    <w:rsid w:val="00F577A5"/>
    <w:rsid w:val="00F6047F"/>
    <w:rsid w:val="00F60C36"/>
    <w:rsid w:val="00F6160B"/>
    <w:rsid w:val="00F61D9F"/>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773"/>
    <w:rsid w:val="00F80A03"/>
    <w:rsid w:val="00F80A30"/>
    <w:rsid w:val="00F81871"/>
    <w:rsid w:val="00F81AF8"/>
    <w:rsid w:val="00F81BD4"/>
    <w:rsid w:val="00F82F65"/>
    <w:rsid w:val="00F8441E"/>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4E43"/>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4915"/>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F73E4CA"/>
  <w15:docId w15:val="{9173E9CF-248D-4453-9F0C-D814E10AE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link w:val="Heading4Char"/>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rsid w:val="006B52C9"/>
    <w:pPr>
      <w:jc w:val="both"/>
    </w:pPr>
    <w:rPr>
      <w:szCs w:val="20"/>
    </w:rPr>
  </w:style>
  <w:style w:type="character" w:styleId="FootnoteReference">
    <w:name w:val="footnote reference"/>
    <w:basedOn w:val="DefaultParagraphFont"/>
    <w:uiPriority w:val="99"/>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character" w:customStyle="1" w:styleId="Heading4Char">
    <w:name w:val="Heading 4 Char"/>
    <w:basedOn w:val="DefaultParagraphFont"/>
    <w:link w:val="Heading4"/>
    <w:rsid w:val="007B44CF"/>
    <w:rPr>
      <w:rFonts w:ascii="Arial" w:hAnsi="Arial"/>
      <w:b/>
      <w:bCs/>
      <w:sz w:val="24"/>
      <w:szCs w:val="28"/>
    </w:rPr>
  </w:style>
  <w:style w:type="character" w:styleId="UnresolvedMention">
    <w:name w:val="Unresolved Mention"/>
    <w:basedOn w:val="DefaultParagraphFont"/>
    <w:uiPriority w:val="99"/>
    <w:semiHidden/>
    <w:unhideWhenUsed/>
    <w:rsid w:val="001053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337817">
      <w:bodyDiv w:val="1"/>
      <w:marLeft w:val="0"/>
      <w:marRight w:val="0"/>
      <w:marTop w:val="0"/>
      <w:marBottom w:val="0"/>
      <w:divBdr>
        <w:top w:val="none" w:sz="0" w:space="0" w:color="auto"/>
        <w:left w:val="none" w:sz="0" w:space="0" w:color="auto"/>
        <w:bottom w:val="none" w:sz="0" w:space="0" w:color="auto"/>
        <w:right w:val="none" w:sz="0" w:space="0" w:color="auto"/>
      </w:divBdr>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14.png"/><Relationship Id="rId1" Type="http://schemas.openxmlformats.org/officeDocument/2006/relationships/hyperlink" Target="https://creativecommons.org/publicdomain/zero/1.0/"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xbrlsite.azurewebsites.net/DigitalFinancialReporting/ConceptArrangementPatterns/2017-05-07/" TargetMode="External"/><Relationship Id="rId13" Type="http://schemas.openxmlformats.org/officeDocument/2006/relationships/hyperlink" Target="http://xbrlsite.azurewebsites.net/2019/Prototype/conformance-suite/Production/1000-ConceptArangementPatterns/02-RollUp/evidence-package" TargetMode="External"/><Relationship Id="rId18" Type="http://schemas.openxmlformats.org/officeDocument/2006/relationships/hyperlink" Target="https://specifications.xbrl.org/registries/lrr-2.0/" TargetMode="External"/><Relationship Id="rId26" Type="http://schemas.openxmlformats.org/officeDocument/2006/relationships/hyperlink" Target="http://xbrlsite.azurewebsites.net/2019/Prototype/conformance-suite/Production/1000-ConceptArangementPatterns/04-CompoundFact/evidence-package" TargetMode="External"/><Relationship Id="rId3" Type="http://schemas.openxmlformats.org/officeDocument/2006/relationships/hyperlink" Target="http://xbrlsite.azurewebsites.net/2017/IntelligentDigitalFinancialReporting/Part04_Chapter07.4_BusinessUseCaseExamples.pdf" TargetMode="External"/><Relationship Id="rId21" Type="http://schemas.openxmlformats.org/officeDocument/2006/relationships/hyperlink" Target="http://xbrlsite.azurewebsites.net/2019/Prototype/conformance-suite/Production/1000-ConceptArangementPatterns/12-Arithmetic/Arithmetic-formula.xml" TargetMode="External"/><Relationship Id="rId7" Type="http://schemas.openxmlformats.org/officeDocument/2006/relationships/hyperlink" Target="http://xbrlsite-app.azurewebsites.net/DisclosureBestPractices_IFRS/DisclosureBestPractices.aspx?DisclosureName=BalanceSheet" TargetMode="External"/><Relationship Id="rId12" Type="http://schemas.openxmlformats.org/officeDocument/2006/relationships/hyperlink" Target="http://xbrlsite.azurewebsites.net/2019/Prototype/conformance-suite/Production/1000-ConceptArangementPatterns/01-Hierarchy/evidence-package" TargetMode="External"/><Relationship Id="rId17" Type="http://schemas.openxmlformats.org/officeDocument/2006/relationships/hyperlink" Target="http://xbrlsite.azurewebsites.net/2019/Prototype/conformance-suite/Production/1000-ConceptArangementPatterns/05-Adjustment/evidence-package/" TargetMode="External"/><Relationship Id="rId25" Type="http://schemas.openxmlformats.org/officeDocument/2006/relationships/hyperlink" Target="http://xbrlsite.azurewebsites.net/2019/Prototype/conformance-suite/Production/1000-ConceptArangementPatterns/09-Grid/evidence-package" TargetMode="External"/><Relationship Id="rId2" Type="http://schemas.openxmlformats.org/officeDocument/2006/relationships/hyperlink" Target="http://xbrl.squarespace.com/journal/2019/12/29/systems-theory-method-to-my-madness.html" TargetMode="External"/><Relationship Id="rId16" Type="http://schemas.openxmlformats.org/officeDocument/2006/relationships/hyperlink" Target="http://xbrlsite.azurewebsites.net/2019/Prototype/conformance-suite/Production/1000-ConceptArangementPatterns/10-RollForwardInfo/evidence-package" TargetMode="External"/><Relationship Id="rId20" Type="http://schemas.openxmlformats.org/officeDocument/2006/relationships/hyperlink" Target="http://xbrlsite.azurewebsites.net/2019/Prototype/conformance-suite/Production/1000-ConceptArangementPatterns/12-Arithmetic/evidence-package/" TargetMode="External"/><Relationship Id="rId29" Type="http://schemas.openxmlformats.org/officeDocument/2006/relationships/hyperlink" Target="http://xbrlsite.azurewebsites.net/2019/Prototype/conformance-suite/Production/ComparisonOfConceptArrangementPatternRenderings.pdf" TargetMode="External"/><Relationship Id="rId1" Type="http://schemas.openxmlformats.org/officeDocument/2006/relationships/hyperlink" Target="https://www.youtube.com/watch?v=GRnkggRSIDY&amp;feature=youtu.be" TargetMode="External"/><Relationship Id="rId6" Type="http://schemas.openxmlformats.org/officeDocument/2006/relationships/hyperlink" Target="http://xbrlsite-app.azurewebsites.net/DisclosureBestPractices/DisclosureBestPractices.aspx?DisclosureName=BalanceSheet" TargetMode="External"/><Relationship Id="rId11" Type="http://schemas.openxmlformats.org/officeDocument/2006/relationships/hyperlink" Target="http://xbrlsite.azurewebsites.net/2019/Prototype/conformance-suite/Production/1000-ConceptArangementPatterns/11-Set/evidence-package" TargetMode="External"/><Relationship Id="rId24" Type="http://schemas.openxmlformats.org/officeDocument/2006/relationships/hyperlink" Target="http://www.xbrl.org/dtr/dtr.xml" TargetMode="External"/><Relationship Id="rId5" Type="http://schemas.openxmlformats.org/officeDocument/2006/relationships/hyperlink" Target="http://xbrl.squarespace.com/journal/2019/4/9/breaking-down-the-pieces-of-an-xbrl-based-digital-financial.html" TargetMode="External"/><Relationship Id="rId15" Type="http://schemas.openxmlformats.org/officeDocument/2006/relationships/hyperlink" Target="https://www.youtube.com/watch?v=nRlYGDBGcRA" TargetMode="External"/><Relationship Id="rId23" Type="http://schemas.openxmlformats.org/officeDocument/2006/relationships/hyperlink" Target="http://www.xbrl.org/dtr/type/nonNumeric-2009-12-16.xsd" TargetMode="External"/><Relationship Id="rId28" Type="http://schemas.openxmlformats.org/officeDocument/2006/relationships/hyperlink" Target="http://xbrlsite.azurewebsites.net/2020/Library/UnderstandingProof.pdf" TargetMode="External"/><Relationship Id="rId10" Type="http://schemas.openxmlformats.org/officeDocument/2006/relationships/hyperlink" Target="http://xbrlsite.azurewebsites.net/2019/Prototype/conformance-suite/Production/ComparisonOfConceptArrangementPatternRenderings.pdf" TargetMode="External"/><Relationship Id="rId19" Type="http://schemas.openxmlformats.org/officeDocument/2006/relationships/hyperlink" Target="http://xbrlsite.azurewebsites.net/2019/Prototype/conformance-suite/Production/1000-ConceptArangementPatterns/06-Variance/evidence-package/" TargetMode="External"/><Relationship Id="rId4" Type="http://schemas.openxmlformats.org/officeDocument/2006/relationships/hyperlink" Target="http://xbrlsite.azurewebsites.net/2019/Library/UnderstandingAndLeveragingFactSets.pdf" TargetMode="External"/><Relationship Id="rId9" Type="http://schemas.openxmlformats.org/officeDocument/2006/relationships/hyperlink" Target="http://xbrlsite.azurewebsites.net/2019/Prototype/conformance-suite/Production/index.xml" TargetMode="External"/><Relationship Id="rId14" Type="http://schemas.openxmlformats.org/officeDocument/2006/relationships/hyperlink" Target="http://xbrlsite.azurewebsites.net/2019/Prototype/conformance-suite/Production/1000-ConceptArangementPatterns/03-RollForward/evidence-package" TargetMode="External"/><Relationship Id="rId22" Type="http://schemas.openxmlformats.org/officeDocument/2006/relationships/hyperlink" Target="http://xbrlsite.azurewebsites.net/2019/Prototype/conformance-suite/Production/1000-ConceptArangementPatterns/08-TextBlock/evidence-package" TargetMode="External"/><Relationship Id="rId27" Type="http://schemas.openxmlformats.org/officeDocument/2006/relationships/hyperlink" Target="http://xbrlsite.azurewebsites.net/2019/Prototype/conformance-suite/Production/1000-ConceptArangementPatterns/04-CompoundFact/CompoundFact-formula.x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F03A4-C985-4974-A464-7F8041E39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1599</TotalTime>
  <Pages>12</Pages>
  <Words>2385</Words>
  <Characters>13596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15950</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48</cp:revision>
  <cp:lastPrinted>2020-01-27T17:48:00Z</cp:lastPrinted>
  <dcterms:created xsi:type="dcterms:W3CDTF">2016-12-18T19:38:00Z</dcterms:created>
  <dcterms:modified xsi:type="dcterms:W3CDTF">2020-08-13T15:01:00Z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