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CF9C71" w14:textId="77777777" w:rsidR="00A11AFE" w:rsidRDefault="00A11AFE" w:rsidP="00F57591">
      <w:pPr>
        <w:pStyle w:val="Heading1"/>
      </w:pPr>
      <w:r>
        <w:t>Member Arrangement Patterns</w:t>
      </w:r>
    </w:p>
    <w:p w14:paraId="6FAD0751" w14:textId="09DAA9F9" w:rsidR="00F657AE" w:rsidRDefault="00F657AE" w:rsidP="009921FC">
      <w:pPr>
        <w:pStyle w:val="BodyText"/>
        <w:rPr>
          <w:lang w:val="en-GB"/>
        </w:rPr>
      </w:pPr>
      <w:r>
        <w:rPr>
          <w:lang w:val="en-GB"/>
        </w:rPr>
        <w:t>The purpose of this section is to explain the details of the notion of the member arrangement pattern.</w:t>
      </w:r>
    </w:p>
    <w:p w14:paraId="4AB165FB" w14:textId="60BDE2A7" w:rsidR="00A11AFE" w:rsidRDefault="00A11AFE" w:rsidP="009921FC">
      <w:pPr>
        <w:pStyle w:val="BodyText"/>
        <w:rPr>
          <w:lang w:val="en-GB"/>
        </w:rPr>
      </w:pPr>
      <w:r w:rsidRPr="00F657AE">
        <w:rPr>
          <w:b/>
          <w:bCs/>
          <w:lang w:val="en-GB"/>
        </w:rPr>
        <w:t>Member arrangement patterns</w:t>
      </w:r>
      <w:r>
        <w:rPr>
          <w:lang w:val="en-GB"/>
        </w:rPr>
        <w:t xml:space="preserve"> explain how a set of [Member]s relate to one another within an</w:t>
      </w:r>
      <w:r w:rsidR="002F5F4F">
        <w:rPr>
          <w:lang w:val="en-GB"/>
        </w:rPr>
        <w:t xml:space="preserve"> Aspect or</w:t>
      </w:r>
      <w:r>
        <w:rPr>
          <w:lang w:val="en-GB"/>
        </w:rPr>
        <w:t xml:space="preserve"> [Axis]</w:t>
      </w:r>
      <w:r>
        <w:rPr>
          <w:rStyle w:val="FootnoteReference"/>
          <w:lang w:val="en-GB"/>
        </w:rPr>
        <w:footnoteReference w:id="1"/>
      </w:r>
      <w:r w:rsidR="002F5F4F">
        <w:rPr>
          <w:lang w:val="en-GB"/>
        </w:rPr>
        <w:t xml:space="preserve"> or dimension</w:t>
      </w:r>
      <w:r>
        <w:rPr>
          <w:lang w:val="en-GB"/>
        </w:rPr>
        <w:t>.</w:t>
      </w:r>
      <w:r w:rsidR="002F5F4F">
        <w:rPr>
          <w:lang w:val="en-GB"/>
        </w:rPr>
        <w:t xml:space="preserve">  This is similar to how concept arrangement patterns explain the relationship between the Concept’s and Abstracts within a set of [Line Items] or primary items.</w:t>
      </w:r>
    </w:p>
    <w:p w14:paraId="12A21A3D" w14:textId="1392A374" w:rsidR="00A11AFE" w:rsidRDefault="00A11AFE" w:rsidP="009921FC">
      <w:pPr>
        <w:pStyle w:val="BodyText"/>
        <w:rPr>
          <w:lang w:val="en-GB"/>
        </w:rPr>
      </w:pPr>
      <w:r>
        <w:rPr>
          <w:lang w:val="en-GB"/>
        </w:rPr>
        <w:t>Before we explain the member arrangement patterns, we need to clarify some terminology which is often confused or used incorrectly.</w:t>
      </w:r>
    </w:p>
    <w:p w14:paraId="7B954858" w14:textId="53FF8DBC" w:rsidR="00300A40" w:rsidRDefault="00300A40" w:rsidP="009921FC">
      <w:pPr>
        <w:pStyle w:val="BodyText"/>
        <w:rPr>
          <w:lang w:val="en-GB"/>
        </w:rPr>
      </w:pPr>
      <w:r>
        <w:rPr>
          <w:lang w:val="en-GB"/>
        </w:rPr>
        <w:t>Member arrangement pattern example can be found here</w:t>
      </w:r>
      <w:r>
        <w:rPr>
          <w:rStyle w:val="FootnoteReference"/>
          <w:lang w:val="en-GB"/>
        </w:rPr>
        <w:footnoteReference w:id="2"/>
      </w:r>
      <w:r>
        <w:rPr>
          <w:lang w:val="en-GB"/>
        </w:rPr>
        <w:t>.</w:t>
      </w:r>
    </w:p>
    <w:p w14:paraId="547D65B1" w14:textId="0757DBC1" w:rsidR="002F5F4F" w:rsidRDefault="002F5F4F" w:rsidP="002F5F4F">
      <w:pPr>
        <w:pStyle w:val="Heading2"/>
      </w:pPr>
      <w:r>
        <w:t>Hypercubes</w:t>
      </w:r>
    </w:p>
    <w:p w14:paraId="50962A3E" w14:textId="435EF254" w:rsidR="002F5F4F" w:rsidRDefault="002F5F4F" w:rsidP="002F5F4F">
      <w:pPr>
        <w:pStyle w:val="BodyText"/>
      </w:pPr>
      <w:r>
        <w:t>To understand member arrangement patterns, it is first important to understand hypercubes</w:t>
      </w:r>
      <w:r>
        <w:rPr>
          <w:rStyle w:val="FootnoteReference"/>
        </w:rPr>
        <w:footnoteReference w:id="3"/>
      </w:r>
      <w:r>
        <w:t>.</w:t>
      </w:r>
      <w:r w:rsidRPr="002F5F4F">
        <w:t xml:space="preserve"> </w:t>
      </w:r>
      <w:r>
        <w:t xml:space="preserve"> The notion of a hypercube is simply a logical scheme that is used to be able to represent sets of information that tends to go together for one reason or another.  Aspects (a.k.a. dimensions or [Axis]) are a way to differentiate one fact from another fact.  For example, if you look at the complex fact</w:t>
      </w:r>
      <w:r>
        <w:rPr>
          <w:rStyle w:val="FootnoteReference"/>
        </w:rPr>
        <w:footnoteReference w:id="4"/>
      </w:r>
      <w:r>
        <w:t xml:space="preserve"> concept arrangement pattern you will note that the line item “Director, Salary” is reported three times:</w:t>
      </w:r>
    </w:p>
    <w:p w14:paraId="5B1750DF" w14:textId="2C8369DE" w:rsidR="002F5F4F" w:rsidRDefault="002F5F4F" w:rsidP="002F5F4F">
      <w:pPr>
        <w:pStyle w:val="BodyText"/>
      </w:pPr>
      <w:r>
        <w:rPr>
          <w:noProof/>
        </w:rPr>
        <w:drawing>
          <wp:inline distT="0" distB="0" distL="0" distR="0" wp14:anchorId="4F795642" wp14:editId="78EE4B40">
            <wp:extent cx="5486400" cy="25273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86400" cy="2527300"/>
                    </a:xfrm>
                    <a:prstGeom prst="rect">
                      <a:avLst/>
                    </a:prstGeom>
                  </pic:spPr>
                </pic:pic>
              </a:graphicData>
            </a:graphic>
          </wp:inline>
        </w:drawing>
      </w:r>
    </w:p>
    <w:p w14:paraId="48812BF6" w14:textId="770D1E75" w:rsidR="002F5F4F" w:rsidRDefault="002F5F4F" w:rsidP="002F5F4F">
      <w:pPr>
        <w:pStyle w:val="BodyText"/>
      </w:pPr>
      <w:r>
        <w:t xml:space="preserve">First for “John Doe”, second for “Jane Doe”, and third for “All directors” combined.  This information is configured within the “Director Compensation </w:t>
      </w:r>
      <w:r w:rsidR="00047531">
        <w:t>[Table]” hypercube.</w:t>
      </w:r>
    </w:p>
    <w:p w14:paraId="23A0377C" w14:textId="36B75D40" w:rsidR="002F5F4F" w:rsidRPr="00300A40" w:rsidRDefault="00047531" w:rsidP="009921FC">
      <w:pPr>
        <w:pStyle w:val="BodyText"/>
      </w:pPr>
      <w:r>
        <w:lastRenderedPageBreak/>
        <w:t>Withing a hypercube there are only two things which can be organized: [Line Items] which are explained using concept arrangement patterns and [Axis] which are explained by member arrangement patterns.  Each [Axis] (a.k.a. Aspect or dimension) is organized individually within their domain of members.</w:t>
      </w:r>
    </w:p>
    <w:p w14:paraId="6FD557A5" w14:textId="77777777" w:rsidR="00A11AFE" w:rsidRDefault="00A11AFE" w:rsidP="002F0ED1">
      <w:pPr>
        <w:pStyle w:val="Heading2"/>
      </w:pPr>
      <w:r>
        <w:t>Domain of Members</w:t>
      </w:r>
    </w:p>
    <w:p w14:paraId="66904BB3" w14:textId="428D6C4F" w:rsidR="00A11AFE" w:rsidRDefault="00A11AFE" w:rsidP="007269D9">
      <w:pPr>
        <w:pStyle w:val="BodyText"/>
        <w:rPr>
          <w:lang w:val="en-GB"/>
        </w:rPr>
      </w:pPr>
      <w:r>
        <w:rPr>
          <w:lang w:val="en-GB"/>
        </w:rPr>
        <w:t>A</w:t>
      </w:r>
      <w:r w:rsidRPr="002D23FF">
        <w:rPr>
          <w:lang w:val="en-GB"/>
        </w:rPr>
        <w:t xml:space="preserve"> </w:t>
      </w:r>
      <w:r w:rsidRPr="002D23FF">
        <w:rPr>
          <w:b/>
          <w:lang w:val="en-GB"/>
        </w:rPr>
        <w:t>domain</w:t>
      </w:r>
      <w:r w:rsidRPr="002D23FF">
        <w:rPr>
          <w:lang w:val="en-GB"/>
        </w:rPr>
        <w:t xml:space="preserve"> is a </w:t>
      </w:r>
      <w:r>
        <w:rPr>
          <w:lang w:val="en-GB"/>
        </w:rPr>
        <w:t xml:space="preserve">cohesive </w:t>
      </w:r>
      <w:r w:rsidRPr="002D23FF">
        <w:rPr>
          <w:lang w:val="en-GB"/>
        </w:rPr>
        <w:t>set of members</w:t>
      </w:r>
      <w:r w:rsidR="00047531">
        <w:rPr>
          <w:lang w:val="en-GB"/>
        </w:rPr>
        <w:t xml:space="preserve"> that go together</w:t>
      </w:r>
      <w:r w:rsidRPr="002D23FF">
        <w:rPr>
          <w:lang w:val="en-GB"/>
        </w:rPr>
        <w:t>.</w:t>
      </w:r>
      <w:r>
        <w:rPr>
          <w:lang w:val="en-GB"/>
        </w:rPr>
        <w:t xml:space="preserve"> Something important to note is that in the US GAAP XBRL Taxonomy the way [Domain] is used is different than the standard definition of domain (i.e. a set of members).</w:t>
      </w:r>
    </w:p>
    <w:p w14:paraId="48B50E7C" w14:textId="77AF9B93" w:rsidR="00A11AFE" w:rsidRDefault="00A11AFE" w:rsidP="007269D9">
      <w:pPr>
        <w:pStyle w:val="BodyText"/>
        <w:rPr>
          <w:lang w:val="en-GB"/>
        </w:rPr>
      </w:pPr>
      <w:r>
        <w:rPr>
          <w:lang w:val="en-GB"/>
        </w:rPr>
        <w:t xml:space="preserve">The way [Domain] is used in the US GAAP XBRL Taxonomy is to define the </w:t>
      </w:r>
      <w:r w:rsidRPr="00047531">
        <w:rPr>
          <w:b/>
          <w:bCs/>
          <w:i/>
          <w:iCs/>
          <w:lang w:val="en-GB"/>
        </w:rPr>
        <w:t>root [Member] of a set</w:t>
      </w:r>
      <w:r>
        <w:rPr>
          <w:lang w:val="en-GB"/>
        </w:rPr>
        <w:t xml:space="preserve"> of [Member]s that make up a domain.</w:t>
      </w:r>
      <w:r w:rsidR="00047531">
        <w:rPr>
          <w:lang w:val="en-GB"/>
        </w:rPr>
        <w:t xml:space="preserve">  But that is an incorrect definition of the term domain.  The appropriate definition of domain is simply a set of members.  So be aware of the difference in the way the US GAAP XBRL Taxonomy.  The IFRS XBRL Taxonomy does not use [Domain] to define the root concept of a set of members, they use [member], which is correct.</w:t>
      </w:r>
    </w:p>
    <w:p w14:paraId="64F97992" w14:textId="77777777" w:rsidR="00A11AFE" w:rsidRDefault="00A11AFE" w:rsidP="009921FC">
      <w:pPr>
        <w:pStyle w:val="BodyText"/>
        <w:rPr>
          <w:lang w:val="en-GB"/>
        </w:rPr>
      </w:pPr>
      <w:r>
        <w:rPr>
          <w:lang w:val="en-GB"/>
        </w:rPr>
        <w:t>Consider the more general example:</w:t>
      </w:r>
    </w:p>
    <w:p w14:paraId="51B9BDAA" w14:textId="77777777" w:rsidR="00A11AFE" w:rsidRDefault="00A11AFE" w:rsidP="009921FC">
      <w:pPr>
        <w:jc w:val="center"/>
      </w:pPr>
      <w:r>
        <w:rPr>
          <w:noProof/>
        </w:rPr>
        <w:drawing>
          <wp:inline distT="0" distB="0" distL="0" distR="0" wp14:anchorId="4E660EC2" wp14:editId="3C5116FF">
            <wp:extent cx="1806575" cy="1565275"/>
            <wp:effectExtent l="19050" t="0" r="3175" b="0"/>
            <wp:docPr id="217"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cstate="print"/>
                    <a:srcRect/>
                    <a:stretch>
                      <a:fillRect/>
                    </a:stretch>
                  </pic:blipFill>
                  <pic:spPr bwMode="auto">
                    <a:xfrm>
                      <a:off x="0" y="0"/>
                      <a:ext cx="1806575" cy="1565275"/>
                    </a:xfrm>
                    <a:prstGeom prst="rect">
                      <a:avLst/>
                    </a:prstGeom>
                    <a:noFill/>
                    <a:ln w="9525">
                      <a:noFill/>
                      <a:miter lim="800000"/>
                      <a:headEnd/>
                      <a:tailEnd/>
                    </a:ln>
                  </pic:spPr>
                </pic:pic>
              </a:graphicData>
            </a:graphic>
          </wp:inline>
        </w:drawing>
      </w:r>
      <w:r>
        <w:rPr>
          <w:noProof/>
        </w:rPr>
        <w:drawing>
          <wp:inline distT="0" distB="0" distL="0" distR="0" wp14:anchorId="0DEC0B68" wp14:editId="337E554C">
            <wp:extent cx="1784985" cy="1543685"/>
            <wp:effectExtent l="19050" t="0" r="5715" b="0"/>
            <wp:docPr id="218"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cstate="print"/>
                    <a:srcRect/>
                    <a:stretch>
                      <a:fillRect/>
                    </a:stretch>
                  </pic:blipFill>
                  <pic:spPr bwMode="auto">
                    <a:xfrm>
                      <a:off x="0" y="0"/>
                      <a:ext cx="1784985" cy="1543685"/>
                    </a:xfrm>
                    <a:prstGeom prst="rect">
                      <a:avLst/>
                    </a:prstGeom>
                    <a:noFill/>
                    <a:ln w="9525">
                      <a:noFill/>
                      <a:miter lim="800000"/>
                      <a:headEnd/>
                      <a:tailEnd/>
                    </a:ln>
                  </pic:spPr>
                </pic:pic>
              </a:graphicData>
            </a:graphic>
          </wp:inline>
        </w:drawing>
      </w:r>
      <w:r w:rsidRPr="00230A5A">
        <w:t xml:space="preserve"> </w:t>
      </w:r>
      <w:r>
        <w:rPr>
          <w:noProof/>
        </w:rPr>
        <w:drawing>
          <wp:inline distT="0" distB="0" distL="0" distR="0" wp14:anchorId="109B0726" wp14:editId="266DFBAC">
            <wp:extent cx="1697355" cy="1470660"/>
            <wp:effectExtent l="19050" t="0" r="0" b="0"/>
            <wp:docPr id="219"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srcRect/>
                    <a:stretch>
                      <a:fillRect/>
                    </a:stretch>
                  </pic:blipFill>
                  <pic:spPr bwMode="auto">
                    <a:xfrm>
                      <a:off x="0" y="0"/>
                      <a:ext cx="1697355" cy="1470660"/>
                    </a:xfrm>
                    <a:prstGeom prst="rect">
                      <a:avLst/>
                    </a:prstGeom>
                    <a:noFill/>
                    <a:ln w="9525">
                      <a:noFill/>
                      <a:miter lim="800000"/>
                      <a:headEnd/>
                      <a:tailEnd/>
                    </a:ln>
                  </pic:spPr>
                </pic:pic>
              </a:graphicData>
            </a:graphic>
          </wp:inline>
        </w:drawing>
      </w:r>
    </w:p>
    <w:p w14:paraId="5DAE049D" w14:textId="677A6019" w:rsidR="00A11AFE" w:rsidRPr="00F61D9F" w:rsidRDefault="00A11AFE" w:rsidP="00F61D9F">
      <w:pPr>
        <w:pStyle w:val="BodyText"/>
        <w:rPr>
          <w:lang w:val="en-GB"/>
        </w:rPr>
      </w:pPr>
      <w:r w:rsidRPr="007370DB">
        <w:rPr>
          <w:lang w:val="en-GB"/>
        </w:rPr>
        <w:t xml:space="preserve">Assume that the above trees are the [Member]s of an [Axis]. In the diagram, </w:t>
      </w:r>
      <w:r>
        <w:rPr>
          <w:lang w:val="en-GB"/>
        </w:rPr>
        <w:t>each circle represents a domain.  In the graphic on the left, A is the root member of a domain</w:t>
      </w:r>
      <w:r w:rsidRPr="007370DB">
        <w:rPr>
          <w:lang w:val="en-GB"/>
        </w:rPr>
        <w:t xml:space="preserve"> with members A, B, </w:t>
      </w:r>
      <w:r>
        <w:rPr>
          <w:lang w:val="en-GB"/>
        </w:rPr>
        <w:t>C</w:t>
      </w:r>
      <w:r w:rsidRPr="007370DB">
        <w:rPr>
          <w:lang w:val="en-GB"/>
        </w:rPr>
        <w:t xml:space="preserve">, </w:t>
      </w:r>
      <w:r>
        <w:rPr>
          <w:lang w:val="en-GB"/>
        </w:rPr>
        <w:t>D, E</w:t>
      </w:r>
      <w:r w:rsidRPr="007370DB">
        <w:rPr>
          <w:lang w:val="en-GB"/>
        </w:rPr>
        <w:t xml:space="preserve"> and </w:t>
      </w:r>
      <w:r>
        <w:rPr>
          <w:lang w:val="en-GB"/>
        </w:rPr>
        <w:t>F</w:t>
      </w:r>
      <w:r w:rsidRPr="007370DB">
        <w:rPr>
          <w:lang w:val="en-GB"/>
        </w:rPr>
        <w:t xml:space="preserve">.  </w:t>
      </w:r>
      <w:r>
        <w:rPr>
          <w:lang w:val="en-GB"/>
        </w:rPr>
        <w:t xml:space="preserve">The middle graphic, the circle shows </w:t>
      </w:r>
      <w:r w:rsidRPr="007370DB">
        <w:rPr>
          <w:lang w:val="en-GB"/>
        </w:rPr>
        <w:t xml:space="preserve">a domain with the members B, C and D. </w:t>
      </w:r>
      <w:r>
        <w:rPr>
          <w:lang w:val="en-GB"/>
        </w:rPr>
        <w:t>The graphic on the right shows three different domains; the RED circle from the graphic on the right, the GREEN circle from the graphic in the middle, and another domain which has only one member F.</w:t>
      </w:r>
    </w:p>
    <w:p w14:paraId="77F3DD6A" w14:textId="5CC58D4D" w:rsidR="00A11AFE" w:rsidRDefault="00A11AFE" w:rsidP="009921FC">
      <w:pPr>
        <w:pStyle w:val="BodyText"/>
        <w:rPr>
          <w:lang w:val="en-GB"/>
        </w:rPr>
      </w:pPr>
      <w:r w:rsidRPr="002D23FF">
        <w:rPr>
          <w:lang w:val="en-GB"/>
        </w:rPr>
        <w:t>Domains have partitions. A partition is collectively exhaustive and mutually exclusive set of members within a domain. Partitions do not overlap. Give</w:t>
      </w:r>
      <w:r w:rsidR="00047531">
        <w:rPr>
          <w:lang w:val="en-GB"/>
        </w:rPr>
        <w:t>n</w:t>
      </w:r>
      <w:r w:rsidRPr="002D23FF">
        <w:rPr>
          <w:lang w:val="en-GB"/>
        </w:rPr>
        <w:t xml:space="preserve"> a set X, a partition is a division of X into non-overlapping and non-empty "parts" or "blocks" or "cells" that cover all of X. More formally, these "cells" are both collectively exhaustive and mutually exclusive with respect to the set being partitioned.</w:t>
      </w:r>
      <w:r>
        <w:rPr>
          <w:lang w:val="en-GB"/>
        </w:rPr>
        <w:t xml:space="preserve"> A d</w:t>
      </w:r>
      <w:r w:rsidRPr="002D23FF">
        <w:rPr>
          <w:lang w:val="en-GB"/>
        </w:rPr>
        <w:t>omain always has at least one partition and may have many partitions.</w:t>
      </w:r>
    </w:p>
    <w:p w14:paraId="6182184D" w14:textId="77777777" w:rsidR="00A11AFE" w:rsidRDefault="00A11AFE" w:rsidP="002F0ED1">
      <w:pPr>
        <w:pStyle w:val="Heading2"/>
      </w:pPr>
      <w:r>
        <w:t>Associations Between Members</w:t>
      </w:r>
    </w:p>
    <w:p w14:paraId="56EB3849" w14:textId="7FF277C1" w:rsidR="00A11AFE" w:rsidRDefault="00A11AFE" w:rsidP="009921FC">
      <w:pPr>
        <w:pStyle w:val="BodyText"/>
        <w:rPr>
          <w:lang w:val="en-GB"/>
        </w:rPr>
      </w:pPr>
      <w:r>
        <w:rPr>
          <w:lang w:val="en-GB"/>
        </w:rPr>
        <w:t xml:space="preserve">While above we provided a very basic example to help you become familiar with the ideas which we want to discuss, aggregation </w:t>
      </w:r>
      <w:r w:rsidR="00047531">
        <w:rPr>
          <w:lang w:val="en-GB"/>
        </w:rPr>
        <w:t xml:space="preserve">of members </w:t>
      </w:r>
      <w:r>
        <w:rPr>
          <w:lang w:val="en-GB"/>
        </w:rPr>
        <w:t>is a bit more complex.  Here is the spectrum of domain partition or member aggregation models:</w:t>
      </w:r>
    </w:p>
    <w:p w14:paraId="18DB1B18" w14:textId="3CF34798" w:rsidR="00A11AFE" w:rsidRDefault="0068509D" w:rsidP="00A11AFE">
      <w:pPr>
        <w:pStyle w:val="BodyText"/>
        <w:numPr>
          <w:ilvl w:val="0"/>
          <w:numId w:val="10"/>
        </w:numPr>
        <w:rPr>
          <w:lang w:val="en-GB"/>
        </w:rPr>
      </w:pPr>
      <w:r>
        <w:rPr>
          <w:b/>
          <w:lang w:val="en-GB"/>
        </w:rPr>
        <w:t>Complete f</w:t>
      </w:r>
      <w:r w:rsidR="00A11AFE">
        <w:rPr>
          <w:b/>
          <w:lang w:val="en-GB"/>
        </w:rPr>
        <w:t>lat n</w:t>
      </w:r>
      <w:r w:rsidR="00A11AFE" w:rsidRPr="00044614">
        <w:rPr>
          <w:b/>
          <w:lang w:val="en-GB"/>
        </w:rPr>
        <w:t>on-aggregating set</w:t>
      </w:r>
      <w:r w:rsidR="00A11AFE">
        <w:rPr>
          <w:b/>
          <w:lang w:val="en-GB"/>
        </w:rPr>
        <w:t xml:space="preserve"> (Is-a)</w:t>
      </w:r>
      <w:r w:rsidR="00A11AFE">
        <w:rPr>
          <w:lang w:val="en-GB"/>
        </w:rPr>
        <w:t xml:space="preserve">: </w:t>
      </w:r>
      <w:r w:rsidR="00A11AFE" w:rsidRPr="00044614">
        <w:rPr>
          <w:lang w:val="en-GB"/>
        </w:rPr>
        <w:t xml:space="preserve">A </w:t>
      </w:r>
      <w:r w:rsidR="00A11AFE">
        <w:rPr>
          <w:lang w:val="en-GB"/>
        </w:rPr>
        <w:t>flat non-aggregating set</w:t>
      </w:r>
      <w:r w:rsidR="00A11AFE" w:rsidRPr="00044614">
        <w:rPr>
          <w:lang w:val="en-GB"/>
        </w:rPr>
        <w:t xml:space="preserve"> is a set which is </w:t>
      </w:r>
      <w:r w:rsidR="00A11AFE">
        <w:rPr>
          <w:lang w:val="en-GB"/>
        </w:rPr>
        <w:t xml:space="preserve">(a) </w:t>
      </w:r>
      <w:r w:rsidR="00A11AFE" w:rsidRPr="00044614">
        <w:rPr>
          <w:lang w:val="en-GB"/>
        </w:rPr>
        <w:t xml:space="preserve">incomplete so it can never aggregate or </w:t>
      </w:r>
      <w:r w:rsidR="00A11AFE">
        <w:rPr>
          <w:lang w:val="en-GB"/>
        </w:rPr>
        <w:t xml:space="preserve">(b) </w:t>
      </w:r>
      <w:r w:rsidR="00A11AFE" w:rsidRPr="00044614">
        <w:rPr>
          <w:lang w:val="en-GB"/>
        </w:rPr>
        <w:t>a set which describes non-numeric concepts which could never aggregate</w:t>
      </w:r>
      <w:r w:rsidR="00A11AFE">
        <w:rPr>
          <w:lang w:val="en-GB"/>
        </w:rPr>
        <w:t xml:space="preserve"> or (c) a</w:t>
      </w:r>
      <w:r w:rsidR="00A11AFE" w:rsidRPr="00044614">
        <w:rPr>
          <w:lang w:val="en-GB"/>
        </w:rPr>
        <w:t xml:space="preserve"> set of numeric concepts which could be aggregated but the aggregated value is </w:t>
      </w:r>
      <w:r w:rsidR="00A11AFE" w:rsidRPr="00044614">
        <w:rPr>
          <w:lang w:val="en-GB"/>
        </w:rPr>
        <w:lastRenderedPageBreak/>
        <w:t>illogical or never used.</w:t>
      </w:r>
      <w:r w:rsidR="00A11AFE">
        <w:rPr>
          <w:lang w:val="en-GB"/>
        </w:rPr>
        <w:t xml:space="preserve">  An example of a non-aggregating set is a subsequent events disclosure which is comprised of one or more subsequent event</w:t>
      </w:r>
      <w:r w:rsidR="00047531">
        <w:rPr>
          <w:lang w:val="en-GB"/>
        </w:rPr>
        <w:t xml:space="preserve"> members</w:t>
      </w:r>
      <w:r w:rsidR="00A11AFE">
        <w:rPr>
          <w:lang w:val="en-GB"/>
        </w:rPr>
        <w:t>.  Subsequent events are never aggregated; they are simply a list of events that a non-aggregating set describes.</w:t>
      </w:r>
    </w:p>
    <w:p w14:paraId="28AB21A4" w14:textId="52503C59" w:rsidR="00A11AFE" w:rsidRDefault="00A11AFE" w:rsidP="00A11AFE">
      <w:pPr>
        <w:pStyle w:val="BodyText"/>
        <w:numPr>
          <w:ilvl w:val="0"/>
          <w:numId w:val="10"/>
        </w:numPr>
        <w:rPr>
          <w:lang w:val="en-GB"/>
        </w:rPr>
      </w:pPr>
      <w:r w:rsidRPr="00044614">
        <w:rPr>
          <w:b/>
          <w:lang w:val="en-GB"/>
        </w:rPr>
        <w:t>Complete flat aggregating set</w:t>
      </w:r>
      <w:r>
        <w:rPr>
          <w:b/>
          <w:lang w:val="en-GB"/>
        </w:rPr>
        <w:t xml:space="preserve"> (Whole-part)</w:t>
      </w:r>
      <w:r>
        <w:rPr>
          <w:lang w:val="en-GB"/>
        </w:rPr>
        <w:t xml:space="preserve">: </w:t>
      </w:r>
      <w:r w:rsidRPr="00044614">
        <w:rPr>
          <w:lang w:val="en-GB"/>
        </w:rPr>
        <w:t xml:space="preserve">A complete flat </w:t>
      </w:r>
      <w:r>
        <w:rPr>
          <w:lang w:val="en-GB"/>
        </w:rPr>
        <w:t xml:space="preserve">aggregating </w:t>
      </w:r>
      <w:r w:rsidRPr="00044614">
        <w:rPr>
          <w:lang w:val="en-GB"/>
        </w:rPr>
        <w:t>set is a set which is both complete and characterizes a numeric concept which can be mathematically aggregated</w:t>
      </w:r>
      <w:r w:rsidR="00047531">
        <w:rPr>
          <w:lang w:val="en-GB"/>
        </w:rPr>
        <w:t>/disaggregated</w:t>
      </w:r>
      <w:r w:rsidRPr="00044614">
        <w:rPr>
          <w:lang w:val="en-GB"/>
        </w:rPr>
        <w:t xml:space="preserve">.  A complete flat set is </w:t>
      </w:r>
      <w:r>
        <w:rPr>
          <w:lang w:val="en-GB"/>
        </w:rPr>
        <w:t>semantically equivalent</w:t>
      </w:r>
      <w:r w:rsidRPr="00044614">
        <w:rPr>
          <w:lang w:val="en-GB"/>
        </w:rPr>
        <w:t xml:space="preserve"> to a [Roll Up] concept arrangement pattern.  The aggregation scheme is that the members of the list aggregate to the parent of those members. A complete flat set has no subdomains.</w:t>
      </w:r>
      <w:r>
        <w:rPr>
          <w:lang w:val="en-GB"/>
        </w:rPr>
        <w:t xml:space="preserve"> </w:t>
      </w:r>
      <w:r w:rsidRPr="00044614">
        <w:rPr>
          <w:lang w:val="en-GB"/>
        </w:rPr>
        <w:t>A value of all classes of property, plant and equipment and the value of each class of property, plant and equipment is a</w:t>
      </w:r>
      <w:r>
        <w:rPr>
          <w:lang w:val="en-GB"/>
        </w:rPr>
        <w:t>n example of a</w:t>
      </w:r>
      <w:r w:rsidRPr="00044614">
        <w:rPr>
          <w:lang w:val="en-GB"/>
        </w:rPr>
        <w:t xml:space="preserve"> complete flat </w:t>
      </w:r>
      <w:r>
        <w:rPr>
          <w:lang w:val="en-GB"/>
        </w:rPr>
        <w:t xml:space="preserve">aggregating </w:t>
      </w:r>
      <w:r w:rsidRPr="00044614">
        <w:rPr>
          <w:lang w:val="en-GB"/>
        </w:rPr>
        <w:t>set.</w:t>
      </w:r>
    </w:p>
    <w:p w14:paraId="483653B7" w14:textId="7E1D4710" w:rsidR="00A11AFE" w:rsidRDefault="00A11AFE" w:rsidP="00A11AFE">
      <w:pPr>
        <w:pStyle w:val="BodyText"/>
        <w:numPr>
          <w:ilvl w:val="0"/>
          <w:numId w:val="10"/>
        </w:numPr>
        <w:rPr>
          <w:lang w:val="en-GB"/>
        </w:rPr>
      </w:pPr>
      <w:r>
        <w:rPr>
          <w:b/>
          <w:lang w:val="en-GB"/>
        </w:rPr>
        <w:t>Complete hierarchical aggregating set (Whole-part)</w:t>
      </w:r>
      <w:r w:rsidRPr="00044614">
        <w:rPr>
          <w:lang w:val="en-GB"/>
        </w:rPr>
        <w:t>:</w:t>
      </w:r>
      <w:r>
        <w:rPr>
          <w:lang w:val="en-GB"/>
        </w:rPr>
        <w:t xml:space="preserve"> </w:t>
      </w:r>
      <w:r w:rsidRPr="00044614">
        <w:rPr>
          <w:lang w:val="en-GB"/>
        </w:rPr>
        <w:t xml:space="preserve">A complete hierarchical </w:t>
      </w:r>
      <w:r>
        <w:rPr>
          <w:lang w:val="en-GB"/>
        </w:rPr>
        <w:t xml:space="preserve">aggregating </w:t>
      </w:r>
      <w:r w:rsidRPr="00044614">
        <w:rPr>
          <w:lang w:val="en-GB"/>
        </w:rPr>
        <w:t>set is a set comprised of a collection of complete flat sets, basically a domain which has one or more subdomains. A business rule will always describe the aggregation scheme.</w:t>
      </w:r>
      <w:r>
        <w:rPr>
          <w:lang w:val="en-GB"/>
        </w:rPr>
        <w:t xml:space="preserve"> </w:t>
      </w:r>
      <w:r w:rsidRPr="00044614">
        <w:rPr>
          <w:lang w:val="en-GB"/>
        </w:rPr>
        <w:t xml:space="preserve">A breakdown of revenues by geographic area whereby the domain of geographic areas has a hierarchy </w:t>
      </w:r>
      <w:r w:rsidR="00047531">
        <w:rPr>
          <w:lang w:val="en-GB"/>
        </w:rPr>
        <w:t xml:space="preserve">within it </w:t>
      </w:r>
      <w:r w:rsidRPr="00044614">
        <w:rPr>
          <w:lang w:val="en-GB"/>
        </w:rPr>
        <w:t>of geographic regions such as “North America” which makes up one hierarchy and countries such as “United States” and “Canada” which comprise a second hierarchy nested within the first hierarchy.</w:t>
      </w:r>
    </w:p>
    <w:p w14:paraId="673663BA" w14:textId="77777777" w:rsidR="00A11AFE" w:rsidRDefault="00A11AFE" w:rsidP="00A11AFE">
      <w:pPr>
        <w:pStyle w:val="BodyText"/>
        <w:numPr>
          <w:ilvl w:val="0"/>
          <w:numId w:val="10"/>
        </w:numPr>
        <w:rPr>
          <w:lang w:val="en-GB"/>
        </w:rPr>
      </w:pPr>
      <w:r>
        <w:rPr>
          <w:b/>
          <w:lang w:val="en-GB"/>
        </w:rPr>
        <w:t>Complex aggregating set (Whole-Part)</w:t>
      </w:r>
      <w:r w:rsidRPr="003470FA">
        <w:rPr>
          <w:lang w:val="en-GB"/>
        </w:rPr>
        <w:t>:</w:t>
      </w:r>
      <w:r>
        <w:rPr>
          <w:lang w:val="en-GB"/>
        </w:rPr>
        <w:t xml:space="preserve"> </w:t>
      </w:r>
      <w:r w:rsidRPr="003470FA">
        <w:rPr>
          <w:lang w:val="en-GB"/>
        </w:rPr>
        <w:t>A complex set is a set which has some other set of complex relations or set of subdomains expressed within a business rule.</w:t>
      </w:r>
    </w:p>
    <w:p w14:paraId="2C9CC504" w14:textId="77777777" w:rsidR="00A11AFE" w:rsidRPr="007370DB" w:rsidRDefault="00A11AFE" w:rsidP="009921FC">
      <w:pPr>
        <w:pStyle w:val="BodyText"/>
        <w:rPr>
          <w:lang w:val="en-GB"/>
        </w:rPr>
      </w:pPr>
      <w:r>
        <w:rPr>
          <w:lang w:val="en-GB"/>
        </w:rPr>
        <w:t xml:space="preserve">The reason for providing this list of possible member aggregation models is that there is no standard way to represent such relations using the XBRL technical syntax.  The relations can be represented, for example using XBRL Formula, but there is no agreed upon standard approach.  </w:t>
      </w:r>
      <w:r w:rsidRPr="007370DB">
        <w:rPr>
          <w:lang w:val="en-GB"/>
        </w:rPr>
        <w:t xml:space="preserve">There is no “standard” </w:t>
      </w:r>
      <w:r>
        <w:rPr>
          <w:lang w:val="en-GB"/>
        </w:rPr>
        <w:t xml:space="preserve">XBRL </w:t>
      </w:r>
      <w:r w:rsidRPr="007370DB">
        <w:rPr>
          <w:lang w:val="en-GB"/>
        </w:rPr>
        <w:t xml:space="preserve">terminology at this time for these types of relations, all the terminology is taxonomy specific.  </w:t>
      </w:r>
      <w:r>
        <w:rPr>
          <w:lang w:val="en-GB"/>
        </w:rPr>
        <w:t>This is because XBRL Dimensions does not address aggregation of domain members.</w:t>
      </w:r>
    </w:p>
    <w:p w14:paraId="153EFA41" w14:textId="5E92F36D" w:rsidR="00A11AFE" w:rsidRPr="007370DB" w:rsidRDefault="00A11AFE" w:rsidP="009921FC">
      <w:pPr>
        <w:pStyle w:val="BodyText"/>
        <w:rPr>
          <w:lang w:val="en-GB"/>
        </w:rPr>
      </w:pPr>
      <w:r w:rsidRPr="007370DB">
        <w:rPr>
          <w:lang w:val="en-GB"/>
        </w:rPr>
        <w:t xml:space="preserve">However, although XBRL Dimensions does not define how members of a domain aggregate or if they aggregate at all, you can use XBRL Formulas to clearly define such aggregation if </w:t>
      </w:r>
      <w:r w:rsidR="00300A40">
        <w:rPr>
          <w:lang w:val="en-GB"/>
        </w:rPr>
        <w:t>aggregation</w:t>
      </w:r>
      <w:r w:rsidRPr="007370DB">
        <w:rPr>
          <w:lang w:val="en-GB"/>
        </w:rPr>
        <w:t xml:space="preserve"> exist</w:t>
      </w:r>
      <w:r w:rsidR="00300A40">
        <w:rPr>
          <w:lang w:val="en-GB"/>
        </w:rPr>
        <w:t>s</w:t>
      </w:r>
      <w:r w:rsidRPr="007370DB">
        <w:rPr>
          <w:lang w:val="en-GB"/>
        </w:rPr>
        <w:t>. This XBRL Formulas definition both articulates the aggregation scheme and can also be used to validate XBRL instances against that scheme. XBRL Formulas can handle quite complex models.</w:t>
      </w:r>
    </w:p>
    <w:p w14:paraId="2C135440" w14:textId="021D7954" w:rsidR="00A11AFE" w:rsidRPr="007370DB" w:rsidRDefault="00A11AFE" w:rsidP="009921FC">
      <w:pPr>
        <w:pStyle w:val="BodyText"/>
        <w:rPr>
          <w:lang w:val="en-GB"/>
        </w:rPr>
      </w:pPr>
      <w:r w:rsidRPr="007370DB">
        <w:rPr>
          <w:lang w:val="en-GB"/>
        </w:rPr>
        <w:t xml:space="preserve">But, since the SEC does not allow XBRL Formulas to be submitted with an </w:t>
      </w:r>
      <w:r>
        <w:rPr>
          <w:lang w:val="en-GB"/>
        </w:rPr>
        <w:t xml:space="preserve">XBRL-based public company financial filing to the </w:t>
      </w:r>
      <w:r w:rsidRPr="007370DB">
        <w:rPr>
          <w:lang w:val="en-GB"/>
        </w:rPr>
        <w:t xml:space="preserve">SEC, these filings can have aggregation schemes which are inconsistent with aggregation schemes you may come up with or different than how you might interpret the XBRL taxonomy.  </w:t>
      </w:r>
      <w:r>
        <w:rPr>
          <w:lang w:val="en-GB"/>
        </w:rPr>
        <w:t>Public companies creating XBRL-based digital financial reports which will be submitted to the SEC</w:t>
      </w:r>
      <w:r w:rsidRPr="007370DB">
        <w:rPr>
          <w:lang w:val="en-GB"/>
        </w:rPr>
        <w:t xml:space="preserve"> can still create a valid scheme of aggregation, test any XBRL instances created against </w:t>
      </w:r>
      <w:r w:rsidR="00300A40">
        <w:rPr>
          <w:lang w:val="en-GB"/>
        </w:rPr>
        <w:t>that scheme</w:t>
      </w:r>
      <w:r w:rsidRPr="007370DB">
        <w:rPr>
          <w:lang w:val="en-GB"/>
        </w:rPr>
        <w:t xml:space="preserve"> in their XBRL</w:t>
      </w:r>
      <w:r>
        <w:rPr>
          <w:lang w:val="en-GB"/>
        </w:rPr>
        <w:t>-based financial report</w:t>
      </w:r>
      <w:r w:rsidRPr="007370DB">
        <w:rPr>
          <w:lang w:val="en-GB"/>
        </w:rPr>
        <w:t xml:space="preserve"> but not submit that XBRL Formula set with their </w:t>
      </w:r>
      <w:r>
        <w:rPr>
          <w:lang w:val="en-GB"/>
        </w:rPr>
        <w:t>XBRL-based financial</w:t>
      </w:r>
      <w:r w:rsidRPr="007370DB">
        <w:rPr>
          <w:lang w:val="en-GB"/>
        </w:rPr>
        <w:t xml:space="preserve"> filing.  One way or another, SEC XBRL filers should prove that their XBRL instances do in fact follow their defined scheme by validating their XBRL instance.</w:t>
      </w:r>
    </w:p>
    <w:p w14:paraId="4412E9DC" w14:textId="77777777" w:rsidR="0068509D" w:rsidRDefault="0068509D" w:rsidP="0068509D">
      <w:pPr>
        <w:pStyle w:val="Heading2"/>
      </w:pPr>
      <w:bookmarkStart w:id="0" w:name="_Hlk30431640"/>
      <w:r>
        <w:lastRenderedPageBreak/>
        <w:t>Is-a (complete flat non-aggregating set)</w:t>
      </w:r>
    </w:p>
    <w:p w14:paraId="24A27125" w14:textId="77777777" w:rsidR="0068509D" w:rsidRDefault="0068509D" w:rsidP="0068509D">
      <w:pPr>
        <w:pStyle w:val="BodyText"/>
        <w:rPr>
          <w:lang w:val="en-GB"/>
        </w:rPr>
      </w:pPr>
      <w:r>
        <w:rPr>
          <w:lang w:val="en-GB"/>
        </w:rPr>
        <w:t xml:space="preserve">An </w:t>
      </w:r>
      <w:proofErr w:type="spellStart"/>
      <w:r w:rsidRPr="006C6E62">
        <w:rPr>
          <w:b/>
          <w:lang w:val="en-GB"/>
        </w:rPr>
        <w:t>Is</w:t>
      </w:r>
      <w:proofErr w:type="spellEnd"/>
      <w:r w:rsidRPr="006C6E62">
        <w:rPr>
          <w:b/>
          <w:lang w:val="en-GB"/>
        </w:rPr>
        <w:t>-a</w:t>
      </w:r>
      <w:r>
        <w:rPr>
          <w:lang w:val="en-GB"/>
        </w:rPr>
        <w:t xml:space="preserve"> (complete flat nonaggregating set</w:t>
      </w:r>
      <w:r>
        <w:rPr>
          <w:rStyle w:val="FootnoteReference"/>
          <w:lang w:val="en-GB"/>
        </w:rPr>
        <w:footnoteReference w:id="5"/>
      </w:r>
      <w:r>
        <w:rPr>
          <w:lang w:val="en-GB"/>
        </w:rPr>
        <w:t xml:space="preserve">) member arrangement pattern simply describes and uniquely identifies a fact so that one fact can be distinguished from another fact. An </w:t>
      </w:r>
      <w:proofErr w:type="spellStart"/>
      <w:r>
        <w:rPr>
          <w:lang w:val="en-GB"/>
        </w:rPr>
        <w:t>Is</w:t>
      </w:r>
      <w:proofErr w:type="spellEnd"/>
      <w:r>
        <w:rPr>
          <w:lang w:val="en-GB"/>
        </w:rPr>
        <w:t>-a member arrangement pattern is semantically equivalent to a [Set] in that it has no mathematical relations.  However, rather than one single concept describing a fact, both a Concept and a [Member] is used to describe a fact.</w:t>
      </w:r>
    </w:p>
    <w:p w14:paraId="06DB5237" w14:textId="1CD54F0B" w:rsidR="0068509D" w:rsidRDefault="0068509D" w:rsidP="0068509D">
      <w:pPr>
        <w:pStyle w:val="BodyText"/>
        <w:rPr>
          <w:lang w:val="en-GB"/>
        </w:rPr>
      </w:pPr>
      <w:r>
        <w:rPr>
          <w:noProof/>
        </w:rPr>
        <w:drawing>
          <wp:inline distT="0" distB="0" distL="0" distR="0" wp14:anchorId="097F6634" wp14:editId="7780A038">
            <wp:extent cx="5486400" cy="23679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86400" cy="2367915"/>
                    </a:xfrm>
                    <a:prstGeom prst="rect">
                      <a:avLst/>
                    </a:prstGeom>
                  </pic:spPr>
                </pic:pic>
              </a:graphicData>
            </a:graphic>
          </wp:inline>
        </w:drawing>
      </w:r>
    </w:p>
    <w:p w14:paraId="26EDBD2E" w14:textId="76F93F8D" w:rsidR="0068509D" w:rsidRPr="007370DB" w:rsidRDefault="0068509D" w:rsidP="0068509D">
      <w:pPr>
        <w:pStyle w:val="BodyText"/>
        <w:rPr>
          <w:lang w:val="en-GB"/>
        </w:rPr>
      </w:pPr>
      <w:r>
        <w:rPr>
          <w:lang w:val="en-GB"/>
        </w:rPr>
        <w:t>And so, an “is-a” simply distinguishes one fact from some other fact using a [Member] of an [Axis] (a.k.a. Aspect or Dimension).</w:t>
      </w:r>
    </w:p>
    <w:p w14:paraId="7C93DD69" w14:textId="6FD1EBCE" w:rsidR="00A11AFE" w:rsidRDefault="00A11AFE" w:rsidP="002F0ED1">
      <w:pPr>
        <w:pStyle w:val="Heading2"/>
      </w:pPr>
      <w:r>
        <w:t>Whole-part</w:t>
      </w:r>
      <w:r w:rsidR="0068509D">
        <w:t xml:space="preserve"> (complete flat aggregating set)</w:t>
      </w:r>
    </w:p>
    <w:bookmarkEnd w:id="0"/>
    <w:p w14:paraId="4FA1EDE5" w14:textId="5F282FDA" w:rsidR="00A11AFE" w:rsidRDefault="00A11AFE" w:rsidP="00F61D9F">
      <w:pPr>
        <w:pStyle w:val="BodyText"/>
        <w:rPr>
          <w:lang w:val="en-GB"/>
        </w:rPr>
      </w:pPr>
      <w:r>
        <w:rPr>
          <w:lang w:val="en-GB"/>
        </w:rPr>
        <w:t xml:space="preserve">A </w:t>
      </w:r>
      <w:r>
        <w:rPr>
          <w:b/>
          <w:lang w:val="en-GB"/>
        </w:rPr>
        <w:t>whole-part</w:t>
      </w:r>
      <w:r>
        <w:rPr>
          <w:lang w:val="en-GB"/>
        </w:rPr>
        <w:t xml:space="preserve"> </w:t>
      </w:r>
      <w:r w:rsidR="00D243EC">
        <w:rPr>
          <w:lang w:val="en-GB"/>
        </w:rPr>
        <w:t>(complete flat aggregating set</w:t>
      </w:r>
      <w:r w:rsidR="00D243EC">
        <w:rPr>
          <w:rStyle w:val="FootnoteReference"/>
          <w:lang w:val="en-GB"/>
        </w:rPr>
        <w:footnoteReference w:id="6"/>
      </w:r>
      <w:r w:rsidR="00D243EC">
        <w:rPr>
          <w:lang w:val="en-GB"/>
        </w:rPr>
        <w:t xml:space="preserve">) </w:t>
      </w:r>
      <w:r>
        <w:rPr>
          <w:lang w:val="en-GB"/>
        </w:rPr>
        <w:t>member arrangement pattern is semantically</w:t>
      </w:r>
      <w:r w:rsidR="00300A40">
        <w:rPr>
          <w:lang w:val="en-GB"/>
        </w:rPr>
        <w:t>/logically</w:t>
      </w:r>
      <w:r>
        <w:rPr>
          <w:lang w:val="en-GB"/>
        </w:rPr>
        <w:t xml:space="preserve"> equivalent to the roll up concept arrangement pattern.  Recall that the concept arrangement pattern computes a total, or roll up, from a set of other concepts. This concept arrangement pattern is commonly referred to a “roll up”, or the equation A + B = C.  All concepts involved in this concept arrangement pattern have the same set of characteristics and all must be numeric.</w:t>
      </w:r>
    </w:p>
    <w:p w14:paraId="123041A3" w14:textId="0464D18E" w:rsidR="00A11AFE" w:rsidRPr="00F61D9F" w:rsidRDefault="00A11AFE" w:rsidP="00F61D9F">
      <w:pPr>
        <w:pStyle w:val="BodyText"/>
        <w:rPr>
          <w:lang w:val="en-GB"/>
        </w:rPr>
      </w:pPr>
      <w:r>
        <w:rPr>
          <w:lang w:val="en-GB"/>
        </w:rPr>
        <w:t>The whole-part member arrangement pattern represents the same roll up relationship; however, what is being rolled up is each of the [Member]s of an [Axis].  And so, it is the [Member] of the [Axis] which changes, the Concept characteristic is constant for all facts.</w:t>
      </w:r>
    </w:p>
    <w:p w14:paraId="6052BCB7" w14:textId="63A520A1" w:rsidR="00A11AFE" w:rsidRDefault="00A11AFE" w:rsidP="00F57591">
      <w:pPr>
        <w:jc w:val="center"/>
      </w:pPr>
      <w:r>
        <w:rPr>
          <w:noProof/>
        </w:rPr>
        <w:drawing>
          <wp:inline distT="0" distB="0" distL="0" distR="0" wp14:anchorId="645CB82B" wp14:editId="54123CC9">
            <wp:extent cx="5486400" cy="1000760"/>
            <wp:effectExtent l="0" t="0" r="0" b="889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486400" cy="1000760"/>
                    </a:xfrm>
                    <a:prstGeom prst="rect">
                      <a:avLst/>
                    </a:prstGeom>
                  </pic:spPr>
                </pic:pic>
              </a:graphicData>
            </a:graphic>
          </wp:inline>
        </w:drawing>
      </w:r>
    </w:p>
    <w:p w14:paraId="6C69D213" w14:textId="5AC996A3" w:rsidR="00D243EC" w:rsidRDefault="00D243EC" w:rsidP="00D243EC">
      <w:pPr>
        <w:pStyle w:val="BodyText"/>
      </w:pPr>
      <w:r w:rsidRPr="00D243EC">
        <w:rPr>
          <w:lang w:val="en-GB"/>
        </w:rPr>
        <w:lastRenderedPageBreak/>
        <w:t>Here is a second example which we showed previously,</w:t>
      </w:r>
    </w:p>
    <w:p w14:paraId="611EA2A7" w14:textId="49763F9B" w:rsidR="00A11AFE" w:rsidRDefault="00D243EC" w:rsidP="00D243EC">
      <w:pPr>
        <w:jc w:val="center"/>
      </w:pPr>
      <w:r>
        <w:rPr>
          <w:noProof/>
        </w:rPr>
        <w:drawing>
          <wp:inline distT="0" distB="0" distL="0" distR="0" wp14:anchorId="394AF11B" wp14:editId="57CA511B">
            <wp:extent cx="5486400" cy="24390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2439035"/>
                    </a:xfrm>
                    <a:prstGeom prst="rect">
                      <a:avLst/>
                    </a:prstGeom>
                    <a:noFill/>
                    <a:ln>
                      <a:noFill/>
                    </a:ln>
                  </pic:spPr>
                </pic:pic>
              </a:graphicData>
            </a:graphic>
          </wp:inline>
        </w:drawing>
      </w:r>
    </w:p>
    <w:p w14:paraId="6F52C944" w14:textId="78644D77" w:rsidR="00A11AFE" w:rsidRDefault="00A11AFE" w:rsidP="009921FC">
      <w:r>
        <w:t>Characteristics can represent a whole or some part of a whole.  Parts may be related in different ways.  The following is a summary of subclasses of whole-part types of relations which may, or may not, be applicable to financial reporting.  Other subclasses of whole-part relations may exist.</w:t>
      </w:r>
      <w:r w:rsidR="00300A40">
        <w:t xml:space="preserve">  These are simply provided to help you see that there can be different types of whole-part relations.</w:t>
      </w:r>
    </w:p>
    <w:p w14:paraId="5600256C" w14:textId="77777777" w:rsidR="00A11AFE" w:rsidRDefault="00A11AFE" w:rsidP="009921FC"/>
    <w:p w14:paraId="5EA8737A" w14:textId="77777777" w:rsidR="00A11AFE" w:rsidRDefault="00A11AFE" w:rsidP="00A11AFE">
      <w:pPr>
        <w:pStyle w:val="ListParagraph"/>
        <w:numPr>
          <w:ilvl w:val="0"/>
          <w:numId w:val="7"/>
        </w:numPr>
      </w:pPr>
      <w:r w:rsidRPr="007E24D6">
        <w:rPr>
          <w:b/>
        </w:rPr>
        <w:t>Component-integral object</w:t>
      </w:r>
      <w:r>
        <w:t>: Indicates that a component contains some integral object. For example, the component handle is part of the integral object cup; wheels are a component part of a car; a refrigerator is a component of a kitchen.</w:t>
      </w:r>
    </w:p>
    <w:p w14:paraId="7F6307F4" w14:textId="77777777" w:rsidR="00A11AFE" w:rsidRDefault="00A11AFE" w:rsidP="00A11AFE">
      <w:pPr>
        <w:pStyle w:val="ListParagraph"/>
        <w:numPr>
          <w:ilvl w:val="0"/>
          <w:numId w:val="7"/>
        </w:numPr>
      </w:pPr>
      <w:r w:rsidRPr="007E24D6">
        <w:rPr>
          <w:b/>
        </w:rPr>
        <w:t>Member-collection</w:t>
      </w:r>
      <w:r>
        <w:t xml:space="preserve">: Indicates that some member is part of some collection. For </w:t>
      </w:r>
      <w:proofErr w:type="gramStart"/>
      <w:r>
        <w:t>example</w:t>
      </w:r>
      <w:proofErr w:type="gramEnd"/>
      <w:r>
        <w:t xml:space="preserve"> a ship is part of a fleet. Or, a subsidiary is part of an economic entity.</w:t>
      </w:r>
    </w:p>
    <w:p w14:paraId="1535066B" w14:textId="77777777" w:rsidR="00A11AFE" w:rsidRDefault="00A11AFE" w:rsidP="00A11AFE">
      <w:pPr>
        <w:pStyle w:val="ListParagraph"/>
        <w:numPr>
          <w:ilvl w:val="0"/>
          <w:numId w:val="7"/>
        </w:numPr>
      </w:pPr>
      <w:r w:rsidRPr="007E24D6">
        <w:rPr>
          <w:b/>
        </w:rPr>
        <w:t>Portion-mass</w:t>
      </w:r>
      <w:r>
        <w:t xml:space="preserve">: Indicates that some portion is part of some mass. For </w:t>
      </w:r>
      <w:proofErr w:type="gramStart"/>
      <w:r>
        <w:t>example</w:t>
      </w:r>
      <w:proofErr w:type="gramEnd"/>
      <w:r>
        <w:t xml:space="preserve"> a slice is part of a pie.</w:t>
      </w:r>
    </w:p>
    <w:p w14:paraId="2E43E434" w14:textId="77777777" w:rsidR="00A11AFE" w:rsidRDefault="00A11AFE" w:rsidP="00A11AFE">
      <w:pPr>
        <w:pStyle w:val="ListParagraph"/>
        <w:numPr>
          <w:ilvl w:val="0"/>
          <w:numId w:val="7"/>
        </w:numPr>
      </w:pPr>
      <w:r w:rsidRPr="007E24D6">
        <w:rPr>
          <w:b/>
        </w:rPr>
        <w:t>Stuff-object</w:t>
      </w:r>
      <w:r>
        <w:t xml:space="preserve">: Indicates that some "stuff" is part of some object. For </w:t>
      </w:r>
      <w:proofErr w:type="gramStart"/>
      <w:r>
        <w:t>example</w:t>
      </w:r>
      <w:proofErr w:type="gramEnd"/>
      <w:r>
        <w:t xml:space="preserve"> steel is part of a car.</w:t>
      </w:r>
    </w:p>
    <w:p w14:paraId="7D96749B" w14:textId="77777777" w:rsidR="00A11AFE" w:rsidRDefault="00A11AFE" w:rsidP="00A11AFE">
      <w:pPr>
        <w:pStyle w:val="ListParagraph"/>
        <w:numPr>
          <w:ilvl w:val="0"/>
          <w:numId w:val="7"/>
        </w:numPr>
      </w:pPr>
      <w:r w:rsidRPr="007E24D6">
        <w:rPr>
          <w:b/>
        </w:rPr>
        <w:t>Feature-activity</w:t>
      </w:r>
      <w:r>
        <w:t xml:space="preserve">: Indicates that some feature is part of some activity. For </w:t>
      </w:r>
      <w:proofErr w:type="gramStart"/>
      <w:r>
        <w:t>example</w:t>
      </w:r>
      <w:proofErr w:type="gramEnd"/>
      <w:r>
        <w:t xml:space="preserve"> the feature "paying" is part of the activity "shopping".</w:t>
      </w:r>
    </w:p>
    <w:p w14:paraId="100456B9" w14:textId="77777777" w:rsidR="00A11AFE" w:rsidRPr="00540BA5" w:rsidRDefault="00A11AFE" w:rsidP="00A11AFE">
      <w:pPr>
        <w:pStyle w:val="ListParagraph"/>
        <w:numPr>
          <w:ilvl w:val="0"/>
          <w:numId w:val="7"/>
        </w:numPr>
        <w:rPr>
          <w:b/>
        </w:rPr>
      </w:pPr>
      <w:r w:rsidRPr="007E24D6">
        <w:rPr>
          <w:b/>
        </w:rPr>
        <w:t>Place-area</w:t>
      </w:r>
      <w:r w:rsidRPr="00540BA5">
        <w:t xml:space="preserve">: Indicates that some physical place is part of some area. For </w:t>
      </w:r>
      <w:proofErr w:type="gramStart"/>
      <w:r w:rsidRPr="00540BA5">
        <w:t>example</w:t>
      </w:r>
      <w:proofErr w:type="gramEnd"/>
      <w:r w:rsidRPr="00540BA5">
        <w:t xml:space="preserve"> the place "Everglades" is part of the area "Florida".</w:t>
      </w:r>
    </w:p>
    <w:p w14:paraId="117FA6CA" w14:textId="77777777" w:rsidR="00A11AFE" w:rsidRPr="00540BA5" w:rsidRDefault="00A11AFE" w:rsidP="00540BA5">
      <w:pPr>
        <w:rPr>
          <w:b/>
        </w:rPr>
      </w:pPr>
    </w:p>
    <w:p w14:paraId="692E53F8" w14:textId="41B68ED7" w:rsidR="00A11AFE" w:rsidRPr="00540BA5" w:rsidRDefault="00A11AFE" w:rsidP="00540BA5">
      <w:r>
        <w:t xml:space="preserve">The primary point of these examples is to </w:t>
      </w:r>
      <w:r w:rsidR="00300A40">
        <w:t>show</w:t>
      </w:r>
      <w:r>
        <w:t xml:space="preserve"> that similar type of whole-part relations can be provided for financial reporting.</w:t>
      </w:r>
    </w:p>
    <w:p w14:paraId="17316C9D" w14:textId="1D167557" w:rsidR="00D243EC" w:rsidRDefault="00D243EC" w:rsidP="00D243EC">
      <w:pPr>
        <w:pStyle w:val="Heading2"/>
      </w:pPr>
      <w:r>
        <w:t>Whole-part (</w:t>
      </w:r>
      <w:r w:rsidR="00CB247A">
        <w:t xml:space="preserve">complete </w:t>
      </w:r>
      <w:r>
        <w:t>hierarchical aggregating set)</w:t>
      </w:r>
    </w:p>
    <w:p w14:paraId="55D6D8B6" w14:textId="4BAC6835" w:rsidR="00D243EC" w:rsidRDefault="00D243EC" w:rsidP="00D243EC">
      <w:pPr>
        <w:pStyle w:val="BodyText"/>
        <w:rPr>
          <w:lang w:val="en-GB"/>
        </w:rPr>
      </w:pPr>
      <w:r>
        <w:rPr>
          <w:lang w:val="en-GB"/>
        </w:rPr>
        <w:t xml:space="preserve">A </w:t>
      </w:r>
      <w:r>
        <w:rPr>
          <w:b/>
          <w:lang w:val="en-GB"/>
        </w:rPr>
        <w:t>whole-part</w:t>
      </w:r>
      <w:r>
        <w:rPr>
          <w:lang w:val="en-GB"/>
        </w:rPr>
        <w:t xml:space="preserve"> (</w:t>
      </w:r>
      <w:r w:rsidR="00CB247A">
        <w:rPr>
          <w:lang w:val="en-GB"/>
        </w:rPr>
        <w:t xml:space="preserve">complete </w:t>
      </w:r>
      <w:r>
        <w:rPr>
          <w:lang w:val="en-GB"/>
        </w:rPr>
        <w:t>hierarchical aggregating set</w:t>
      </w:r>
      <w:r w:rsidR="00CB247A">
        <w:rPr>
          <w:rStyle w:val="FootnoteReference"/>
          <w:lang w:val="en-GB"/>
        </w:rPr>
        <w:footnoteReference w:id="7"/>
      </w:r>
      <w:r w:rsidR="00CB247A">
        <w:rPr>
          <w:lang w:val="en-GB"/>
        </w:rPr>
        <w:t>)</w:t>
      </w:r>
      <w:r>
        <w:rPr>
          <w:lang w:val="en-GB"/>
        </w:rPr>
        <w:t xml:space="preserve"> adds a layer of complexity to a member aggregation pattern by representing a nested set of members.  In the example below, note that one flat list of members is provided, a total is provided, but no subtotals:</w:t>
      </w:r>
    </w:p>
    <w:p w14:paraId="50C61E14" w14:textId="77777777" w:rsidR="00D243EC" w:rsidRDefault="00D243EC" w:rsidP="00D243EC">
      <w:pPr>
        <w:pStyle w:val="BodyText"/>
      </w:pPr>
    </w:p>
    <w:p w14:paraId="3CC17DC8" w14:textId="77777777" w:rsidR="00D243EC" w:rsidRDefault="00D243EC" w:rsidP="00D243EC">
      <w:pPr>
        <w:pStyle w:val="BodyText"/>
      </w:pPr>
      <w:r>
        <w:rPr>
          <w:noProof/>
        </w:rPr>
        <w:drawing>
          <wp:inline distT="0" distB="0" distL="0" distR="0" wp14:anchorId="78C0025A" wp14:editId="3187CD24">
            <wp:extent cx="5486400" cy="128968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86400" cy="1289685"/>
                    </a:xfrm>
                    <a:prstGeom prst="rect">
                      <a:avLst/>
                    </a:prstGeom>
                  </pic:spPr>
                </pic:pic>
              </a:graphicData>
            </a:graphic>
          </wp:inline>
        </w:drawing>
      </w:r>
    </w:p>
    <w:p w14:paraId="2883CB2F" w14:textId="5D2D9675" w:rsidR="00D243EC" w:rsidRDefault="00D243EC" w:rsidP="00D243EC">
      <w:pPr>
        <w:pStyle w:val="BodyText"/>
      </w:pPr>
      <w:r>
        <w:t xml:space="preserve">You can better see the hierarchy of </w:t>
      </w:r>
      <w:r w:rsidR="00CB247A">
        <w:t>relationships</w:t>
      </w:r>
      <w:r>
        <w:t xml:space="preserve"> within a set of members in the model structure used to represent the relationships between the members of the geographic area axis:</w:t>
      </w:r>
    </w:p>
    <w:p w14:paraId="518D02A1" w14:textId="73749890" w:rsidR="00CB247A" w:rsidRDefault="00D243EC" w:rsidP="00D243EC">
      <w:pPr>
        <w:pStyle w:val="BodyText"/>
      </w:pPr>
      <w:r>
        <w:rPr>
          <w:noProof/>
        </w:rPr>
        <w:drawing>
          <wp:inline distT="0" distB="0" distL="0" distR="0" wp14:anchorId="4D2C6E65" wp14:editId="1D9450D2">
            <wp:extent cx="5486400" cy="187833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486400" cy="1878330"/>
                    </a:xfrm>
                    <a:prstGeom prst="rect">
                      <a:avLst/>
                    </a:prstGeom>
                  </pic:spPr>
                </pic:pic>
              </a:graphicData>
            </a:graphic>
          </wp:inline>
        </w:drawing>
      </w:r>
    </w:p>
    <w:p w14:paraId="0C6756AB" w14:textId="54DC3F32" w:rsidR="00CB247A" w:rsidRDefault="00CB247A" w:rsidP="00D243EC">
      <w:pPr>
        <w:pStyle w:val="BodyText"/>
      </w:pPr>
      <w:r>
        <w:t>This representation approach should be avoided.</w:t>
      </w:r>
    </w:p>
    <w:p w14:paraId="65778064" w14:textId="1B653184" w:rsidR="00CB247A" w:rsidRDefault="00CB247A" w:rsidP="00CB247A">
      <w:pPr>
        <w:pStyle w:val="Heading2"/>
      </w:pPr>
      <w:r>
        <w:t>Whole-part (multiple dimensions aggregating set)</w:t>
      </w:r>
    </w:p>
    <w:p w14:paraId="30E39619" w14:textId="64491538" w:rsidR="00CB247A" w:rsidRDefault="00CB247A" w:rsidP="00D243EC">
      <w:pPr>
        <w:pStyle w:val="BodyText"/>
      </w:pPr>
      <w:r>
        <w:rPr>
          <w:lang w:val="en-GB"/>
        </w:rPr>
        <w:t xml:space="preserve">A </w:t>
      </w:r>
      <w:r>
        <w:rPr>
          <w:b/>
          <w:lang w:val="en-GB"/>
        </w:rPr>
        <w:t>whole-part</w:t>
      </w:r>
      <w:r>
        <w:rPr>
          <w:lang w:val="en-GB"/>
        </w:rPr>
        <w:t xml:space="preserve"> (multiple dimensions aggregating set</w:t>
      </w:r>
      <w:r>
        <w:rPr>
          <w:rStyle w:val="FootnoteReference"/>
          <w:lang w:val="en-GB"/>
        </w:rPr>
        <w:footnoteReference w:id="8"/>
      </w:r>
      <w:r>
        <w:rPr>
          <w:lang w:val="en-GB"/>
        </w:rPr>
        <w:t>) is a representation of the exact same logical information as above, however, the nested hierarchy of members of a single dimension is instead represented as two dimensions and the aggregation works correctly.</w:t>
      </w:r>
    </w:p>
    <w:p w14:paraId="2EED750C" w14:textId="77777777" w:rsidR="00CB247A" w:rsidRDefault="00CB247A" w:rsidP="00D243EC">
      <w:pPr>
        <w:pStyle w:val="BodyText"/>
      </w:pPr>
      <w:r>
        <w:rPr>
          <w:noProof/>
        </w:rPr>
        <w:drawing>
          <wp:inline distT="0" distB="0" distL="0" distR="0" wp14:anchorId="27EACB61" wp14:editId="10C6CED2">
            <wp:extent cx="5486400" cy="15119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486400" cy="1511935"/>
                    </a:xfrm>
                    <a:prstGeom prst="rect">
                      <a:avLst/>
                    </a:prstGeom>
                  </pic:spPr>
                </pic:pic>
              </a:graphicData>
            </a:graphic>
          </wp:inline>
        </w:drawing>
      </w:r>
    </w:p>
    <w:p w14:paraId="2F09C1DD" w14:textId="0A2AF1A5" w:rsidR="00CB247A" w:rsidRDefault="00CB247A" w:rsidP="00D243EC">
      <w:pPr>
        <w:pStyle w:val="BodyText"/>
      </w:pPr>
      <w:r>
        <w:t xml:space="preserve">You can see this much better by looking at the example provided.  Essentially, what is </w:t>
      </w:r>
      <w:r w:rsidR="00732CA0">
        <w:t>being</w:t>
      </w:r>
      <w:r>
        <w:t xml:space="preserve"> done is that the single dimension with a nested hierarchy was broken down into two simple non-nested hierarchies.</w:t>
      </w:r>
    </w:p>
    <w:p w14:paraId="2C84FF10" w14:textId="10C0D86D" w:rsidR="00732CA0" w:rsidRDefault="00732CA0" w:rsidP="00D243EC">
      <w:pPr>
        <w:pStyle w:val="BodyText"/>
      </w:pPr>
      <w:r>
        <w:rPr>
          <w:noProof/>
        </w:rPr>
        <w:lastRenderedPageBreak/>
        <w:drawing>
          <wp:inline distT="0" distB="0" distL="0" distR="0" wp14:anchorId="03D9201C" wp14:editId="50957546">
            <wp:extent cx="5486400" cy="20510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486400" cy="2051050"/>
                    </a:xfrm>
                    <a:prstGeom prst="rect">
                      <a:avLst/>
                    </a:prstGeom>
                  </pic:spPr>
                </pic:pic>
              </a:graphicData>
            </a:graphic>
          </wp:inline>
        </w:drawing>
      </w:r>
    </w:p>
    <w:p w14:paraId="18F77C08" w14:textId="7A2C5495" w:rsidR="0022597A" w:rsidRDefault="00732CA0" w:rsidP="0022597A">
      <w:pPr>
        <w:pStyle w:val="BodyText"/>
      </w:pPr>
      <w:r>
        <w:t>Note that the singe “Geographic Area [Axis]” was supplemented with a “Country [Axis]” and the representation fits into the logic that is currently understandable by XBRL.</w:t>
      </w:r>
    </w:p>
    <w:p w14:paraId="11B5C261" w14:textId="3A9DAE21" w:rsidR="00732CA0" w:rsidRDefault="00732CA0" w:rsidP="0022597A">
      <w:pPr>
        <w:pStyle w:val="BodyText"/>
      </w:pPr>
    </w:p>
    <w:p w14:paraId="5608F3B0" w14:textId="642ABB01" w:rsidR="00895BF4" w:rsidRDefault="00895BF4" w:rsidP="00895BF4">
      <w:pPr>
        <w:pStyle w:val="Heading2"/>
      </w:pPr>
      <w:r>
        <w:t>Explicitly versus Implicitly Provided Dimensions</w:t>
      </w:r>
    </w:p>
    <w:p w14:paraId="582BB663" w14:textId="29F6D09E" w:rsidR="00732CA0" w:rsidRDefault="00895BF4" w:rsidP="0022597A">
      <w:pPr>
        <w:pStyle w:val="BodyText"/>
      </w:pPr>
      <w:r>
        <w:rPr>
          <w:lang w:val="en-GB"/>
        </w:rPr>
        <w:t>Aspects that distinguish one fact from another can be explicitly provided or implied.  In this example representation, the business segments and geographic area axis is provided on all three hypercubes represented</w:t>
      </w:r>
      <w:r>
        <w:rPr>
          <w:rStyle w:val="FootnoteReference"/>
          <w:lang w:val="en-GB"/>
        </w:rPr>
        <w:footnoteReference w:id="9"/>
      </w:r>
      <w:r>
        <w:rPr>
          <w:lang w:val="en-GB"/>
        </w:rPr>
        <w:t>:</w:t>
      </w:r>
    </w:p>
    <w:p w14:paraId="7CAE173C" w14:textId="0C25402A" w:rsidR="00895BF4" w:rsidRDefault="00895BF4" w:rsidP="0022597A">
      <w:pPr>
        <w:pStyle w:val="BodyText"/>
      </w:pPr>
      <w:r>
        <w:rPr>
          <w:noProof/>
        </w:rPr>
        <w:drawing>
          <wp:inline distT="0" distB="0" distL="0" distR="0" wp14:anchorId="73B0A932" wp14:editId="1F7CA727">
            <wp:extent cx="5486400" cy="19583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486400" cy="1958340"/>
                    </a:xfrm>
                    <a:prstGeom prst="rect">
                      <a:avLst/>
                    </a:prstGeom>
                  </pic:spPr>
                </pic:pic>
              </a:graphicData>
            </a:graphic>
          </wp:inline>
        </w:drawing>
      </w:r>
    </w:p>
    <w:p w14:paraId="0C1B3931" w14:textId="4665E455" w:rsidR="00895BF4" w:rsidRDefault="00895BF4" w:rsidP="0022597A">
      <w:pPr>
        <w:pStyle w:val="BodyText"/>
      </w:pPr>
      <w:r>
        <w:t>Note that the “Legal Entity [Axis]”, the “Business Segment [Axis]”, and the “Geographic Area [Axis]” are all provided in the Sales Summary Analysis.</w:t>
      </w:r>
    </w:p>
    <w:p w14:paraId="4DF56E5A" w14:textId="544093CE" w:rsidR="00895BF4" w:rsidRDefault="00895BF4" w:rsidP="0022597A">
      <w:pPr>
        <w:pStyle w:val="BodyText"/>
      </w:pPr>
      <w:r>
        <w:t>By contract, in this representation the “Business Segment [Axis]” and the “Geographic Area [Axis]” are NOT explicitly provided</w:t>
      </w:r>
      <w:r>
        <w:rPr>
          <w:rStyle w:val="FootnoteReference"/>
        </w:rPr>
        <w:footnoteReference w:id="10"/>
      </w:r>
      <w:r>
        <w:t>:</w:t>
      </w:r>
    </w:p>
    <w:p w14:paraId="0ACE6EBC" w14:textId="5A104D51" w:rsidR="00732CA0" w:rsidRDefault="00732CA0" w:rsidP="0022597A">
      <w:pPr>
        <w:pStyle w:val="BodyText"/>
      </w:pPr>
    </w:p>
    <w:p w14:paraId="3E72FEE2" w14:textId="40E89459" w:rsidR="00732CA0" w:rsidRDefault="00895BF4" w:rsidP="0022597A">
      <w:pPr>
        <w:pStyle w:val="BodyText"/>
      </w:pPr>
      <w:r>
        <w:rPr>
          <w:noProof/>
        </w:rPr>
        <w:lastRenderedPageBreak/>
        <w:drawing>
          <wp:inline distT="0" distB="0" distL="0" distR="0" wp14:anchorId="0C43DF0E" wp14:editId="42A5231B">
            <wp:extent cx="5486400" cy="1751965"/>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486400" cy="1751965"/>
                    </a:xfrm>
                    <a:prstGeom prst="rect">
                      <a:avLst/>
                    </a:prstGeom>
                  </pic:spPr>
                </pic:pic>
              </a:graphicData>
            </a:graphic>
          </wp:inline>
        </w:drawing>
      </w:r>
    </w:p>
    <w:p w14:paraId="358FF6F2" w14:textId="1AD27937" w:rsidR="00895BF4" w:rsidRDefault="00895BF4" w:rsidP="0022597A">
      <w:pPr>
        <w:pStyle w:val="BodyText"/>
      </w:pPr>
      <w:r>
        <w:t>Logically, both the first example where dimensions are explicitly provided and the second example where two dimensions were implied are equivalent in every way.</w:t>
      </w:r>
    </w:p>
    <w:p w14:paraId="5726754A" w14:textId="24B76F3B" w:rsidR="000328FD" w:rsidRDefault="000328FD" w:rsidP="0022597A">
      <w:pPr>
        <w:pStyle w:val="BodyText"/>
      </w:pPr>
      <w:r>
        <w:t>If you think about it, the logic makes sense and XBRL-based reports follow this logic.  For more information, please see the XBRL Dimensions Specification</w:t>
      </w:r>
      <w:r>
        <w:rPr>
          <w:rStyle w:val="FootnoteReference"/>
        </w:rPr>
        <w:footnoteReference w:id="11"/>
      </w:r>
      <w:r>
        <w:t xml:space="preserve"> which explains that “</w:t>
      </w:r>
      <w:r w:rsidRPr="000328FD">
        <w:t>A Hypercube describes the Cartesian product of zero or more dimensions.</w:t>
      </w:r>
      <w:r>
        <w:t>”</w:t>
      </w:r>
    </w:p>
    <w:p w14:paraId="2C32DFA2" w14:textId="77777777" w:rsidR="00F657AE" w:rsidRDefault="00F657AE" w:rsidP="0022597A">
      <w:pPr>
        <w:pStyle w:val="BodyText"/>
      </w:pPr>
    </w:p>
    <w:sectPr w:rsidR="00F657AE" w:rsidSect="00D5119C">
      <w:headerReference w:type="default" r:id="rId21"/>
      <w:footerReference w:type="default" r:id="rId22"/>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8586AE" w14:textId="77777777" w:rsidR="001F6385" w:rsidRDefault="001F6385">
      <w:r>
        <w:separator/>
      </w:r>
    </w:p>
  </w:endnote>
  <w:endnote w:type="continuationSeparator" w:id="0">
    <w:p w14:paraId="5F21B111" w14:textId="77777777" w:rsidR="001F6385" w:rsidRDefault="001F6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291D5F" w14:textId="77777777" w:rsidR="00E3449C" w:rsidRDefault="00316E3F">
    <w:pPr>
      <w:pStyle w:val="Footer"/>
      <w:rPr>
        <w:rFonts w:cs="Lucida Sans Unicode"/>
        <w:sz w:val="16"/>
      </w:rPr>
    </w:pPr>
    <w:r>
      <w:rPr>
        <w:noProof/>
      </w:rPr>
      <w:drawing>
        <wp:inline distT="0" distB="0" distL="0" distR="0" wp14:anchorId="3525D329" wp14:editId="0722928E">
          <wp:extent cx="1302385" cy="241300"/>
          <wp:effectExtent l="0" t="0" r="0" b="6350"/>
          <wp:docPr id="3" name="Picture 3">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sidR="00E3449C">
      <w:rPr>
        <w:sz w:val="12"/>
        <w:szCs w:val="16"/>
      </w:rPr>
      <w:t xml:space="preserve"> </w:t>
    </w:r>
    <w:r w:rsidR="00E3449C">
      <w:rPr>
        <w:rFonts w:cs="Lucida Sans Unicode"/>
        <w:sz w:val="16"/>
      </w:rPr>
      <w:tab/>
    </w:r>
    <w:r w:rsidR="00E3449C">
      <w:rPr>
        <w:rFonts w:cs="Lucida Sans Unicode"/>
        <w:sz w:val="16"/>
      </w:rPr>
      <w:tab/>
    </w:r>
    <w:r w:rsidR="00E3449C">
      <w:rPr>
        <w:rFonts w:cs="Lucida Sans Unicode"/>
        <w:sz w:val="16"/>
      </w:rPr>
      <w:fldChar w:fldCharType="begin"/>
    </w:r>
    <w:r w:rsidR="00E3449C">
      <w:rPr>
        <w:rFonts w:cs="Lucida Sans Unicode"/>
        <w:sz w:val="16"/>
      </w:rPr>
      <w:instrText xml:space="preserve"> PAGE </w:instrText>
    </w:r>
    <w:r w:rsidR="00E3449C">
      <w:rPr>
        <w:rFonts w:cs="Lucida Sans Unicode"/>
        <w:sz w:val="16"/>
      </w:rPr>
      <w:fldChar w:fldCharType="separate"/>
    </w:r>
    <w:r w:rsidR="005D1D74">
      <w:rPr>
        <w:rFonts w:cs="Lucida Sans Unicode"/>
        <w:sz w:val="16"/>
      </w:rPr>
      <w:t>8</w:t>
    </w:r>
    <w:r w:rsidR="00E3449C">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140099" w14:textId="77777777" w:rsidR="001F6385" w:rsidRDefault="001F6385">
      <w:r>
        <w:separator/>
      </w:r>
    </w:p>
  </w:footnote>
  <w:footnote w:type="continuationSeparator" w:id="0">
    <w:p w14:paraId="36939DD0" w14:textId="77777777" w:rsidR="001F6385" w:rsidRDefault="001F6385">
      <w:r>
        <w:continuationSeparator/>
      </w:r>
    </w:p>
  </w:footnote>
  <w:footnote w:id="1">
    <w:p w14:paraId="43400171" w14:textId="77777777" w:rsidR="00A11AFE" w:rsidRDefault="00A11AFE" w:rsidP="00BC2574">
      <w:pPr>
        <w:pStyle w:val="FootnoteText"/>
        <w:jc w:val="left"/>
      </w:pPr>
      <w:r>
        <w:rPr>
          <w:rStyle w:val="FootnoteReference"/>
        </w:rPr>
        <w:footnoteRef/>
      </w:r>
      <w:r>
        <w:t xml:space="preserve"> </w:t>
      </w:r>
      <w:r w:rsidRPr="00BC2574">
        <w:rPr>
          <w:sz w:val="16"/>
        </w:rPr>
        <w:t xml:space="preserve">Member arrangement patterns examples, </w:t>
      </w:r>
      <w:hyperlink r:id="rId1" w:history="1">
        <w:r w:rsidRPr="00BC2574">
          <w:rPr>
            <w:rStyle w:val="Hyperlink"/>
            <w:sz w:val="16"/>
          </w:rPr>
          <w:t>http://xbrlsite.azurewebsites.net/DigitalFinancialReporting/MemberArrangementPatterns/2017-05-07/</w:t>
        </w:r>
      </w:hyperlink>
      <w:r>
        <w:t xml:space="preserve"> </w:t>
      </w:r>
    </w:p>
  </w:footnote>
  <w:footnote w:id="2">
    <w:p w14:paraId="0DED435F" w14:textId="66326772" w:rsidR="00300A40" w:rsidRDefault="00300A40" w:rsidP="00300A40">
      <w:pPr>
        <w:pStyle w:val="FootnoteText"/>
        <w:jc w:val="left"/>
      </w:pPr>
      <w:r>
        <w:rPr>
          <w:rStyle w:val="FootnoteReference"/>
        </w:rPr>
        <w:footnoteRef/>
      </w:r>
      <w:r>
        <w:t xml:space="preserve"> </w:t>
      </w:r>
      <w:r w:rsidRPr="00300A40">
        <w:rPr>
          <w:sz w:val="16"/>
          <w:szCs w:val="16"/>
        </w:rPr>
        <w:t xml:space="preserve">Member arrangement patterns, </w:t>
      </w:r>
      <w:hyperlink r:id="rId2" w:history="1">
        <w:r w:rsidRPr="00300A40">
          <w:rPr>
            <w:rStyle w:val="Hyperlink"/>
            <w:sz w:val="16"/>
            <w:szCs w:val="16"/>
          </w:rPr>
          <w:t>http://xbrlsite.azurewebsites.net/DigitalFinancialReporting/MemberArrangementPatterns/2017-05-07/</w:t>
        </w:r>
      </w:hyperlink>
      <w:r>
        <w:t xml:space="preserve"> </w:t>
      </w:r>
    </w:p>
  </w:footnote>
  <w:footnote w:id="3">
    <w:p w14:paraId="4BA39448" w14:textId="60C24419" w:rsidR="002F5F4F" w:rsidRDefault="002F5F4F" w:rsidP="002F5F4F">
      <w:pPr>
        <w:pStyle w:val="FootnoteText"/>
        <w:jc w:val="left"/>
      </w:pPr>
      <w:r>
        <w:rPr>
          <w:rStyle w:val="FootnoteReference"/>
        </w:rPr>
        <w:footnoteRef/>
      </w:r>
      <w:r>
        <w:t xml:space="preserve"> </w:t>
      </w:r>
      <w:r w:rsidRPr="002F5F4F">
        <w:rPr>
          <w:sz w:val="16"/>
          <w:szCs w:val="16"/>
        </w:rPr>
        <w:t xml:space="preserve">Hypercubes, </w:t>
      </w:r>
      <w:hyperlink r:id="rId3" w:history="1">
        <w:r w:rsidRPr="002F5F4F">
          <w:rPr>
            <w:rStyle w:val="Hyperlink"/>
            <w:sz w:val="16"/>
            <w:szCs w:val="16"/>
          </w:rPr>
          <w:t>http://xbrlsite.azurewebsites.net/2017/IntelligentDigitalFinancialReporting/Part01_Chapter02.8_Hypercubes.pdf</w:t>
        </w:r>
      </w:hyperlink>
      <w:r>
        <w:t xml:space="preserve"> </w:t>
      </w:r>
    </w:p>
  </w:footnote>
  <w:footnote w:id="4">
    <w:p w14:paraId="20CAC22F" w14:textId="67E7F272" w:rsidR="002F5F4F" w:rsidRDefault="002F5F4F" w:rsidP="002F5F4F">
      <w:pPr>
        <w:pStyle w:val="FootnoteText"/>
        <w:jc w:val="left"/>
      </w:pPr>
      <w:r>
        <w:rPr>
          <w:rStyle w:val="FootnoteReference"/>
        </w:rPr>
        <w:footnoteRef/>
      </w:r>
      <w:r>
        <w:t xml:space="preserve"> </w:t>
      </w:r>
      <w:r w:rsidRPr="002F5F4F">
        <w:rPr>
          <w:sz w:val="16"/>
          <w:szCs w:val="16"/>
        </w:rPr>
        <w:t xml:space="preserve">Complex Fact, </w:t>
      </w:r>
      <w:hyperlink r:id="rId4" w:history="1">
        <w:r w:rsidRPr="002F5F4F">
          <w:rPr>
            <w:rStyle w:val="Hyperlink"/>
            <w:sz w:val="16"/>
            <w:szCs w:val="16"/>
          </w:rPr>
          <w:t>http://xbrlsite.azurewebsites.net/2019/Prototype/conformance-suite/Production/1000-ConceptArangementPatterns/04-CompoundFact/evidence-package</w:t>
        </w:r>
      </w:hyperlink>
      <w:r>
        <w:t xml:space="preserve"> </w:t>
      </w:r>
    </w:p>
  </w:footnote>
  <w:footnote w:id="5">
    <w:p w14:paraId="1C8F818D" w14:textId="77777777" w:rsidR="0068509D" w:rsidRDefault="0068509D" w:rsidP="0068509D">
      <w:pPr>
        <w:pStyle w:val="FootnoteText"/>
        <w:jc w:val="left"/>
      </w:pPr>
      <w:r>
        <w:rPr>
          <w:rStyle w:val="FootnoteReference"/>
        </w:rPr>
        <w:footnoteRef/>
      </w:r>
      <w:r>
        <w:t xml:space="preserve"> </w:t>
      </w:r>
      <w:r w:rsidRPr="0068509D">
        <w:rPr>
          <w:sz w:val="16"/>
          <w:szCs w:val="16"/>
        </w:rPr>
        <w:t xml:space="preserve">Complete flat nonaggregating set, </w:t>
      </w:r>
      <w:hyperlink r:id="rId5" w:history="1">
        <w:r w:rsidRPr="0068509D">
          <w:rPr>
            <w:rStyle w:val="Hyperlink"/>
            <w:sz w:val="16"/>
            <w:szCs w:val="16"/>
          </w:rPr>
          <w:t>http://xbrlsite.azurewebsites.net/DigitalFinancialReporting/MemberArrangementPatterns/2017-05-07/MAP01-CompleteFlatSet/evidence-package</w:t>
        </w:r>
      </w:hyperlink>
      <w:r>
        <w:t xml:space="preserve"> </w:t>
      </w:r>
    </w:p>
  </w:footnote>
  <w:footnote w:id="6">
    <w:p w14:paraId="23C0B34F" w14:textId="41C2A79E" w:rsidR="00D243EC" w:rsidRDefault="00D243EC" w:rsidP="00D243EC">
      <w:pPr>
        <w:pStyle w:val="FootnoteText"/>
        <w:jc w:val="left"/>
      </w:pPr>
      <w:r>
        <w:rPr>
          <w:rStyle w:val="FootnoteReference"/>
        </w:rPr>
        <w:footnoteRef/>
      </w:r>
      <w:r>
        <w:t xml:space="preserve"> </w:t>
      </w:r>
      <w:r w:rsidRPr="00D243EC">
        <w:rPr>
          <w:sz w:val="16"/>
          <w:szCs w:val="16"/>
        </w:rPr>
        <w:t xml:space="preserve">Complete flat aggregating set, </w:t>
      </w:r>
      <w:hyperlink r:id="rId6" w:history="1">
        <w:r w:rsidRPr="00D243EC">
          <w:rPr>
            <w:rStyle w:val="Hyperlink"/>
            <w:sz w:val="16"/>
            <w:szCs w:val="16"/>
          </w:rPr>
          <w:t>http://xbrlsite.azurewebsites.net/DigitalFinancialReporting/MemberArrangementPatterns/2017-05-07/MAP02-SimpleFlatAggregation/evidence-package</w:t>
        </w:r>
      </w:hyperlink>
      <w:r>
        <w:t xml:space="preserve"> </w:t>
      </w:r>
    </w:p>
  </w:footnote>
  <w:footnote w:id="7">
    <w:p w14:paraId="090A9E52" w14:textId="7C412ADD" w:rsidR="00CB247A" w:rsidRDefault="00CB247A" w:rsidP="00CB247A">
      <w:pPr>
        <w:pStyle w:val="FootnoteText"/>
        <w:jc w:val="left"/>
      </w:pPr>
      <w:r>
        <w:rPr>
          <w:rStyle w:val="FootnoteReference"/>
        </w:rPr>
        <w:footnoteRef/>
      </w:r>
      <w:r>
        <w:t xml:space="preserve"> </w:t>
      </w:r>
      <w:r w:rsidRPr="00CB247A">
        <w:rPr>
          <w:sz w:val="16"/>
          <w:szCs w:val="16"/>
        </w:rPr>
        <w:t xml:space="preserve">Complete hierarchical aggregating set, </w:t>
      </w:r>
      <w:hyperlink r:id="rId7" w:history="1">
        <w:r w:rsidRPr="00CB247A">
          <w:rPr>
            <w:rStyle w:val="Hyperlink"/>
            <w:sz w:val="16"/>
            <w:szCs w:val="16"/>
          </w:rPr>
          <w:t>http://xbrlsite.azurewebsites.net/DigitalFinancialReporting/MemberArrangementPatterns/2017-05-07/MAP03-NestedMemberAggregation/evidence-package</w:t>
        </w:r>
      </w:hyperlink>
      <w:r>
        <w:t xml:space="preserve"> </w:t>
      </w:r>
    </w:p>
  </w:footnote>
  <w:footnote w:id="8">
    <w:p w14:paraId="7DD0F88D" w14:textId="383B08CF" w:rsidR="00CB247A" w:rsidRDefault="00CB247A" w:rsidP="00CB247A">
      <w:pPr>
        <w:pStyle w:val="FootnoteText"/>
        <w:jc w:val="left"/>
      </w:pPr>
      <w:r>
        <w:rPr>
          <w:rStyle w:val="FootnoteReference"/>
        </w:rPr>
        <w:footnoteRef/>
      </w:r>
      <w:r>
        <w:t xml:space="preserve"> </w:t>
      </w:r>
      <w:r>
        <w:rPr>
          <w:sz w:val="16"/>
          <w:szCs w:val="16"/>
        </w:rPr>
        <w:t xml:space="preserve">Multiple dimensions </w:t>
      </w:r>
      <w:r w:rsidRPr="00CB247A">
        <w:rPr>
          <w:sz w:val="16"/>
          <w:szCs w:val="16"/>
        </w:rPr>
        <w:t xml:space="preserve">aggregating set, </w:t>
      </w:r>
      <w:hyperlink r:id="rId8" w:history="1">
        <w:r w:rsidRPr="00103DFC">
          <w:rPr>
            <w:rStyle w:val="Hyperlink"/>
            <w:sz w:val="16"/>
            <w:szCs w:val="16"/>
          </w:rPr>
          <w:t>http://xbrlsite.azurewebsites.net/DigitalFinancialReporting/MemberArrangementPatterns/2017-05-07/MAP05-MultipleCharacteristics/evidence-package</w:t>
        </w:r>
      </w:hyperlink>
      <w:r>
        <w:rPr>
          <w:sz w:val="16"/>
          <w:szCs w:val="16"/>
        </w:rPr>
        <w:t xml:space="preserve"> </w:t>
      </w:r>
    </w:p>
  </w:footnote>
  <w:footnote w:id="9">
    <w:p w14:paraId="05A31DFA" w14:textId="2B0FBCFC" w:rsidR="00895BF4" w:rsidRDefault="00895BF4" w:rsidP="00895BF4">
      <w:pPr>
        <w:pStyle w:val="FootnoteText"/>
        <w:jc w:val="left"/>
      </w:pPr>
      <w:r>
        <w:rPr>
          <w:rStyle w:val="FootnoteReference"/>
        </w:rPr>
        <w:footnoteRef/>
      </w:r>
      <w:r>
        <w:t xml:space="preserve"> </w:t>
      </w:r>
      <w:r>
        <w:rPr>
          <w:sz w:val="16"/>
          <w:szCs w:val="16"/>
        </w:rPr>
        <w:t>Dimensions E</w:t>
      </w:r>
      <w:r w:rsidRPr="00895BF4">
        <w:rPr>
          <w:sz w:val="16"/>
          <w:szCs w:val="16"/>
        </w:rPr>
        <w:t xml:space="preserve">xplicit, </w:t>
      </w:r>
      <w:hyperlink r:id="rId9" w:history="1">
        <w:r w:rsidRPr="00895BF4">
          <w:rPr>
            <w:rStyle w:val="Hyperlink"/>
            <w:sz w:val="16"/>
            <w:szCs w:val="16"/>
          </w:rPr>
          <w:t>http://xbrlsite.azurewebsites.net/DigitalFinancialReporting/MemberArrangementPatterns/2017-05-07/MAP06-ExplicitCharacteristics/evidence-package</w:t>
        </w:r>
      </w:hyperlink>
      <w:r>
        <w:t xml:space="preserve"> </w:t>
      </w:r>
    </w:p>
  </w:footnote>
  <w:footnote w:id="10">
    <w:p w14:paraId="4C732D3D" w14:textId="065C26D4" w:rsidR="00895BF4" w:rsidRDefault="00895BF4" w:rsidP="00895BF4">
      <w:pPr>
        <w:pStyle w:val="FootnoteText"/>
        <w:jc w:val="left"/>
      </w:pPr>
      <w:r>
        <w:rPr>
          <w:rStyle w:val="FootnoteReference"/>
        </w:rPr>
        <w:footnoteRef/>
      </w:r>
      <w:r>
        <w:t xml:space="preserve"> </w:t>
      </w:r>
      <w:r w:rsidRPr="00895BF4">
        <w:rPr>
          <w:sz w:val="16"/>
          <w:szCs w:val="16"/>
        </w:rPr>
        <w:t xml:space="preserve">Dimensions Implied, </w:t>
      </w:r>
      <w:hyperlink r:id="rId10" w:history="1">
        <w:r w:rsidRPr="00895BF4">
          <w:rPr>
            <w:rStyle w:val="Hyperlink"/>
            <w:sz w:val="16"/>
            <w:szCs w:val="16"/>
          </w:rPr>
          <w:t>http://xbrlsite.azurewebsites.net/DigitalFinancialReporting/MemberArrangementPatterns/2017-05-07/MAP07-IntersectingTables/evidence-package</w:t>
        </w:r>
      </w:hyperlink>
      <w:r>
        <w:t xml:space="preserve"> </w:t>
      </w:r>
    </w:p>
  </w:footnote>
  <w:footnote w:id="11">
    <w:p w14:paraId="61D7A25F" w14:textId="1503DC6A" w:rsidR="000328FD" w:rsidRDefault="000328FD" w:rsidP="000328FD">
      <w:pPr>
        <w:pStyle w:val="FootnoteText"/>
        <w:jc w:val="left"/>
      </w:pPr>
      <w:r>
        <w:rPr>
          <w:rStyle w:val="FootnoteReference"/>
        </w:rPr>
        <w:footnoteRef/>
      </w:r>
      <w:r>
        <w:t xml:space="preserve"> </w:t>
      </w:r>
      <w:r w:rsidRPr="000328FD">
        <w:rPr>
          <w:sz w:val="16"/>
          <w:szCs w:val="16"/>
        </w:rPr>
        <w:t xml:space="preserve">XBRL International, XBRL Dimensions Specification, </w:t>
      </w:r>
      <w:hyperlink r:id="rId11" w:history="1">
        <w:r w:rsidRPr="000328FD">
          <w:rPr>
            <w:rStyle w:val="Hyperlink"/>
            <w:sz w:val="16"/>
            <w:szCs w:val="16"/>
          </w:rPr>
          <w:t>http://www.xbrl.org/specification/dimensions/rec-2012-01-25/dimensions-rec-2006-09-18+corrected-errata-2012-01-25-clean.html</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F59E2B" w14:textId="56554E1C" w:rsidR="00E3449C" w:rsidRPr="00DF510D" w:rsidRDefault="00F657AE" w:rsidP="00DF510D">
    <w:pPr>
      <w:pStyle w:val="Header"/>
      <w:jc w:val="center"/>
      <w:rPr>
        <w:szCs w:val="18"/>
      </w:rPr>
    </w:pPr>
    <w:r>
      <w:rPr>
        <w:smallCaps/>
        <w:sz w:val="16"/>
        <w:szCs w:val="18"/>
      </w:rPr>
      <w:t xml:space="preserve">Mastering XBRL-based </w:t>
    </w:r>
    <w:r w:rsidR="00334AB5" w:rsidRPr="00DF510D">
      <w:rPr>
        <w:smallCaps/>
        <w:sz w:val="16"/>
        <w:szCs w:val="18"/>
      </w:rPr>
      <w:t xml:space="preserve">Digital Financial Reporting – Part 2: </w:t>
    </w:r>
    <w:r>
      <w:rPr>
        <w:smallCaps/>
        <w:sz w:val="16"/>
        <w:szCs w:val="18"/>
      </w:rPr>
      <w:t xml:space="preserve">Logical Conceptualization of </w:t>
    </w:r>
    <w:r w:rsidR="00334AB5" w:rsidRPr="00DF510D">
      <w:rPr>
        <w:smallCaps/>
        <w:sz w:val="16"/>
        <w:szCs w:val="18"/>
      </w:rPr>
      <w:t xml:space="preserve">Financial Report – </w:t>
    </w:r>
    <w:r w:rsidR="002F0ED1">
      <w:rPr>
        <w:smallCaps/>
        <w:sz w:val="16"/>
        <w:szCs w:val="18"/>
      </w:rPr>
      <w:t>Member Arrangement Pa</w:t>
    </w:r>
    <w:r w:rsidR="00334AB5" w:rsidRPr="00DF510D">
      <w:rPr>
        <w:smallCaps/>
        <w:sz w:val="16"/>
        <w:szCs w:val="18"/>
      </w:rPr>
      <w:t>tterns – Charles Hoffman, CPA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8035D8"/>
    <w:multiLevelType w:val="hybridMultilevel"/>
    <w:tmpl w:val="C8225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851B28"/>
    <w:multiLevelType w:val="hybridMultilevel"/>
    <w:tmpl w:val="E2CE9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B4776"/>
    <w:multiLevelType w:val="hybridMultilevel"/>
    <w:tmpl w:val="7D78F7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96584F"/>
    <w:multiLevelType w:val="hybridMultilevel"/>
    <w:tmpl w:val="3FE6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7735E1"/>
    <w:multiLevelType w:val="hybridMultilevel"/>
    <w:tmpl w:val="588C7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9B08AA"/>
    <w:multiLevelType w:val="hybridMultilevel"/>
    <w:tmpl w:val="1A8CC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567E1B"/>
    <w:multiLevelType w:val="hybridMultilevel"/>
    <w:tmpl w:val="6D500F6E"/>
    <w:lvl w:ilvl="0" w:tplc="04090001">
      <w:start w:val="1"/>
      <w:numFmt w:val="bullet"/>
      <w:lvlText w:val=""/>
      <w:lvlJc w:val="left"/>
      <w:pPr>
        <w:ind w:left="720" w:hanging="360"/>
      </w:pPr>
      <w:rPr>
        <w:rFonts w:ascii="Symbol" w:hAnsi="Symbol" w:hint="default"/>
      </w:rPr>
    </w:lvl>
    <w:lvl w:ilvl="1" w:tplc="658C0F6C">
      <w:numFmt w:val="bullet"/>
      <w:lvlText w:val="•"/>
      <w:lvlJc w:val="left"/>
      <w:pPr>
        <w:ind w:left="1800" w:hanging="720"/>
      </w:pPr>
      <w:rPr>
        <w:rFonts w:ascii="Verdana" w:eastAsia="Times New Roman" w:hAnsi="Verdana"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100C64"/>
    <w:multiLevelType w:val="hybridMultilevel"/>
    <w:tmpl w:val="2128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9455A3"/>
    <w:multiLevelType w:val="hybridMultilevel"/>
    <w:tmpl w:val="121AD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num w:numId="1">
    <w:abstractNumId w:val="9"/>
  </w:num>
  <w:num w:numId="2">
    <w:abstractNumId w:val="1"/>
  </w:num>
  <w:num w:numId="3">
    <w:abstractNumId w:val="7"/>
  </w:num>
  <w:num w:numId="4">
    <w:abstractNumId w:val="4"/>
  </w:num>
  <w:num w:numId="5">
    <w:abstractNumId w:val="8"/>
  </w:num>
  <w:num w:numId="6">
    <w:abstractNumId w:val="3"/>
  </w:num>
  <w:num w:numId="7">
    <w:abstractNumId w:val="6"/>
  </w:num>
  <w:num w:numId="8">
    <w:abstractNumId w:val="5"/>
  </w:num>
  <w:num w:numId="9">
    <w:abstractNumId w:val="2"/>
  </w:num>
  <w:num w:numId="10">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22A0"/>
    <w:rsid w:val="000148C1"/>
    <w:rsid w:val="000155DC"/>
    <w:rsid w:val="00015684"/>
    <w:rsid w:val="000161D2"/>
    <w:rsid w:val="00016253"/>
    <w:rsid w:val="000164DB"/>
    <w:rsid w:val="00016B82"/>
    <w:rsid w:val="000177CF"/>
    <w:rsid w:val="00017BBA"/>
    <w:rsid w:val="0002109F"/>
    <w:rsid w:val="00021DCD"/>
    <w:rsid w:val="000228D3"/>
    <w:rsid w:val="00023724"/>
    <w:rsid w:val="000237CC"/>
    <w:rsid w:val="000237EB"/>
    <w:rsid w:val="00025FD5"/>
    <w:rsid w:val="00030B6D"/>
    <w:rsid w:val="00031734"/>
    <w:rsid w:val="00032644"/>
    <w:rsid w:val="000328FD"/>
    <w:rsid w:val="00035771"/>
    <w:rsid w:val="000358B0"/>
    <w:rsid w:val="00035C81"/>
    <w:rsid w:val="0003759F"/>
    <w:rsid w:val="00043122"/>
    <w:rsid w:val="000434D4"/>
    <w:rsid w:val="00043E99"/>
    <w:rsid w:val="00044165"/>
    <w:rsid w:val="000443D5"/>
    <w:rsid w:val="00044614"/>
    <w:rsid w:val="00045251"/>
    <w:rsid w:val="0004574A"/>
    <w:rsid w:val="00045D0D"/>
    <w:rsid w:val="0004620D"/>
    <w:rsid w:val="00046CEA"/>
    <w:rsid w:val="000472AF"/>
    <w:rsid w:val="00047531"/>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697"/>
    <w:rsid w:val="00055F80"/>
    <w:rsid w:val="00056607"/>
    <w:rsid w:val="000570AE"/>
    <w:rsid w:val="00060120"/>
    <w:rsid w:val="000609B0"/>
    <w:rsid w:val="00061B60"/>
    <w:rsid w:val="000637EB"/>
    <w:rsid w:val="00063DBD"/>
    <w:rsid w:val="00063F84"/>
    <w:rsid w:val="000653B6"/>
    <w:rsid w:val="000659DD"/>
    <w:rsid w:val="000659E8"/>
    <w:rsid w:val="00065BD3"/>
    <w:rsid w:val="000715DD"/>
    <w:rsid w:val="00072ABF"/>
    <w:rsid w:val="00073599"/>
    <w:rsid w:val="00074E20"/>
    <w:rsid w:val="00074E5B"/>
    <w:rsid w:val="000770E7"/>
    <w:rsid w:val="00077496"/>
    <w:rsid w:val="000803CD"/>
    <w:rsid w:val="00080C5A"/>
    <w:rsid w:val="00082761"/>
    <w:rsid w:val="00084349"/>
    <w:rsid w:val="00084367"/>
    <w:rsid w:val="00084532"/>
    <w:rsid w:val="0008471D"/>
    <w:rsid w:val="00085A93"/>
    <w:rsid w:val="00086CD7"/>
    <w:rsid w:val="000902B5"/>
    <w:rsid w:val="00090664"/>
    <w:rsid w:val="000915E4"/>
    <w:rsid w:val="00096E5C"/>
    <w:rsid w:val="000A03AF"/>
    <w:rsid w:val="000A08F0"/>
    <w:rsid w:val="000A135D"/>
    <w:rsid w:val="000A2463"/>
    <w:rsid w:val="000A3DAF"/>
    <w:rsid w:val="000A408C"/>
    <w:rsid w:val="000A4F2F"/>
    <w:rsid w:val="000A6B47"/>
    <w:rsid w:val="000A7166"/>
    <w:rsid w:val="000A76D3"/>
    <w:rsid w:val="000A778C"/>
    <w:rsid w:val="000B0384"/>
    <w:rsid w:val="000B1561"/>
    <w:rsid w:val="000B1811"/>
    <w:rsid w:val="000B1A7F"/>
    <w:rsid w:val="000B1EDD"/>
    <w:rsid w:val="000B319F"/>
    <w:rsid w:val="000B320F"/>
    <w:rsid w:val="000B5569"/>
    <w:rsid w:val="000B6043"/>
    <w:rsid w:val="000B6F4E"/>
    <w:rsid w:val="000C0251"/>
    <w:rsid w:val="000C06DE"/>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217"/>
    <w:rsid w:val="000D4CF5"/>
    <w:rsid w:val="000D5414"/>
    <w:rsid w:val="000D6234"/>
    <w:rsid w:val="000D63DA"/>
    <w:rsid w:val="000D75CC"/>
    <w:rsid w:val="000E000E"/>
    <w:rsid w:val="000E0BB4"/>
    <w:rsid w:val="000E280A"/>
    <w:rsid w:val="000E2A8A"/>
    <w:rsid w:val="000E2F58"/>
    <w:rsid w:val="000E33F2"/>
    <w:rsid w:val="000E39DD"/>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2941"/>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48F2"/>
    <w:rsid w:val="00104DF5"/>
    <w:rsid w:val="00104E4F"/>
    <w:rsid w:val="00104E90"/>
    <w:rsid w:val="00105961"/>
    <w:rsid w:val="0010607A"/>
    <w:rsid w:val="00106332"/>
    <w:rsid w:val="00106A41"/>
    <w:rsid w:val="00106D07"/>
    <w:rsid w:val="00106D73"/>
    <w:rsid w:val="00107C14"/>
    <w:rsid w:val="00107D24"/>
    <w:rsid w:val="0011076A"/>
    <w:rsid w:val="00111839"/>
    <w:rsid w:val="001118C7"/>
    <w:rsid w:val="001127B1"/>
    <w:rsid w:val="001146A6"/>
    <w:rsid w:val="00114B66"/>
    <w:rsid w:val="001156D1"/>
    <w:rsid w:val="00116990"/>
    <w:rsid w:val="00117313"/>
    <w:rsid w:val="001202E3"/>
    <w:rsid w:val="00120D76"/>
    <w:rsid w:val="00121AB0"/>
    <w:rsid w:val="00123CEA"/>
    <w:rsid w:val="00123F69"/>
    <w:rsid w:val="001245CE"/>
    <w:rsid w:val="0012470B"/>
    <w:rsid w:val="0012632D"/>
    <w:rsid w:val="001266F3"/>
    <w:rsid w:val="00126DD7"/>
    <w:rsid w:val="00131753"/>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53E"/>
    <w:rsid w:val="00153F7E"/>
    <w:rsid w:val="001541E4"/>
    <w:rsid w:val="00155C8F"/>
    <w:rsid w:val="00157842"/>
    <w:rsid w:val="00160098"/>
    <w:rsid w:val="00160642"/>
    <w:rsid w:val="00160CB6"/>
    <w:rsid w:val="001613DC"/>
    <w:rsid w:val="001617B5"/>
    <w:rsid w:val="0016208B"/>
    <w:rsid w:val="0016397B"/>
    <w:rsid w:val="001646D3"/>
    <w:rsid w:val="00165318"/>
    <w:rsid w:val="0016531B"/>
    <w:rsid w:val="00166D45"/>
    <w:rsid w:val="00166F28"/>
    <w:rsid w:val="00167D35"/>
    <w:rsid w:val="0017091F"/>
    <w:rsid w:val="00170BB2"/>
    <w:rsid w:val="00171742"/>
    <w:rsid w:val="001729F1"/>
    <w:rsid w:val="00173D01"/>
    <w:rsid w:val="0017612D"/>
    <w:rsid w:val="00180AE0"/>
    <w:rsid w:val="00180CA1"/>
    <w:rsid w:val="00181043"/>
    <w:rsid w:val="00181353"/>
    <w:rsid w:val="00182624"/>
    <w:rsid w:val="001826AA"/>
    <w:rsid w:val="0018452F"/>
    <w:rsid w:val="00184AB8"/>
    <w:rsid w:val="001850BF"/>
    <w:rsid w:val="0018759B"/>
    <w:rsid w:val="001875E1"/>
    <w:rsid w:val="0018789E"/>
    <w:rsid w:val="00192D59"/>
    <w:rsid w:val="0019309F"/>
    <w:rsid w:val="001935CE"/>
    <w:rsid w:val="00193E70"/>
    <w:rsid w:val="00194758"/>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B82"/>
    <w:rsid w:val="001C3CDE"/>
    <w:rsid w:val="001C3FD9"/>
    <w:rsid w:val="001C55CA"/>
    <w:rsid w:val="001C5C16"/>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28B"/>
    <w:rsid w:val="001E289C"/>
    <w:rsid w:val="001E33AD"/>
    <w:rsid w:val="001E3728"/>
    <w:rsid w:val="001E3B18"/>
    <w:rsid w:val="001E3FF3"/>
    <w:rsid w:val="001E4CAB"/>
    <w:rsid w:val="001E65C3"/>
    <w:rsid w:val="001E6D6A"/>
    <w:rsid w:val="001E7225"/>
    <w:rsid w:val="001E7D7D"/>
    <w:rsid w:val="001F0088"/>
    <w:rsid w:val="001F1654"/>
    <w:rsid w:val="001F1DC5"/>
    <w:rsid w:val="001F5F20"/>
    <w:rsid w:val="001F6385"/>
    <w:rsid w:val="001F70AB"/>
    <w:rsid w:val="001F71BB"/>
    <w:rsid w:val="001F7223"/>
    <w:rsid w:val="001F725F"/>
    <w:rsid w:val="001F7536"/>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3647"/>
    <w:rsid w:val="00213A35"/>
    <w:rsid w:val="002140EE"/>
    <w:rsid w:val="00214CEE"/>
    <w:rsid w:val="00214EE0"/>
    <w:rsid w:val="00216137"/>
    <w:rsid w:val="002165D8"/>
    <w:rsid w:val="002172E2"/>
    <w:rsid w:val="00217664"/>
    <w:rsid w:val="00217B38"/>
    <w:rsid w:val="00217FDA"/>
    <w:rsid w:val="00220A1A"/>
    <w:rsid w:val="00220D88"/>
    <w:rsid w:val="00222661"/>
    <w:rsid w:val="00222D5C"/>
    <w:rsid w:val="0022341C"/>
    <w:rsid w:val="0022341F"/>
    <w:rsid w:val="00223708"/>
    <w:rsid w:val="00223BAE"/>
    <w:rsid w:val="0022543F"/>
    <w:rsid w:val="002254FB"/>
    <w:rsid w:val="0022597A"/>
    <w:rsid w:val="002268C6"/>
    <w:rsid w:val="00226B4C"/>
    <w:rsid w:val="00227501"/>
    <w:rsid w:val="00230B99"/>
    <w:rsid w:val="00231E24"/>
    <w:rsid w:val="00231EC4"/>
    <w:rsid w:val="00231FD0"/>
    <w:rsid w:val="0023200D"/>
    <w:rsid w:val="00232868"/>
    <w:rsid w:val="00232F1A"/>
    <w:rsid w:val="00233B37"/>
    <w:rsid w:val="00233F3C"/>
    <w:rsid w:val="0023604C"/>
    <w:rsid w:val="00236541"/>
    <w:rsid w:val="00237F73"/>
    <w:rsid w:val="002400FA"/>
    <w:rsid w:val="002401AA"/>
    <w:rsid w:val="00240961"/>
    <w:rsid w:val="00240C65"/>
    <w:rsid w:val="00241485"/>
    <w:rsid w:val="00241637"/>
    <w:rsid w:val="00242029"/>
    <w:rsid w:val="002423E9"/>
    <w:rsid w:val="002427D3"/>
    <w:rsid w:val="002435C0"/>
    <w:rsid w:val="00243CC7"/>
    <w:rsid w:val="002473B6"/>
    <w:rsid w:val="00247A70"/>
    <w:rsid w:val="00250A74"/>
    <w:rsid w:val="002513A8"/>
    <w:rsid w:val="00252745"/>
    <w:rsid w:val="00252781"/>
    <w:rsid w:val="00252A99"/>
    <w:rsid w:val="00252EC9"/>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20B0"/>
    <w:rsid w:val="00293F8A"/>
    <w:rsid w:val="00294EB5"/>
    <w:rsid w:val="002953B4"/>
    <w:rsid w:val="00296F32"/>
    <w:rsid w:val="00297554"/>
    <w:rsid w:val="002A039F"/>
    <w:rsid w:val="002A1407"/>
    <w:rsid w:val="002A23E1"/>
    <w:rsid w:val="002A2A90"/>
    <w:rsid w:val="002A338D"/>
    <w:rsid w:val="002A3FF3"/>
    <w:rsid w:val="002A438E"/>
    <w:rsid w:val="002A476C"/>
    <w:rsid w:val="002A4AFA"/>
    <w:rsid w:val="002A65F6"/>
    <w:rsid w:val="002A68B7"/>
    <w:rsid w:val="002A735D"/>
    <w:rsid w:val="002B0111"/>
    <w:rsid w:val="002B07A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17D3"/>
    <w:rsid w:val="002C556A"/>
    <w:rsid w:val="002C5CC9"/>
    <w:rsid w:val="002C689C"/>
    <w:rsid w:val="002C6D02"/>
    <w:rsid w:val="002D0954"/>
    <w:rsid w:val="002D0A4F"/>
    <w:rsid w:val="002D0E42"/>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55A9"/>
    <w:rsid w:val="002E5C91"/>
    <w:rsid w:val="002E5CE1"/>
    <w:rsid w:val="002E65F8"/>
    <w:rsid w:val="002E6CA9"/>
    <w:rsid w:val="002F04C1"/>
    <w:rsid w:val="002F04DD"/>
    <w:rsid w:val="002F0ED1"/>
    <w:rsid w:val="002F1B0B"/>
    <w:rsid w:val="002F1EC2"/>
    <w:rsid w:val="002F3C0E"/>
    <w:rsid w:val="002F5F4F"/>
    <w:rsid w:val="002F7580"/>
    <w:rsid w:val="002F7668"/>
    <w:rsid w:val="0030085C"/>
    <w:rsid w:val="00300A40"/>
    <w:rsid w:val="00301BEB"/>
    <w:rsid w:val="003023BC"/>
    <w:rsid w:val="00303C53"/>
    <w:rsid w:val="00304C3B"/>
    <w:rsid w:val="00305E80"/>
    <w:rsid w:val="00306109"/>
    <w:rsid w:val="003063F6"/>
    <w:rsid w:val="00306D62"/>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6E3F"/>
    <w:rsid w:val="00317161"/>
    <w:rsid w:val="00317A66"/>
    <w:rsid w:val="00317CDD"/>
    <w:rsid w:val="0032009C"/>
    <w:rsid w:val="00320140"/>
    <w:rsid w:val="0032076B"/>
    <w:rsid w:val="003210D6"/>
    <w:rsid w:val="003222D6"/>
    <w:rsid w:val="00322899"/>
    <w:rsid w:val="003253A2"/>
    <w:rsid w:val="00325F6D"/>
    <w:rsid w:val="00326864"/>
    <w:rsid w:val="003271B2"/>
    <w:rsid w:val="003303B8"/>
    <w:rsid w:val="003304A5"/>
    <w:rsid w:val="003307DC"/>
    <w:rsid w:val="003316BB"/>
    <w:rsid w:val="00331FD6"/>
    <w:rsid w:val="003322FB"/>
    <w:rsid w:val="0033460F"/>
    <w:rsid w:val="00334AB5"/>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576A"/>
    <w:rsid w:val="003461A9"/>
    <w:rsid w:val="0034688C"/>
    <w:rsid w:val="003470FA"/>
    <w:rsid w:val="00347B58"/>
    <w:rsid w:val="00347D5A"/>
    <w:rsid w:val="003510F8"/>
    <w:rsid w:val="0035237F"/>
    <w:rsid w:val="00352814"/>
    <w:rsid w:val="003530E0"/>
    <w:rsid w:val="003537D9"/>
    <w:rsid w:val="0035389D"/>
    <w:rsid w:val="0035416D"/>
    <w:rsid w:val="00354E31"/>
    <w:rsid w:val="003558C4"/>
    <w:rsid w:val="00356EFB"/>
    <w:rsid w:val="00360618"/>
    <w:rsid w:val="003606A3"/>
    <w:rsid w:val="00360702"/>
    <w:rsid w:val="00361C80"/>
    <w:rsid w:val="00361F69"/>
    <w:rsid w:val="003627F7"/>
    <w:rsid w:val="00362B10"/>
    <w:rsid w:val="003641D2"/>
    <w:rsid w:val="00364979"/>
    <w:rsid w:val="003650D3"/>
    <w:rsid w:val="00366FC6"/>
    <w:rsid w:val="003674C4"/>
    <w:rsid w:val="00367911"/>
    <w:rsid w:val="00370DB3"/>
    <w:rsid w:val="003728A5"/>
    <w:rsid w:val="00372B29"/>
    <w:rsid w:val="00373F73"/>
    <w:rsid w:val="00374273"/>
    <w:rsid w:val="00376989"/>
    <w:rsid w:val="003772C5"/>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B7D"/>
    <w:rsid w:val="00394532"/>
    <w:rsid w:val="003951FC"/>
    <w:rsid w:val="0039544B"/>
    <w:rsid w:val="00395ED4"/>
    <w:rsid w:val="00396C0C"/>
    <w:rsid w:val="003A1B5C"/>
    <w:rsid w:val="003A1F82"/>
    <w:rsid w:val="003A20C0"/>
    <w:rsid w:val="003A2E5F"/>
    <w:rsid w:val="003A313C"/>
    <w:rsid w:val="003A45B9"/>
    <w:rsid w:val="003A6A23"/>
    <w:rsid w:val="003A6D77"/>
    <w:rsid w:val="003B0237"/>
    <w:rsid w:val="003B059E"/>
    <w:rsid w:val="003B1518"/>
    <w:rsid w:val="003B1D68"/>
    <w:rsid w:val="003B1F7A"/>
    <w:rsid w:val="003B2899"/>
    <w:rsid w:val="003B29F5"/>
    <w:rsid w:val="003B3219"/>
    <w:rsid w:val="003B3812"/>
    <w:rsid w:val="003B4170"/>
    <w:rsid w:val="003B41E8"/>
    <w:rsid w:val="003B466F"/>
    <w:rsid w:val="003B5961"/>
    <w:rsid w:val="003B72E2"/>
    <w:rsid w:val="003C08EB"/>
    <w:rsid w:val="003C0A8D"/>
    <w:rsid w:val="003C1AC1"/>
    <w:rsid w:val="003C251D"/>
    <w:rsid w:val="003C2F6F"/>
    <w:rsid w:val="003C3260"/>
    <w:rsid w:val="003C466C"/>
    <w:rsid w:val="003C46C0"/>
    <w:rsid w:val="003C5816"/>
    <w:rsid w:val="003C6792"/>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C31"/>
    <w:rsid w:val="003E6B4D"/>
    <w:rsid w:val="003E6D92"/>
    <w:rsid w:val="003E7AAF"/>
    <w:rsid w:val="003E7AF9"/>
    <w:rsid w:val="003E7D16"/>
    <w:rsid w:val="003F0138"/>
    <w:rsid w:val="003F27C5"/>
    <w:rsid w:val="003F2908"/>
    <w:rsid w:val="003F2AB9"/>
    <w:rsid w:val="003F33C9"/>
    <w:rsid w:val="003F595B"/>
    <w:rsid w:val="003F5F4B"/>
    <w:rsid w:val="0040052D"/>
    <w:rsid w:val="004009B7"/>
    <w:rsid w:val="004011F7"/>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D84"/>
    <w:rsid w:val="00416606"/>
    <w:rsid w:val="004168AC"/>
    <w:rsid w:val="00417313"/>
    <w:rsid w:val="0041739F"/>
    <w:rsid w:val="0042128B"/>
    <w:rsid w:val="00421A4E"/>
    <w:rsid w:val="00422130"/>
    <w:rsid w:val="0042274D"/>
    <w:rsid w:val="00422E9A"/>
    <w:rsid w:val="00422F82"/>
    <w:rsid w:val="00423220"/>
    <w:rsid w:val="004240FA"/>
    <w:rsid w:val="004251B6"/>
    <w:rsid w:val="004253DE"/>
    <w:rsid w:val="00426F9E"/>
    <w:rsid w:val="0042729C"/>
    <w:rsid w:val="00427719"/>
    <w:rsid w:val="00430B8A"/>
    <w:rsid w:val="004334FC"/>
    <w:rsid w:val="004345FE"/>
    <w:rsid w:val="004354DB"/>
    <w:rsid w:val="004357A0"/>
    <w:rsid w:val="0043581C"/>
    <w:rsid w:val="00437172"/>
    <w:rsid w:val="004371DF"/>
    <w:rsid w:val="00437239"/>
    <w:rsid w:val="00437941"/>
    <w:rsid w:val="00437DEE"/>
    <w:rsid w:val="00441B72"/>
    <w:rsid w:val="00443008"/>
    <w:rsid w:val="004433D9"/>
    <w:rsid w:val="004445B7"/>
    <w:rsid w:val="004455A0"/>
    <w:rsid w:val="0044669C"/>
    <w:rsid w:val="00447A27"/>
    <w:rsid w:val="004507CD"/>
    <w:rsid w:val="00451C32"/>
    <w:rsid w:val="00451C53"/>
    <w:rsid w:val="00452D90"/>
    <w:rsid w:val="00452F72"/>
    <w:rsid w:val="0045363B"/>
    <w:rsid w:val="00453FC0"/>
    <w:rsid w:val="004548FA"/>
    <w:rsid w:val="00454A73"/>
    <w:rsid w:val="00454DC5"/>
    <w:rsid w:val="0045565A"/>
    <w:rsid w:val="00456212"/>
    <w:rsid w:val="00457634"/>
    <w:rsid w:val="00460FF9"/>
    <w:rsid w:val="0046199A"/>
    <w:rsid w:val="00461AAA"/>
    <w:rsid w:val="00462BA7"/>
    <w:rsid w:val="00464893"/>
    <w:rsid w:val="00465102"/>
    <w:rsid w:val="00466104"/>
    <w:rsid w:val="004664A8"/>
    <w:rsid w:val="00466CC3"/>
    <w:rsid w:val="0047006B"/>
    <w:rsid w:val="0047079E"/>
    <w:rsid w:val="00470D83"/>
    <w:rsid w:val="00470EB2"/>
    <w:rsid w:val="0047205B"/>
    <w:rsid w:val="0047322D"/>
    <w:rsid w:val="0047373B"/>
    <w:rsid w:val="00473ECD"/>
    <w:rsid w:val="00476EC7"/>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928"/>
    <w:rsid w:val="004C234F"/>
    <w:rsid w:val="004C34D9"/>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6F4"/>
    <w:rsid w:val="004D083D"/>
    <w:rsid w:val="004D091B"/>
    <w:rsid w:val="004D16BD"/>
    <w:rsid w:val="004D1C87"/>
    <w:rsid w:val="004D2116"/>
    <w:rsid w:val="004D315A"/>
    <w:rsid w:val="004D37F6"/>
    <w:rsid w:val="004D3B10"/>
    <w:rsid w:val="004D47A2"/>
    <w:rsid w:val="004D498B"/>
    <w:rsid w:val="004D499F"/>
    <w:rsid w:val="004D54F6"/>
    <w:rsid w:val="004D5992"/>
    <w:rsid w:val="004D7760"/>
    <w:rsid w:val="004D79CB"/>
    <w:rsid w:val="004E13C7"/>
    <w:rsid w:val="004E18EF"/>
    <w:rsid w:val="004E1AB5"/>
    <w:rsid w:val="004E2623"/>
    <w:rsid w:val="004E406C"/>
    <w:rsid w:val="004E6A16"/>
    <w:rsid w:val="004E6A6A"/>
    <w:rsid w:val="004E6AB9"/>
    <w:rsid w:val="004E7041"/>
    <w:rsid w:val="004E766F"/>
    <w:rsid w:val="004F2131"/>
    <w:rsid w:val="004F2ED4"/>
    <w:rsid w:val="004F3B83"/>
    <w:rsid w:val="004F4AD0"/>
    <w:rsid w:val="004F4B53"/>
    <w:rsid w:val="004F4FDC"/>
    <w:rsid w:val="004F57C9"/>
    <w:rsid w:val="004F5A9E"/>
    <w:rsid w:val="004F5E6B"/>
    <w:rsid w:val="004F624A"/>
    <w:rsid w:val="004F6432"/>
    <w:rsid w:val="004F75F9"/>
    <w:rsid w:val="0050045A"/>
    <w:rsid w:val="00500DA1"/>
    <w:rsid w:val="005037B2"/>
    <w:rsid w:val="0050407F"/>
    <w:rsid w:val="00504C3E"/>
    <w:rsid w:val="00505226"/>
    <w:rsid w:val="00505C72"/>
    <w:rsid w:val="0050731C"/>
    <w:rsid w:val="00507655"/>
    <w:rsid w:val="0051035E"/>
    <w:rsid w:val="00510B8A"/>
    <w:rsid w:val="00510DA0"/>
    <w:rsid w:val="0051147B"/>
    <w:rsid w:val="00511E51"/>
    <w:rsid w:val="00512DA3"/>
    <w:rsid w:val="005137C3"/>
    <w:rsid w:val="005138C1"/>
    <w:rsid w:val="0051468A"/>
    <w:rsid w:val="00514690"/>
    <w:rsid w:val="005149FC"/>
    <w:rsid w:val="00515CE6"/>
    <w:rsid w:val="00515E01"/>
    <w:rsid w:val="00516152"/>
    <w:rsid w:val="00517428"/>
    <w:rsid w:val="005202A9"/>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A8E"/>
    <w:rsid w:val="00535AAE"/>
    <w:rsid w:val="0053623A"/>
    <w:rsid w:val="005368A7"/>
    <w:rsid w:val="005378B0"/>
    <w:rsid w:val="00537D49"/>
    <w:rsid w:val="00540BA5"/>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BF0"/>
    <w:rsid w:val="00593E1C"/>
    <w:rsid w:val="005941E1"/>
    <w:rsid w:val="00594FB2"/>
    <w:rsid w:val="00595CF9"/>
    <w:rsid w:val="005A001D"/>
    <w:rsid w:val="005A045F"/>
    <w:rsid w:val="005A1495"/>
    <w:rsid w:val="005A1D05"/>
    <w:rsid w:val="005A1FF4"/>
    <w:rsid w:val="005A2156"/>
    <w:rsid w:val="005A2852"/>
    <w:rsid w:val="005A2DFA"/>
    <w:rsid w:val="005A3621"/>
    <w:rsid w:val="005A3946"/>
    <w:rsid w:val="005A5245"/>
    <w:rsid w:val="005A55C4"/>
    <w:rsid w:val="005A59B0"/>
    <w:rsid w:val="005A747B"/>
    <w:rsid w:val="005A78CF"/>
    <w:rsid w:val="005A7960"/>
    <w:rsid w:val="005B01EC"/>
    <w:rsid w:val="005B0412"/>
    <w:rsid w:val="005B1205"/>
    <w:rsid w:val="005B1513"/>
    <w:rsid w:val="005B238D"/>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0EF"/>
    <w:rsid w:val="005C4D16"/>
    <w:rsid w:val="005C4D91"/>
    <w:rsid w:val="005C561F"/>
    <w:rsid w:val="005C5900"/>
    <w:rsid w:val="005C5D1E"/>
    <w:rsid w:val="005C6164"/>
    <w:rsid w:val="005D03FC"/>
    <w:rsid w:val="005D12D3"/>
    <w:rsid w:val="005D194F"/>
    <w:rsid w:val="005D1D74"/>
    <w:rsid w:val="005D217A"/>
    <w:rsid w:val="005D2457"/>
    <w:rsid w:val="005D30F6"/>
    <w:rsid w:val="005D4E64"/>
    <w:rsid w:val="005D6D75"/>
    <w:rsid w:val="005D723A"/>
    <w:rsid w:val="005D7B3E"/>
    <w:rsid w:val="005E0B75"/>
    <w:rsid w:val="005E1A49"/>
    <w:rsid w:val="005E3E4B"/>
    <w:rsid w:val="005E45EB"/>
    <w:rsid w:val="005E509D"/>
    <w:rsid w:val="005E5153"/>
    <w:rsid w:val="005E633D"/>
    <w:rsid w:val="005E6E38"/>
    <w:rsid w:val="005F0E27"/>
    <w:rsid w:val="005F1B1D"/>
    <w:rsid w:val="005F22BB"/>
    <w:rsid w:val="005F3696"/>
    <w:rsid w:val="005F383F"/>
    <w:rsid w:val="005F3D04"/>
    <w:rsid w:val="005F4053"/>
    <w:rsid w:val="005F430A"/>
    <w:rsid w:val="005F4492"/>
    <w:rsid w:val="005F490B"/>
    <w:rsid w:val="005F5381"/>
    <w:rsid w:val="005F5640"/>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33BB"/>
    <w:rsid w:val="006133DE"/>
    <w:rsid w:val="00613E87"/>
    <w:rsid w:val="00614734"/>
    <w:rsid w:val="0061501D"/>
    <w:rsid w:val="00615CD2"/>
    <w:rsid w:val="00616E42"/>
    <w:rsid w:val="006178E2"/>
    <w:rsid w:val="00617CF5"/>
    <w:rsid w:val="0062140F"/>
    <w:rsid w:val="006225DA"/>
    <w:rsid w:val="006229EC"/>
    <w:rsid w:val="00623329"/>
    <w:rsid w:val="006233B0"/>
    <w:rsid w:val="00623A62"/>
    <w:rsid w:val="00623C78"/>
    <w:rsid w:val="00624607"/>
    <w:rsid w:val="00624C94"/>
    <w:rsid w:val="00624E35"/>
    <w:rsid w:val="00625A14"/>
    <w:rsid w:val="006265A6"/>
    <w:rsid w:val="00626991"/>
    <w:rsid w:val="00626A84"/>
    <w:rsid w:val="0062792A"/>
    <w:rsid w:val="0063048D"/>
    <w:rsid w:val="00632687"/>
    <w:rsid w:val="0063274A"/>
    <w:rsid w:val="006342CA"/>
    <w:rsid w:val="006344DD"/>
    <w:rsid w:val="00634E98"/>
    <w:rsid w:val="00635EB8"/>
    <w:rsid w:val="00636C60"/>
    <w:rsid w:val="0063743D"/>
    <w:rsid w:val="00641C5F"/>
    <w:rsid w:val="006425DB"/>
    <w:rsid w:val="00645692"/>
    <w:rsid w:val="0064583A"/>
    <w:rsid w:val="00645A01"/>
    <w:rsid w:val="00645D39"/>
    <w:rsid w:val="00645F33"/>
    <w:rsid w:val="00646631"/>
    <w:rsid w:val="00646B46"/>
    <w:rsid w:val="00646CFF"/>
    <w:rsid w:val="006474B4"/>
    <w:rsid w:val="00650D9C"/>
    <w:rsid w:val="00650E5E"/>
    <w:rsid w:val="00651B55"/>
    <w:rsid w:val="00652D06"/>
    <w:rsid w:val="00652E60"/>
    <w:rsid w:val="006530B0"/>
    <w:rsid w:val="00653185"/>
    <w:rsid w:val="006540EA"/>
    <w:rsid w:val="006546ED"/>
    <w:rsid w:val="00654A49"/>
    <w:rsid w:val="00654AEF"/>
    <w:rsid w:val="0065630A"/>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32E7"/>
    <w:rsid w:val="0067348E"/>
    <w:rsid w:val="00675016"/>
    <w:rsid w:val="006750D2"/>
    <w:rsid w:val="00675FC3"/>
    <w:rsid w:val="006765FF"/>
    <w:rsid w:val="0067718F"/>
    <w:rsid w:val="00677E70"/>
    <w:rsid w:val="00677FA0"/>
    <w:rsid w:val="006816C1"/>
    <w:rsid w:val="00681B06"/>
    <w:rsid w:val="00681D5F"/>
    <w:rsid w:val="00681F1F"/>
    <w:rsid w:val="006827E7"/>
    <w:rsid w:val="006835E3"/>
    <w:rsid w:val="006844EA"/>
    <w:rsid w:val="00684655"/>
    <w:rsid w:val="006847B5"/>
    <w:rsid w:val="00684C6D"/>
    <w:rsid w:val="00684FB1"/>
    <w:rsid w:val="0068509D"/>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1D1C"/>
    <w:rsid w:val="006B1DBD"/>
    <w:rsid w:val="006B1EBE"/>
    <w:rsid w:val="006B29D6"/>
    <w:rsid w:val="006B2C55"/>
    <w:rsid w:val="006B30CE"/>
    <w:rsid w:val="006B3191"/>
    <w:rsid w:val="006B4074"/>
    <w:rsid w:val="006B52C9"/>
    <w:rsid w:val="006B5AF1"/>
    <w:rsid w:val="006B677A"/>
    <w:rsid w:val="006B6E4A"/>
    <w:rsid w:val="006B742F"/>
    <w:rsid w:val="006C0202"/>
    <w:rsid w:val="006C0347"/>
    <w:rsid w:val="006C0A88"/>
    <w:rsid w:val="006C11CA"/>
    <w:rsid w:val="006C1503"/>
    <w:rsid w:val="006C16A5"/>
    <w:rsid w:val="006C17DD"/>
    <w:rsid w:val="006C3933"/>
    <w:rsid w:val="006C5863"/>
    <w:rsid w:val="006C5DF3"/>
    <w:rsid w:val="006C6392"/>
    <w:rsid w:val="006C6BF6"/>
    <w:rsid w:val="006C6E62"/>
    <w:rsid w:val="006C73E4"/>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65EA"/>
    <w:rsid w:val="006E75E7"/>
    <w:rsid w:val="006F0242"/>
    <w:rsid w:val="006F02A3"/>
    <w:rsid w:val="006F10A3"/>
    <w:rsid w:val="006F1EA3"/>
    <w:rsid w:val="006F22B9"/>
    <w:rsid w:val="006F60C0"/>
    <w:rsid w:val="006F64A4"/>
    <w:rsid w:val="006F6CE7"/>
    <w:rsid w:val="007000DB"/>
    <w:rsid w:val="00700674"/>
    <w:rsid w:val="00700BA3"/>
    <w:rsid w:val="007016FD"/>
    <w:rsid w:val="00701CD8"/>
    <w:rsid w:val="00702C9F"/>
    <w:rsid w:val="00703EBF"/>
    <w:rsid w:val="00704279"/>
    <w:rsid w:val="007056F3"/>
    <w:rsid w:val="00706E7C"/>
    <w:rsid w:val="00707560"/>
    <w:rsid w:val="0070761E"/>
    <w:rsid w:val="007079DD"/>
    <w:rsid w:val="00710A7D"/>
    <w:rsid w:val="00711DB8"/>
    <w:rsid w:val="00712DAD"/>
    <w:rsid w:val="00714417"/>
    <w:rsid w:val="007152D7"/>
    <w:rsid w:val="0071650D"/>
    <w:rsid w:val="00716730"/>
    <w:rsid w:val="00716FA2"/>
    <w:rsid w:val="00717FA3"/>
    <w:rsid w:val="00720782"/>
    <w:rsid w:val="007209E2"/>
    <w:rsid w:val="00720AB0"/>
    <w:rsid w:val="00722DEE"/>
    <w:rsid w:val="00723716"/>
    <w:rsid w:val="007238E5"/>
    <w:rsid w:val="00723BB3"/>
    <w:rsid w:val="00723E45"/>
    <w:rsid w:val="0072423E"/>
    <w:rsid w:val="00725349"/>
    <w:rsid w:val="007257FC"/>
    <w:rsid w:val="00726063"/>
    <w:rsid w:val="007266C8"/>
    <w:rsid w:val="007267C8"/>
    <w:rsid w:val="00726855"/>
    <w:rsid w:val="007269D9"/>
    <w:rsid w:val="00727470"/>
    <w:rsid w:val="007315DF"/>
    <w:rsid w:val="00731A45"/>
    <w:rsid w:val="007322BF"/>
    <w:rsid w:val="00732CA0"/>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57513"/>
    <w:rsid w:val="00760A27"/>
    <w:rsid w:val="00761382"/>
    <w:rsid w:val="007614CB"/>
    <w:rsid w:val="007618C0"/>
    <w:rsid w:val="00761F7E"/>
    <w:rsid w:val="007621AA"/>
    <w:rsid w:val="00762C43"/>
    <w:rsid w:val="0076400C"/>
    <w:rsid w:val="007645D1"/>
    <w:rsid w:val="00764892"/>
    <w:rsid w:val="0076499F"/>
    <w:rsid w:val="00765580"/>
    <w:rsid w:val="00765FFF"/>
    <w:rsid w:val="00767558"/>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7A0"/>
    <w:rsid w:val="007A7227"/>
    <w:rsid w:val="007B2565"/>
    <w:rsid w:val="007B2C1C"/>
    <w:rsid w:val="007B3281"/>
    <w:rsid w:val="007B40B5"/>
    <w:rsid w:val="007B444B"/>
    <w:rsid w:val="007B44CF"/>
    <w:rsid w:val="007B4837"/>
    <w:rsid w:val="007B5824"/>
    <w:rsid w:val="007B635D"/>
    <w:rsid w:val="007B692E"/>
    <w:rsid w:val="007B6C60"/>
    <w:rsid w:val="007B74D3"/>
    <w:rsid w:val="007B7CA9"/>
    <w:rsid w:val="007C2318"/>
    <w:rsid w:val="007C27C3"/>
    <w:rsid w:val="007C32DB"/>
    <w:rsid w:val="007C3E54"/>
    <w:rsid w:val="007C437A"/>
    <w:rsid w:val="007C76AD"/>
    <w:rsid w:val="007D01E1"/>
    <w:rsid w:val="007D05A3"/>
    <w:rsid w:val="007D4279"/>
    <w:rsid w:val="007D6AC0"/>
    <w:rsid w:val="007D7B8E"/>
    <w:rsid w:val="007D7C2A"/>
    <w:rsid w:val="007E054C"/>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21B"/>
    <w:rsid w:val="0080077C"/>
    <w:rsid w:val="00801145"/>
    <w:rsid w:val="008015E3"/>
    <w:rsid w:val="0080165E"/>
    <w:rsid w:val="00802516"/>
    <w:rsid w:val="00803D42"/>
    <w:rsid w:val="00805533"/>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F6F"/>
    <w:rsid w:val="0082104B"/>
    <w:rsid w:val="0082233E"/>
    <w:rsid w:val="00822D51"/>
    <w:rsid w:val="00822F73"/>
    <w:rsid w:val="008235CA"/>
    <w:rsid w:val="00823E27"/>
    <w:rsid w:val="00825BFA"/>
    <w:rsid w:val="00825C60"/>
    <w:rsid w:val="00826BF5"/>
    <w:rsid w:val="00827413"/>
    <w:rsid w:val="00830EBF"/>
    <w:rsid w:val="00832082"/>
    <w:rsid w:val="00832A40"/>
    <w:rsid w:val="0083321A"/>
    <w:rsid w:val="00835F93"/>
    <w:rsid w:val="0083630F"/>
    <w:rsid w:val="00836A2A"/>
    <w:rsid w:val="00836ED2"/>
    <w:rsid w:val="0083725D"/>
    <w:rsid w:val="008402A6"/>
    <w:rsid w:val="00840F29"/>
    <w:rsid w:val="00841E5F"/>
    <w:rsid w:val="00841EB1"/>
    <w:rsid w:val="0084230A"/>
    <w:rsid w:val="00842B7C"/>
    <w:rsid w:val="00842ECB"/>
    <w:rsid w:val="00843ED4"/>
    <w:rsid w:val="00847F83"/>
    <w:rsid w:val="00847FEF"/>
    <w:rsid w:val="00850D39"/>
    <w:rsid w:val="008521BF"/>
    <w:rsid w:val="00852DA3"/>
    <w:rsid w:val="0085361B"/>
    <w:rsid w:val="00853769"/>
    <w:rsid w:val="00854359"/>
    <w:rsid w:val="008561EB"/>
    <w:rsid w:val="00856316"/>
    <w:rsid w:val="008604C2"/>
    <w:rsid w:val="00860995"/>
    <w:rsid w:val="00862739"/>
    <w:rsid w:val="00863257"/>
    <w:rsid w:val="00863BB5"/>
    <w:rsid w:val="00864221"/>
    <w:rsid w:val="008643CE"/>
    <w:rsid w:val="0086447D"/>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21F"/>
    <w:rsid w:val="00882C5B"/>
    <w:rsid w:val="00885561"/>
    <w:rsid w:val="00885880"/>
    <w:rsid w:val="00885D09"/>
    <w:rsid w:val="00886BCF"/>
    <w:rsid w:val="00887DDB"/>
    <w:rsid w:val="0089019B"/>
    <w:rsid w:val="00890AA6"/>
    <w:rsid w:val="008934AC"/>
    <w:rsid w:val="00893BB2"/>
    <w:rsid w:val="00895BF4"/>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2C8B"/>
    <w:rsid w:val="008B2F4A"/>
    <w:rsid w:val="008B3F62"/>
    <w:rsid w:val="008B48B2"/>
    <w:rsid w:val="008B7C5D"/>
    <w:rsid w:val="008C2250"/>
    <w:rsid w:val="008C22BD"/>
    <w:rsid w:val="008C2522"/>
    <w:rsid w:val="008C3660"/>
    <w:rsid w:val="008C525F"/>
    <w:rsid w:val="008C63A4"/>
    <w:rsid w:val="008C7182"/>
    <w:rsid w:val="008D010D"/>
    <w:rsid w:val="008D0BD0"/>
    <w:rsid w:val="008D164B"/>
    <w:rsid w:val="008D1920"/>
    <w:rsid w:val="008D2EC7"/>
    <w:rsid w:val="008D3393"/>
    <w:rsid w:val="008D3C79"/>
    <w:rsid w:val="008D42E3"/>
    <w:rsid w:val="008D5108"/>
    <w:rsid w:val="008D5497"/>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5C31"/>
    <w:rsid w:val="00906313"/>
    <w:rsid w:val="00907F9A"/>
    <w:rsid w:val="009100B1"/>
    <w:rsid w:val="00910EDF"/>
    <w:rsid w:val="00911F34"/>
    <w:rsid w:val="00913162"/>
    <w:rsid w:val="00913804"/>
    <w:rsid w:val="0091572C"/>
    <w:rsid w:val="00915E5E"/>
    <w:rsid w:val="00916D91"/>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282C"/>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5B6"/>
    <w:rsid w:val="0095793C"/>
    <w:rsid w:val="0096106C"/>
    <w:rsid w:val="00961A92"/>
    <w:rsid w:val="00962127"/>
    <w:rsid w:val="009626AC"/>
    <w:rsid w:val="00962913"/>
    <w:rsid w:val="00962DCE"/>
    <w:rsid w:val="00963056"/>
    <w:rsid w:val="009642D2"/>
    <w:rsid w:val="0096451E"/>
    <w:rsid w:val="00965EDA"/>
    <w:rsid w:val="00966A32"/>
    <w:rsid w:val="00966E74"/>
    <w:rsid w:val="00966F72"/>
    <w:rsid w:val="0097031A"/>
    <w:rsid w:val="00970B7F"/>
    <w:rsid w:val="00970D35"/>
    <w:rsid w:val="00970D5A"/>
    <w:rsid w:val="00971581"/>
    <w:rsid w:val="009718AE"/>
    <w:rsid w:val="009719FE"/>
    <w:rsid w:val="00972591"/>
    <w:rsid w:val="009725E9"/>
    <w:rsid w:val="009738C3"/>
    <w:rsid w:val="00975C75"/>
    <w:rsid w:val="00980FE3"/>
    <w:rsid w:val="00981F02"/>
    <w:rsid w:val="009821EC"/>
    <w:rsid w:val="00982B88"/>
    <w:rsid w:val="00984178"/>
    <w:rsid w:val="009843BE"/>
    <w:rsid w:val="00985977"/>
    <w:rsid w:val="00985C26"/>
    <w:rsid w:val="009866A6"/>
    <w:rsid w:val="00987251"/>
    <w:rsid w:val="00990C68"/>
    <w:rsid w:val="00991EF5"/>
    <w:rsid w:val="009921FC"/>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A131B"/>
    <w:rsid w:val="009A1A32"/>
    <w:rsid w:val="009A22FC"/>
    <w:rsid w:val="009A2BEF"/>
    <w:rsid w:val="009A2DB6"/>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5429"/>
    <w:rsid w:val="009B590D"/>
    <w:rsid w:val="009B5C65"/>
    <w:rsid w:val="009B68DE"/>
    <w:rsid w:val="009B6911"/>
    <w:rsid w:val="009B7001"/>
    <w:rsid w:val="009B7092"/>
    <w:rsid w:val="009B7601"/>
    <w:rsid w:val="009C0992"/>
    <w:rsid w:val="009C1622"/>
    <w:rsid w:val="009C16E4"/>
    <w:rsid w:val="009C270B"/>
    <w:rsid w:val="009C2DBF"/>
    <w:rsid w:val="009C38F6"/>
    <w:rsid w:val="009C3B14"/>
    <w:rsid w:val="009C42DE"/>
    <w:rsid w:val="009C44BA"/>
    <w:rsid w:val="009C4E91"/>
    <w:rsid w:val="009C510E"/>
    <w:rsid w:val="009C7529"/>
    <w:rsid w:val="009D03A0"/>
    <w:rsid w:val="009D0A52"/>
    <w:rsid w:val="009D0DD9"/>
    <w:rsid w:val="009D27B6"/>
    <w:rsid w:val="009D2CAF"/>
    <w:rsid w:val="009D37DE"/>
    <w:rsid w:val="009D472A"/>
    <w:rsid w:val="009D492F"/>
    <w:rsid w:val="009D6421"/>
    <w:rsid w:val="009D6C87"/>
    <w:rsid w:val="009E061C"/>
    <w:rsid w:val="009E27B7"/>
    <w:rsid w:val="009E2DD3"/>
    <w:rsid w:val="009E3A78"/>
    <w:rsid w:val="009E4D73"/>
    <w:rsid w:val="009E557E"/>
    <w:rsid w:val="009E56E8"/>
    <w:rsid w:val="009E5F17"/>
    <w:rsid w:val="009E6A43"/>
    <w:rsid w:val="009E6F4F"/>
    <w:rsid w:val="009E762E"/>
    <w:rsid w:val="009F00AA"/>
    <w:rsid w:val="009F0441"/>
    <w:rsid w:val="009F0D48"/>
    <w:rsid w:val="009F18CD"/>
    <w:rsid w:val="009F19EE"/>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AFE"/>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352"/>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58B"/>
    <w:rsid w:val="00A52C3B"/>
    <w:rsid w:val="00A532FF"/>
    <w:rsid w:val="00A53B36"/>
    <w:rsid w:val="00A545B2"/>
    <w:rsid w:val="00A568D8"/>
    <w:rsid w:val="00A61F9F"/>
    <w:rsid w:val="00A620AC"/>
    <w:rsid w:val="00A62C22"/>
    <w:rsid w:val="00A6358D"/>
    <w:rsid w:val="00A63C69"/>
    <w:rsid w:val="00A64BC3"/>
    <w:rsid w:val="00A6556C"/>
    <w:rsid w:val="00A65C84"/>
    <w:rsid w:val="00A65D54"/>
    <w:rsid w:val="00A666B4"/>
    <w:rsid w:val="00A70104"/>
    <w:rsid w:val="00A710A1"/>
    <w:rsid w:val="00A724FA"/>
    <w:rsid w:val="00A732C9"/>
    <w:rsid w:val="00A73E95"/>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3F5"/>
    <w:rsid w:val="00A94855"/>
    <w:rsid w:val="00A955B8"/>
    <w:rsid w:val="00A959C5"/>
    <w:rsid w:val="00A96662"/>
    <w:rsid w:val="00A966D5"/>
    <w:rsid w:val="00A97130"/>
    <w:rsid w:val="00A97132"/>
    <w:rsid w:val="00A976DB"/>
    <w:rsid w:val="00AA19BC"/>
    <w:rsid w:val="00AA19C0"/>
    <w:rsid w:val="00AA1A01"/>
    <w:rsid w:val="00AA1D0D"/>
    <w:rsid w:val="00AA33A6"/>
    <w:rsid w:val="00AA49D8"/>
    <w:rsid w:val="00AA4F8A"/>
    <w:rsid w:val="00AA5269"/>
    <w:rsid w:val="00AA68A9"/>
    <w:rsid w:val="00AB0448"/>
    <w:rsid w:val="00AB0FF4"/>
    <w:rsid w:val="00AB1E74"/>
    <w:rsid w:val="00AB2209"/>
    <w:rsid w:val="00AB260A"/>
    <w:rsid w:val="00AB2B62"/>
    <w:rsid w:val="00AB2F74"/>
    <w:rsid w:val="00AB470E"/>
    <w:rsid w:val="00AB4BEA"/>
    <w:rsid w:val="00AB55F6"/>
    <w:rsid w:val="00AB6EE1"/>
    <w:rsid w:val="00AB791D"/>
    <w:rsid w:val="00AB7990"/>
    <w:rsid w:val="00AB7EBD"/>
    <w:rsid w:val="00AC0A14"/>
    <w:rsid w:val="00AC1FE5"/>
    <w:rsid w:val="00AC235A"/>
    <w:rsid w:val="00AC3765"/>
    <w:rsid w:val="00AC3B31"/>
    <w:rsid w:val="00AC3E00"/>
    <w:rsid w:val="00AC630F"/>
    <w:rsid w:val="00AC697F"/>
    <w:rsid w:val="00AC7789"/>
    <w:rsid w:val="00AD1974"/>
    <w:rsid w:val="00AD1EC8"/>
    <w:rsid w:val="00AD2C5B"/>
    <w:rsid w:val="00AD302A"/>
    <w:rsid w:val="00AD47B7"/>
    <w:rsid w:val="00AD5FB2"/>
    <w:rsid w:val="00AD7917"/>
    <w:rsid w:val="00AD79A6"/>
    <w:rsid w:val="00AE07A3"/>
    <w:rsid w:val="00AE192C"/>
    <w:rsid w:val="00AE2E75"/>
    <w:rsid w:val="00AE2F80"/>
    <w:rsid w:val="00AE3EED"/>
    <w:rsid w:val="00AE4DD2"/>
    <w:rsid w:val="00AE5878"/>
    <w:rsid w:val="00AE5F18"/>
    <w:rsid w:val="00AE6212"/>
    <w:rsid w:val="00AE6A9A"/>
    <w:rsid w:val="00AE6CCE"/>
    <w:rsid w:val="00AF1F5A"/>
    <w:rsid w:val="00AF264A"/>
    <w:rsid w:val="00AF30B5"/>
    <w:rsid w:val="00AF48BC"/>
    <w:rsid w:val="00AF5498"/>
    <w:rsid w:val="00AF78DC"/>
    <w:rsid w:val="00AF79E0"/>
    <w:rsid w:val="00AF7B13"/>
    <w:rsid w:val="00B00CC3"/>
    <w:rsid w:val="00B01E9E"/>
    <w:rsid w:val="00B031CC"/>
    <w:rsid w:val="00B0407D"/>
    <w:rsid w:val="00B04AC3"/>
    <w:rsid w:val="00B063A0"/>
    <w:rsid w:val="00B06655"/>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07E0"/>
    <w:rsid w:val="00B217DB"/>
    <w:rsid w:val="00B21E69"/>
    <w:rsid w:val="00B21F99"/>
    <w:rsid w:val="00B223CF"/>
    <w:rsid w:val="00B229F1"/>
    <w:rsid w:val="00B23121"/>
    <w:rsid w:val="00B23206"/>
    <w:rsid w:val="00B24FD4"/>
    <w:rsid w:val="00B259EF"/>
    <w:rsid w:val="00B25C5C"/>
    <w:rsid w:val="00B25C8D"/>
    <w:rsid w:val="00B25E74"/>
    <w:rsid w:val="00B263AA"/>
    <w:rsid w:val="00B27379"/>
    <w:rsid w:val="00B27D76"/>
    <w:rsid w:val="00B30C90"/>
    <w:rsid w:val="00B31367"/>
    <w:rsid w:val="00B315EF"/>
    <w:rsid w:val="00B321CD"/>
    <w:rsid w:val="00B32935"/>
    <w:rsid w:val="00B339E8"/>
    <w:rsid w:val="00B33E54"/>
    <w:rsid w:val="00B3415A"/>
    <w:rsid w:val="00B35A7F"/>
    <w:rsid w:val="00B35C23"/>
    <w:rsid w:val="00B36339"/>
    <w:rsid w:val="00B36798"/>
    <w:rsid w:val="00B37A96"/>
    <w:rsid w:val="00B37DAB"/>
    <w:rsid w:val="00B401FB"/>
    <w:rsid w:val="00B404B1"/>
    <w:rsid w:val="00B4127E"/>
    <w:rsid w:val="00B41622"/>
    <w:rsid w:val="00B42422"/>
    <w:rsid w:val="00B4243C"/>
    <w:rsid w:val="00B42993"/>
    <w:rsid w:val="00B4301E"/>
    <w:rsid w:val="00B440E8"/>
    <w:rsid w:val="00B443FD"/>
    <w:rsid w:val="00B4522F"/>
    <w:rsid w:val="00B459D7"/>
    <w:rsid w:val="00B472D2"/>
    <w:rsid w:val="00B4756A"/>
    <w:rsid w:val="00B51073"/>
    <w:rsid w:val="00B52001"/>
    <w:rsid w:val="00B52411"/>
    <w:rsid w:val="00B5336E"/>
    <w:rsid w:val="00B55248"/>
    <w:rsid w:val="00B55609"/>
    <w:rsid w:val="00B55F7B"/>
    <w:rsid w:val="00B56561"/>
    <w:rsid w:val="00B601B9"/>
    <w:rsid w:val="00B60C5E"/>
    <w:rsid w:val="00B622E1"/>
    <w:rsid w:val="00B63750"/>
    <w:rsid w:val="00B63963"/>
    <w:rsid w:val="00B64389"/>
    <w:rsid w:val="00B6603D"/>
    <w:rsid w:val="00B67953"/>
    <w:rsid w:val="00B70CF8"/>
    <w:rsid w:val="00B70F69"/>
    <w:rsid w:val="00B71515"/>
    <w:rsid w:val="00B71C7C"/>
    <w:rsid w:val="00B7437D"/>
    <w:rsid w:val="00B7554C"/>
    <w:rsid w:val="00B75680"/>
    <w:rsid w:val="00B758A0"/>
    <w:rsid w:val="00B75A75"/>
    <w:rsid w:val="00B76023"/>
    <w:rsid w:val="00B7643C"/>
    <w:rsid w:val="00B7697D"/>
    <w:rsid w:val="00B76E9B"/>
    <w:rsid w:val="00B7768E"/>
    <w:rsid w:val="00B800AF"/>
    <w:rsid w:val="00B80302"/>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DF"/>
    <w:rsid w:val="00B96E54"/>
    <w:rsid w:val="00B96FA7"/>
    <w:rsid w:val="00B97678"/>
    <w:rsid w:val="00BA0124"/>
    <w:rsid w:val="00BA1DA0"/>
    <w:rsid w:val="00BA2B5D"/>
    <w:rsid w:val="00BA31AB"/>
    <w:rsid w:val="00BA38CD"/>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343"/>
    <w:rsid w:val="00BC0DE7"/>
    <w:rsid w:val="00BC0F4D"/>
    <w:rsid w:val="00BC1AF1"/>
    <w:rsid w:val="00BC2002"/>
    <w:rsid w:val="00BC2033"/>
    <w:rsid w:val="00BC2574"/>
    <w:rsid w:val="00BC2B9C"/>
    <w:rsid w:val="00BC2D72"/>
    <w:rsid w:val="00BC5542"/>
    <w:rsid w:val="00BC5D7F"/>
    <w:rsid w:val="00BC6776"/>
    <w:rsid w:val="00BC7F43"/>
    <w:rsid w:val="00BD43ED"/>
    <w:rsid w:val="00BD4783"/>
    <w:rsid w:val="00BD5A8F"/>
    <w:rsid w:val="00BD60A6"/>
    <w:rsid w:val="00BD7B42"/>
    <w:rsid w:val="00BD7BFC"/>
    <w:rsid w:val="00BE0B85"/>
    <w:rsid w:val="00BE0B9E"/>
    <w:rsid w:val="00BE19D1"/>
    <w:rsid w:val="00BE1F1E"/>
    <w:rsid w:val="00BE2209"/>
    <w:rsid w:val="00BE390E"/>
    <w:rsid w:val="00BE42D9"/>
    <w:rsid w:val="00BE5684"/>
    <w:rsid w:val="00BE5998"/>
    <w:rsid w:val="00BE5B8D"/>
    <w:rsid w:val="00BE635A"/>
    <w:rsid w:val="00BE65E6"/>
    <w:rsid w:val="00BE6A21"/>
    <w:rsid w:val="00BF045F"/>
    <w:rsid w:val="00BF0B20"/>
    <w:rsid w:val="00BF1573"/>
    <w:rsid w:val="00BF1D59"/>
    <w:rsid w:val="00BF21CD"/>
    <w:rsid w:val="00BF2AAE"/>
    <w:rsid w:val="00BF2DC6"/>
    <w:rsid w:val="00BF3E8F"/>
    <w:rsid w:val="00BF4D82"/>
    <w:rsid w:val="00BF5066"/>
    <w:rsid w:val="00BF512B"/>
    <w:rsid w:val="00BF5D5D"/>
    <w:rsid w:val="00BF5F36"/>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126C"/>
    <w:rsid w:val="00C127EC"/>
    <w:rsid w:val="00C12E1C"/>
    <w:rsid w:val="00C13B0B"/>
    <w:rsid w:val="00C14FB7"/>
    <w:rsid w:val="00C169A6"/>
    <w:rsid w:val="00C16BAE"/>
    <w:rsid w:val="00C16E68"/>
    <w:rsid w:val="00C177D1"/>
    <w:rsid w:val="00C17B95"/>
    <w:rsid w:val="00C17D75"/>
    <w:rsid w:val="00C20823"/>
    <w:rsid w:val="00C22494"/>
    <w:rsid w:val="00C230E7"/>
    <w:rsid w:val="00C2370C"/>
    <w:rsid w:val="00C25074"/>
    <w:rsid w:val="00C252CE"/>
    <w:rsid w:val="00C25525"/>
    <w:rsid w:val="00C25F00"/>
    <w:rsid w:val="00C26BBD"/>
    <w:rsid w:val="00C27795"/>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32E9"/>
    <w:rsid w:val="00C45C02"/>
    <w:rsid w:val="00C4618C"/>
    <w:rsid w:val="00C46A9B"/>
    <w:rsid w:val="00C47EE3"/>
    <w:rsid w:val="00C5032B"/>
    <w:rsid w:val="00C51A4A"/>
    <w:rsid w:val="00C52D99"/>
    <w:rsid w:val="00C52EC9"/>
    <w:rsid w:val="00C54452"/>
    <w:rsid w:val="00C545BF"/>
    <w:rsid w:val="00C54B67"/>
    <w:rsid w:val="00C54E81"/>
    <w:rsid w:val="00C565B1"/>
    <w:rsid w:val="00C56886"/>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4801"/>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9F9"/>
    <w:rsid w:val="00CA56AF"/>
    <w:rsid w:val="00CA577D"/>
    <w:rsid w:val="00CA637B"/>
    <w:rsid w:val="00CA6B9F"/>
    <w:rsid w:val="00CA7503"/>
    <w:rsid w:val="00CA7986"/>
    <w:rsid w:val="00CA7D32"/>
    <w:rsid w:val="00CB1060"/>
    <w:rsid w:val="00CB1364"/>
    <w:rsid w:val="00CB247A"/>
    <w:rsid w:val="00CB3455"/>
    <w:rsid w:val="00CB3C61"/>
    <w:rsid w:val="00CB4926"/>
    <w:rsid w:val="00CB4AC9"/>
    <w:rsid w:val="00CB4F76"/>
    <w:rsid w:val="00CB6A98"/>
    <w:rsid w:val="00CB6E29"/>
    <w:rsid w:val="00CB74E9"/>
    <w:rsid w:val="00CC04E4"/>
    <w:rsid w:val="00CC0A56"/>
    <w:rsid w:val="00CC0E80"/>
    <w:rsid w:val="00CC0FAC"/>
    <w:rsid w:val="00CC12A5"/>
    <w:rsid w:val="00CC1DEF"/>
    <w:rsid w:val="00CC2CC6"/>
    <w:rsid w:val="00CC44C7"/>
    <w:rsid w:val="00CC46F3"/>
    <w:rsid w:val="00CC4F7F"/>
    <w:rsid w:val="00CC68A1"/>
    <w:rsid w:val="00CC73CA"/>
    <w:rsid w:val="00CD0141"/>
    <w:rsid w:val="00CD1083"/>
    <w:rsid w:val="00CD2B2E"/>
    <w:rsid w:val="00CD2F56"/>
    <w:rsid w:val="00CD3CE4"/>
    <w:rsid w:val="00CD479E"/>
    <w:rsid w:val="00CD4D3F"/>
    <w:rsid w:val="00CD5D53"/>
    <w:rsid w:val="00CD6267"/>
    <w:rsid w:val="00CD6E00"/>
    <w:rsid w:val="00CD7745"/>
    <w:rsid w:val="00CE0284"/>
    <w:rsid w:val="00CE0708"/>
    <w:rsid w:val="00CE087C"/>
    <w:rsid w:val="00CE0EB8"/>
    <w:rsid w:val="00CE3BDF"/>
    <w:rsid w:val="00CE3E2B"/>
    <w:rsid w:val="00CE56DB"/>
    <w:rsid w:val="00CE5FB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828"/>
    <w:rsid w:val="00D243EC"/>
    <w:rsid w:val="00D24B76"/>
    <w:rsid w:val="00D253D6"/>
    <w:rsid w:val="00D26027"/>
    <w:rsid w:val="00D261FD"/>
    <w:rsid w:val="00D26CC1"/>
    <w:rsid w:val="00D27085"/>
    <w:rsid w:val="00D27373"/>
    <w:rsid w:val="00D311F7"/>
    <w:rsid w:val="00D31338"/>
    <w:rsid w:val="00D31967"/>
    <w:rsid w:val="00D325D0"/>
    <w:rsid w:val="00D33296"/>
    <w:rsid w:val="00D35CEB"/>
    <w:rsid w:val="00D36DF4"/>
    <w:rsid w:val="00D409B9"/>
    <w:rsid w:val="00D41145"/>
    <w:rsid w:val="00D417CD"/>
    <w:rsid w:val="00D42A2E"/>
    <w:rsid w:val="00D42A59"/>
    <w:rsid w:val="00D4460C"/>
    <w:rsid w:val="00D45090"/>
    <w:rsid w:val="00D4570A"/>
    <w:rsid w:val="00D470DE"/>
    <w:rsid w:val="00D477C5"/>
    <w:rsid w:val="00D5094C"/>
    <w:rsid w:val="00D50B37"/>
    <w:rsid w:val="00D5119C"/>
    <w:rsid w:val="00D53190"/>
    <w:rsid w:val="00D53259"/>
    <w:rsid w:val="00D53985"/>
    <w:rsid w:val="00D5412C"/>
    <w:rsid w:val="00D54FC3"/>
    <w:rsid w:val="00D55A77"/>
    <w:rsid w:val="00D60066"/>
    <w:rsid w:val="00D61D12"/>
    <w:rsid w:val="00D62698"/>
    <w:rsid w:val="00D627B6"/>
    <w:rsid w:val="00D633CD"/>
    <w:rsid w:val="00D64177"/>
    <w:rsid w:val="00D6520D"/>
    <w:rsid w:val="00D65457"/>
    <w:rsid w:val="00D6698E"/>
    <w:rsid w:val="00D67437"/>
    <w:rsid w:val="00D71A36"/>
    <w:rsid w:val="00D71F56"/>
    <w:rsid w:val="00D723BD"/>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456E"/>
    <w:rsid w:val="00D94B15"/>
    <w:rsid w:val="00D95D4B"/>
    <w:rsid w:val="00D97D65"/>
    <w:rsid w:val="00DA1BA5"/>
    <w:rsid w:val="00DA50A3"/>
    <w:rsid w:val="00DA6F62"/>
    <w:rsid w:val="00DA6F93"/>
    <w:rsid w:val="00DB0F58"/>
    <w:rsid w:val="00DB11FC"/>
    <w:rsid w:val="00DB13EE"/>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E0636"/>
    <w:rsid w:val="00DE0774"/>
    <w:rsid w:val="00DE0A18"/>
    <w:rsid w:val="00DE1251"/>
    <w:rsid w:val="00DE1F84"/>
    <w:rsid w:val="00DE238D"/>
    <w:rsid w:val="00DE394D"/>
    <w:rsid w:val="00DE3D5E"/>
    <w:rsid w:val="00DE4939"/>
    <w:rsid w:val="00DE5B3C"/>
    <w:rsid w:val="00DE5ECA"/>
    <w:rsid w:val="00DE6955"/>
    <w:rsid w:val="00DE6B65"/>
    <w:rsid w:val="00DE6F59"/>
    <w:rsid w:val="00DF0209"/>
    <w:rsid w:val="00DF0F1F"/>
    <w:rsid w:val="00DF19CB"/>
    <w:rsid w:val="00DF1AA3"/>
    <w:rsid w:val="00DF1EC8"/>
    <w:rsid w:val="00DF2F17"/>
    <w:rsid w:val="00DF377F"/>
    <w:rsid w:val="00DF3942"/>
    <w:rsid w:val="00DF510D"/>
    <w:rsid w:val="00DF5538"/>
    <w:rsid w:val="00DF5982"/>
    <w:rsid w:val="00DF5C14"/>
    <w:rsid w:val="00DF6992"/>
    <w:rsid w:val="00DF7158"/>
    <w:rsid w:val="00DF74B1"/>
    <w:rsid w:val="00E00F81"/>
    <w:rsid w:val="00E02158"/>
    <w:rsid w:val="00E023DE"/>
    <w:rsid w:val="00E03F96"/>
    <w:rsid w:val="00E05F8E"/>
    <w:rsid w:val="00E0605F"/>
    <w:rsid w:val="00E075FB"/>
    <w:rsid w:val="00E07707"/>
    <w:rsid w:val="00E07947"/>
    <w:rsid w:val="00E111E6"/>
    <w:rsid w:val="00E120CA"/>
    <w:rsid w:val="00E13093"/>
    <w:rsid w:val="00E14EAB"/>
    <w:rsid w:val="00E167E6"/>
    <w:rsid w:val="00E17FAC"/>
    <w:rsid w:val="00E17FFE"/>
    <w:rsid w:val="00E20325"/>
    <w:rsid w:val="00E20510"/>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50AD6"/>
    <w:rsid w:val="00E51647"/>
    <w:rsid w:val="00E528F0"/>
    <w:rsid w:val="00E52903"/>
    <w:rsid w:val="00E52E3C"/>
    <w:rsid w:val="00E534B9"/>
    <w:rsid w:val="00E550DC"/>
    <w:rsid w:val="00E55124"/>
    <w:rsid w:val="00E55425"/>
    <w:rsid w:val="00E55D48"/>
    <w:rsid w:val="00E5616A"/>
    <w:rsid w:val="00E60BDA"/>
    <w:rsid w:val="00E620CA"/>
    <w:rsid w:val="00E629F4"/>
    <w:rsid w:val="00E651F8"/>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334F"/>
    <w:rsid w:val="00E944CA"/>
    <w:rsid w:val="00E94C29"/>
    <w:rsid w:val="00E94D27"/>
    <w:rsid w:val="00E96C14"/>
    <w:rsid w:val="00E9708F"/>
    <w:rsid w:val="00E97282"/>
    <w:rsid w:val="00E97A68"/>
    <w:rsid w:val="00EA0BEA"/>
    <w:rsid w:val="00EA1F60"/>
    <w:rsid w:val="00EA250D"/>
    <w:rsid w:val="00EA2BFE"/>
    <w:rsid w:val="00EA3A0A"/>
    <w:rsid w:val="00EA3D8A"/>
    <w:rsid w:val="00EA4E4A"/>
    <w:rsid w:val="00EA5453"/>
    <w:rsid w:val="00EA5BAF"/>
    <w:rsid w:val="00EA7470"/>
    <w:rsid w:val="00EB001C"/>
    <w:rsid w:val="00EB0ED8"/>
    <w:rsid w:val="00EB14BC"/>
    <w:rsid w:val="00EB1AC0"/>
    <w:rsid w:val="00EB1F06"/>
    <w:rsid w:val="00EB2D42"/>
    <w:rsid w:val="00EB3499"/>
    <w:rsid w:val="00EB3735"/>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43BF"/>
    <w:rsid w:val="00EC47F4"/>
    <w:rsid w:val="00EC5687"/>
    <w:rsid w:val="00EC5F6F"/>
    <w:rsid w:val="00EC659E"/>
    <w:rsid w:val="00EC7C56"/>
    <w:rsid w:val="00ED0121"/>
    <w:rsid w:val="00ED020B"/>
    <w:rsid w:val="00ED024F"/>
    <w:rsid w:val="00ED081B"/>
    <w:rsid w:val="00ED0A62"/>
    <w:rsid w:val="00ED2C89"/>
    <w:rsid w:val="00ED33D7"/>
    <w:rsid w:val="00ED3966"/>
    <w:rsid w:val="00ED4AF0"/>
    <w:rsid w:val="00ED501B"/>
    <w:rsid w:val="00ED5965"/>
    <w:rsid w:val="00ED5B41"/>
    <w:rsid w:val="00ED62F3"/>
    <w:rsid w:val="00ED6991"/>
    <w:rsid w:val="00ED710D"/>
    <w:rsid w:val="00ED7130"/>
    <w:rsid w:val="00ED7290"/>
    <w:rsid w:val="00ED738A"/>
    <w:rsid w:val="00ED76F5"/>
    <w:rsid w:val="00ED7924"/>
    <w:rsid w:val="00ED7EA4"/>
    <w:rsid w:val="00EE12C2"/>
    <w:rsid w:val="00EE275F"/>
    <w:rsid w:val="00EE2C1D"/>
    <w:rsid w:val="00EE2C99"/>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46F"/>
    <w:rsid w:val="00EF387A"/>
    <w:rsid w:val="00EF6CE1"/>
    <w:rsid w:val="00EF7004"/>
    <w:rsid w:val="00F0004E"/>
    <w:rsid w:val="00F0056B"/>
    <w:rsid w:val="00F00CA4"/>
    <w:rsid w:val="00F011C4"/>
    <w:rsid w:val="00F01273"/>
    <w:rsid w:val="00F01A89"/>
    <w:rsid w:val="00F0211C"/>
    <w:rsid w:val="00F02197"/>
    <w:rsid w:val="00F0239C"/>
    <w:rsid w:val="00F02979"/>
    <w:rsid w:val="00F03188"/>
    <w:rsid w:val="00F041AD"/>
    <w:rsid w:val="00F04B30"/>
    <w:rsid w:val="00F04CBB"/>
    <w:rsid w:val="00F04D94"/>
    <w:rsid w:val="00F05592"/>
    <w:rsid w:val="00F05625"/>
    <w:rsid w:val="00F06743"/>
    <w:rsid w:val="00F079D5"/>
    <w:rsid w:val="00F07FB8"/>
    <w:rsid w:val="00F1190A"/>
    <w:rsid w:val="00F12E44"/>
    <w:rsid w:val="00F1414B"/>
    <w:rsid w:val="00F142C8"/>
    <w:rsid w:val="00F14C6F"/>
    <w:rsid w:val="00F15AEC"/>
    <w:rsid w:val="00F15B27"/>
    <w:rsid w:val="00F166EC"/>
    <w:rsid w:val="00F1698C"/>
    <w:rsid w:val="00F177AC"/>
    <w:rsid w:val="00F216E7"/>
    <w:rsid w:val="00F22B54"/>
    <w:rsid w:val="00F22F9F"/>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42C8"/>
    <w:rsid w:val="00F44791"/>
    <w:rsid w:val="00F4591B"/>
    <w:rsid w:val="00F45EF2"/>
    <w:rsid w:val="00F46081"/>
    <w:rsid w:val="00F46270"/>
    <w:rsid w:val="00F4629E"/>
    <w:rsid w:val="00F47E44"/>
    <w:rsid w:val="00F47EFA"/>
    <w:rsid w:val="00F50A4E"/>
    <w:rsid w:val="00F5149A"/>
    <w:rsid w:val="00F531D4"/>
    <w:rsid w:val="00F53E29"/>
    <w:rsid w:val="00F54164"/>
    <w:rsid w:val="00F542FE"/>
    <w:rsid w:val="00F546DB"/>
    <w:rsid w:val="00F54851"/>
    <w:rsid w:val="00F55120"/>
    <w:rsid w:val="00F556F6"/>
    <w:rsid w:val="00F5752A"/>
    <w:rsid w:val="00F57591"/>
    <w:rsid w:val="00F57694"/>
    <w:rsid w:val="00F577A5"/>
    <w:rsid w:val="00F6047F"/>
    <w:rsid w:val="00F60C36"/>
    <w:rsid w:val="00F6160B"/>
    <w:rsid w:val="00F61D9F"/>
    <w:rsid w:val="00F6294D"/>
    <w:rsid w:val="00F62AA1"/>
    <w:rsid w:val="00F64188"/>
    <w:rsid w:val="00F645FB"/>
    <w:rsid w:val="00F657AE"/>
    <w:rsid w:val="00F65EE7"/>
    <w:rsid w:val="00F700B2"/>
    <w:rsid w:val="00F700B7"/>
    <w:rsid w:val="00F700C8"/>
    <w:rsid w:val="00F7077F"/>
    <w:rsid w:val="00F710E1"/>
    <w:rsid w:val="00F736E8"/>
    <w:rsid w:val="00F75619"/>
    <w:rsid w:val="00F75847"/>
    <w:rsid w:val="00F7654F"/>
    <w:rsid w:val="00F76773"/>
    <w:rsid w:val="00F80A03"/>
    <w:rsid w:val="00F80A30"/>
    <w:rsid w:val="00F81871"/>
    <w:rsid w:val="00F81AF8"/>
    <w:rsid w:val="00F81BD4"/>
    <w:rsid w:val="00F82F65"/>
    <w:rsid w:val="00F8441E"/>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A0973"/>
    <w:rsid w:val="00FA14A6"/>
    <w:rsid w:val="00FA3DAA"/>
    <w:rsid w:val="00FA3E66"/>
    <w:rsid w:val="00FA421F"/>
    <w:rsid w:val="00FA4725"/>
    <w:rsid w:val="00FA4740"/>
    <w:rsid w:val="00FA55E2"/>
    <w:rsid w:val="00FA56D1"/>
    <w:rsid w:val="00FA576A"/>
    <w:rsid w:val="00FA6A9D"/>
    <w:rsid w:val="00FB0014"/>
    <w:rsid w:val="00FB0260"/>
    <w:rsid w:val="00FB15CB"/>
    <w:rsid w:val="00FB16AC"/>
    <w:rsid w:val="00FB38AD"/>
    <w:rsid w:val="00FB3932"/>
    <w:rsid w:val="00FB3D89"/>
    <w:rsid w:val="00FB47D7"/>
    <w:rsid w:val="00FB4E43"/>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F72"/>
    <w:rsid w:val="00FF0106"/>
    <w:rsid w:val="00FF0CFA"/>
    <w:rsid w:val="00FF2D5A"/>
    <w:rsid w:val="00FF3786"/>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3C5756"/>
  <w15:docId w15:val="{9173E9CF-248D-4453-9F0C-D814E10AE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link w:val="Heading4Char"/>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qFormat/>
    <w:rsid w:val="006B52C9"/>
    <w:pPr>
      <w:spacing w:before="240" w:after="60"/>
      <w:jc w:val="center"/>
      <w:outlineLvl w:val="0"/>
    </w:pPr>
    <w:rPr>
      <w:rFonts w:cs="Arial"/>
      <w:b/>
      <w:bCs/>
      <w:kern w:val="28"/>
      <w:sz w:val="32"/>
      <w:szCs w:val="32"/>
    </w:rPr>
  </w:style>
  <w:style w:type="paragraph" w:styleId="Subtitle">
    <w:name w:val="Subtitle"/>
    <w:basedOn w:val="Normal"/>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rsid w:val="006B52C9"/>
    <w:pPr>
      <w:jc w:val="both"/>
    </w:pPr>
    <w:rPr>
      <w:szCs w:val="20"/>
    </w:rPr>
  </w:style>
  <w:style w:type="character" w:styleId="FootnoteReference">
    <w:name w:val="footnote reference"/>
    <w:basedOn w:val="DefaultParagraphFont"/>
    <w:uiPriority w:val="99"/>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semiHidden/>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 w:type="character" w:customStyle="1" w:styleId="Heading4Char">
    <w:name w:val="Heading 4 Char"/>
    <w:basedOn w:val="DefaultParagraphFont"/>
    <w:link w:val="Heading4"/>
    <w:rsid w:val="007B44CF"/>
    <w:rPr>
      <w:rFonts w:ascii="Arial" w:hAnsi="Arial"/>
      <w:b/>
      <w:bCs/>
      <w:sz w:val="24"/>
      <w:szCs w:val="28"/>
    </w:rPr>
  </w:style>
  <w:style w:type="character" w:styleId="UnresolvedMention">
    <w:name w:val="Unresolved Mention"/>
    <w:basedOn w:val="DefaultParagraphFont"/>
    <w:uiPriority w:val="99"/>
    <w:semiHidden/>
    <w:unhideWhenUsed/>
    <w:rsid w:val="002F5F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337817">
      <w:bodyDiv w:val="1"/>
      <w:marLeft w:val="0"/>
      <w:marRight w:val="0"/>
      <w:marTop w:val="0"/>
      <w:marBottom w:val="0"/>
      <w:divBdr>
        <w:top w:val="none" w:sz="0" w:space="0" w:color="auto"/>
        <w:left w:val="none" w:sz="0" w:space="0" w:color="auto"/>
        <w:bottom w:val="none" w:sz="0" w:space="0" w:color="auto"/>
        <w:right w:val="none" w:sz="0" w:space="0" w:color="auto"/>
      </w:divBdr>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14.png"/><Relationship Id="rId1" Type="http://schemas.openxmlformats.org/officeDocument/2006/relationships/hyperlink" Target="https://creativecommons.org/publicdomain/zero/1.0/"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xbrlsite.azurewebsites.net/DigitalFinancialReporting/MemberArrangementPatterns/2017-05-07/MAP05-MultipleCharacteristics/evidence-package" TargetMode="External"/><Relationship Id="rId3" Type="http://schemas.openxmlformats.org/officeDocument/2006/relationships/hyperlink" Target="http://xbrlsite.azurewebsites.net/2017/IntelligentDigitalFinancialReporting/Part01_Chapter02.8_Hypercubes.pdf" TargetMode="External"/><Relationship Id="rId7" Type="http://schemas.openxmlformats.org/officeDocument/2006/relationships/hyperlink" Target="http://xbrlsite.azurewebsites.net/DigitalFinancialReporting/MemberArrangementPatterns/2017-05-07/MAP03-NestedMemberAggregation/evidence-package" TargetMode="External"/><Relationship Id="rId2" Type="http://schemas.openxmlformats.org/officeDocument/2006/relationships/hyperlink" Target="http://xbrlsite.azurewebsites.net/DigitalFinancialReporting/MemberArrangementPatterns/2017-05-07/" TargetMode="External"/><Relationship Id="rId1" Type="http://schemas.openxmlformats.org/officeDocument/2006/relationships/hyperlink" Target="http://xbrlsite.azurewebsites.net/DigitalFinancialReporting/MemberArrangementPatterns/2017-05-07/" TargetMode="External"/><Relationship Id="rId6" Type="http://schemas.openxmlformats.org/officeDocument/2006/relationships/hyperlink" Target="http://xbrlsite.azurewebsites.net/DigitalFinancialReporting/MemberArrangementPatterns/2017-05-07/MAP02-SimpleFlatAggregation/evidence-package" TargetMode="External"/><Relationship Id="rId11" Type="http://schemas.openxmlformats.org/officeDocument/2006/relationships/hyperlink" Target="http://www.xbrl.org/specification/dimensions/rec-2012-01-25/dimensions-rec-2006-09-18+corrected-errata-2012-01-25-clean.html" TargetMode="External"/><Relationship Id="rId5" Type="http://schemas.openxmlformats.org/officeDocument/2006/relationships/hyperlink" Target="http://xbrlsite.azurewebsites.net/DigitalFinancialReporting/MemberArrangementPatterns/2017-05-07/MAP01-CompleteFlatSet/evidence-package" TargetMode="External"/><Relationship Id="rId10" Type="http://schemas.openxmlformats.org/officeDocument/2006/relationships/hyperlink" Target="http://xbrlsite.azurewebsites.net/DigitalFinancialReporting/MemberArrangementPatterns/2017-05-07/MAP07-IntersectingTables/evidence-package" TargetMode="External"/><Relationship Id="rId4" Type="http://schemas.openxmlformats.org/officeDocument/2006/relationships/hyperlink" Target="http://xbrlsite.azurewebsites.net/2019/Prototype/conformance-suite/Production/1000-ConceptArangementPatterns/04-CompoundFact/evidence-package" TargetMode="External"/><Relationship Id="rId9" Type="http://schemas.openxmlformats.org/officeDocument/2006/relationships/hyperlink" Target="http://xbrlsite.azurewebsites.net/DigitalFinancialReporting/MemberArrangementPatterns/2017-05-07/MAP06-ExplicitCharacteristics/evidence-packag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13278F-6143-4D3F-A8C2-F718E8B9D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1553</TotalTime>
  <Pages>8</Pages>
  <Words>1805</Words>
  <Characters>10290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12071</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44</cp:revision>
  <cp:lastPrinted>2019-03-14T15:45:00Z</cp:lastPrinted>
  <dcterms:created xsi:type="dcterms:W3CDTF">2016-12-18T19:38:00Z</dcterms:created>
  <dcterms:modified xsi:type="dcterms:W3CDTF">2020-06-11T19:30:00Z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