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1C3951" w14:textId="77777777" w:rsidR="00E77A30" w:rsidRDefault="00E77A30" w:rsidP="00B76023">
      <w:pPr>
        <w:pStyle w:val="Heading1"/>
      </w:pPr>
      <w:bookmarkStart w:id="0" w:name="_Toc469843739"/>
      <w:r>
        <w:t>Disclosure Mechanics</w:t>
      </w:r>
      <w:bookmarkEnd w:id="0"/>
    </w:p>
    <w:p w14:paraId="72C68190" w14:textId="013BDFAE" w:rsidR="005B479E" w:rsidRDefault="005B479E" w:rsidP="00B76023">
      <w:pPr>
        <w:pStyle w:val="BodyText"/>
      </w:pPr>
      <w:r>
        <w:t>The purpose of this section is to explain the notion of disclosure mechanics.</w:t>
      </w:r>
    </w:p>
    <w:p w14:paraId="57CFCB5D" w14:textId="4FF7DC2D" w:rsidR="00E77A30" w:rsidRDefault="00E77A30" w:rsidP="00B76023">
      <w:pPr>
        <w:pStyle w:val="BodyText"/>
      </w:pPr>
      <w:r>
        <w:t>This section digs into the important ideas of Blocks (Fact Sets), Slots, and other disclosure mechanics more to help solidify your understanding of these important ideas.</w:t>
      </w:r>
    </w:p>
    <w:p w14:paraId="59B9A10D" w14:textId="77777777" w:rsidR="00E77A30" w:rsidRDefault="00E77A30" w:rsidP="00B76023">
      <w:pPr>
        <w:pStyle w:val="BodyText"/>
      </w:pPr>
      <w:r>
        <w:t>If you go to a paper-based financial report you will not find any mention of a “block” or a “slot”.  The Block and the Slot are useful ideas when trying to get a computer to understand digital financial reports. These notions help you think about and discuss these reports.</w:t>
      </w:r>
    </w:p>
    <w:p w14:paraId="416449A3" w14:textId="77777777" w:rsidR="00E77A30" w:rsidRDefault="00E77A30" w:rsidP="00B76023">
      <w:pPr>
        <w:pStyle w:val="BodyText"/>
      </w:pPr>
      <w:r>
        <w:t>Think of an electronic spreadsheet.  You have the idea of “row” and “column” and “cell” to help you interact with the spreadsheet.  You can insert a row, delete a column.  But you cannot delete a cell.  You delete cells by deleting a row or deleting a column which contains the cell.</w:t>
      </w:r>
    </w:p>
    <w:p w14:paraId="3F69CADB" w14:textId="77777777" w:rsidR="00E77A30" w:rsidRDefault="00E77A30" w:rsidP="00B76023">
      <w:pPr>
        <w:pStyle w:val="BodyText"/>
      </w:pPr>
      <w:r>
        <w:t>This section helps you understand these ideas as they relate to a business report.  A financial report is a type of business report.  Therefore, financial reports need to follow the rules of business reports.  Financial reports add new ideas, building upon the notion of a business report.  An SEC-style XBRL-based digital financial report both builds on business reports and further restricts how the XBRL technical syntax is used to construct XBRL-based digital financial reports.  These ideas will be covered in subsequent sections.  For right now, just realize that these ideas are key to understanding how an XBRL-based digital financial report works.  You can think of the digital business report and digital financial report as being different layers of the same conceptual model. Establishing these layers properly increases flexibility and utility of these digital tools.</w:t>
      </w:r>
    </w:p>
    <w:p w14:paraId="589808D3" w14:textId="77777777" w:rsidR="00E77A30" w:rsidRDefault="00E77A30" w:rsidP="00B76023">
      <w:pPr>
        <w:pStyle w:val="BodyText"/>
      </w:pPr>
      <w:r>
        <w:t>These models were gleaned by reverse-engineering XBRL-based financial reports submitted to the U.S. Securities and Exchange Commission (SEC) by public companies over a period of about five years.  Every such report has these characteristics.</w:t>
      </w:r>
    </w:p>
    <w:p w14:paraId="5B977B9D" w14:textId="77777777" w:rsidR="00E77A30" w:rsidRPr="00AC3B31" w:rsidRDefault="00E77A30" w:rsidP="00B76023">
      <w:pPr>
        <w:pStyle w:val="Heading2"/>
      </w:pPr>
      <w:bookmarkStart w:id="1" w:name="_Toc418919756"/>
      <w:r>
        <w:t>Overview</w:t>
      </w:r>
      <w:bookmarkEnd w:id="1"/>
    </w:p>
    <w:p w14:paraId="5D6E24A1" w14:textId="77777777" w:rsidR="00E77A30" w:rsidRDefault="00E77A30" w:rsidP="00B76023">
      <w:pPr>
        <w:pStyle w:val="BodyText"/>
      </w:pPr>
      <w:r w:rsidRPr="00AC3B31">
        <w:t xml:space="preserve">By basic mechanics of a financial report we simply mean the basic important real world things that make up a financial report and the basic important </w:t>
      </w:r>
      <w:r>
        <w:t xml:space="preserve">logical, mechanical, structural, and mathematical </w:t>
      </w:r>
      <w:r w:rsidRPr="00AC3B31">
        <w:t>relations between those real world things, the essence of a financial report.  This is done so that we can then explain how a financial report works to a machine, such as a computer, so that the machine can help us create and make use of the information contained within financial reports.</w:t>
      </w:r>
      <w:r>
        <w:t xml:space="preserve">  The machine needs to be able to interact with these report characteristics.</w:t>
      </w:r>
    </w:p>
    <w:p w14:paraId="65801239" w14:textId="5173C701" w:rsidR="00E77A30" w:rsidRDefault="00E77A30" w:rsidP="00B76023">
      <w:pPr>
        <w:pStyle w:val="BodyText"/>
      </w:pPr>
      <w:r>
        <w:t>With paper-based reports understanding these mechanical pieces and describing them is not nearly as important because tools used to create such paper-based reports are presentation oriented and have no knowledge of a financial report.  Further, these reports are structured for presentation of the information rather than the meaning of information. Humans interact with these software tools used for creating financial reports by interacting with things such as paragraphs, tables, rows, columns, and cells.</w:t>
      </w:r>
    </w:p>
    <w:p w14:paraId="7837AC94" w14:textId="77777777" w:rsidR="00D376E8" w:rsidRPr="00D376E8" w:rsidRDefault="00D376E8" w:rsidP="00D376E8">
      <w:pPr>
        <w:pStyle w:val="Heading2"/>
      </w:pPr>
      <w:r w:rsidRPr="00D376E8">
        <w:lastRenderedPageBreak/>
        <w:t>Disclosure Mechanics Rules</w:t>
      </w:r>
    </w:p>
    <w:p w14:paraId="0AE49F8E" w14:textId="77777777" w:rsidR="00D376E8" w:rsidRPr="00D376E8" w:rsidRDefault="00D376E8" w:rsidP="00D376E8">
      <w:pPr>
        <w:pStyle w:val="BodyText"/>
      </w:pPr>
      <w:r w:rsidRPr="00D376E8">
        <w:t>Disclosure mechanics rules enforce structural, mechanical, mathematical, logical, and some accounting type relations within a specific reported disclosure</w:t>
      </w:r>
      <w:r w:rsidRPr="00D376E8">
        <w:rPr>
          <w:vertAlign w:val="superscript"/>
        </w:rPr>
        <w:footnoteReference w:id="1"/>
      </w:r>
      <w:r w:rsidRPr="00D376E8">
        <w:t>.</w:t>
      </w:r>
    </w:p>
    <w:p w14:paraId="7FC9D2BD" w14:textId="77777777" w:rsidR="00D376E8" w:rsidRPr="00D376E8" w:rsidRDefault="00D376E8" w:rsidP="00D376E8">
      <w:pPr>
        <w:pStyle w:val="BodyText"/>
      </w:pPr>
      <w:r w:rsidRPr="00D376E8">
        <w:t>For example, the disclosure “Inventory components” is always required to be a roll up, the total concept of the roll up is always to be “</w:t>
      </w:r>
      <w:proofErr w:type="spellStart"/>
      <w:r w:rsidRPr="00D376E8">
        <w:t>us-gaap:InventoryNet</w:t>
      </w:r>
      <w:proofErr w:type="spellEnd"/>
      <w:r w:rsidRPr="00D376E8">
        <w:t>” or some alternative concept; if the inventory components is provided then an inventory policy is also expected to be found, etc.</w:t>
      </w:r>
    </w:p>
    <w:p w14:paraId="7CA699C9" w14:textId="77777777" w:rsidR="00D376E8" w:rsidRPr="00D376E8" w:rsidRDefault="00D376E8" w:rsidP="00D376E8">
      <w:pPr>
        <w:pStyle w:val="BodyText"/>
      </w:pPr>
      <w:r w:rsidRPr="00D376E8">
        <w:t>Disclosure mechanics rules are identifiable via the extended link role URI fragment “/</w:t>
      </w:r>
      <w:proofErr w:type="spellStart"/>
      <w:r w:rsidRPr="00D376E8">
        <w:t>DisclosureMechanics</w:t>
      </w:r>
      <w:proofErr w:type="spellEnd"/>
      <w:r w:rsidRPr="00D376E8">
        <w:t xml:space="preserve">/” or by the </w:t>
      </w:r>
      <w:proofErr w:type="spellStart"/>
      <w:r w:rsidRPr="00D376E8">
        <w:t>arcroles</w:t>
      </w:r>
      <w:proofErr w:type="spellEnd"/>
      <w:r w:rsidRPr="00D376E8">
        <w:t xml:space="preserve"> which are used to represent the rules.</w:t>
      </w:r>
    </w:p>
    <w:p w14:paraId="1E66C169" w14:textId="77777777" w:rsidR="00D376E8" w:rsidRPr="00D376E8" w:rsidRDefault="00D376E8" w:rsidP="00D376E8">
      <w:pPr>
        <w:pStyle w:val="BodyText"/>
      </w:pPr>
      <w:r w:rsidRPr="00D376E8">
        <w:rPr>
          <w:b/>
        </w:rPr>
        <w:t>Reasoning</w:t>
      </w:r>
      <w:r w:rsidRPr="00D376E8">
        <w:t>: An analysis of XBRL-based reports submitted to the SEC show that 20% of disclosures have errors in the structural, mechanical, mathematical, logical, and accounting relations between the primitive objects used to create that disclosure.</w:t>
      </w:r>
    </w:p>
    <w:p w14:paraId="6716A9B1" w14:textId="7777676D" w:rsidR="00D376E8" w:rsidRDefault="00D376E8" w:rsidP="00D376E8">
      <w:pPr>
        <w:pStyle w:val="BodyText"/>
      </w:pPr>
      <w:r w:rsidRPr="00D376E8">
        <w:t xml:space="preserve">The following are the currently supported </w:t>
      </w:r>
      <w:proofErr w:type="spellStart"/>
      <w:r w:rsidRPr="00D376E8">
        <w:t>arcrole</w:t>
      </w:r>
      <w:proofErr w:type="spellEnd"/>
      <w:r w:rsidRPr="00D376E8">
        <w:rPr>
          <w:vertAlign w:val="superscript"/>
        </w:rPr>
        <w:footnoteReference w:id="2"/>
      </w:r>
      <w:r w:rsidRPr="00D376E8">
        <w:t xml:space="preserve"> used to represent the relations which are used to represent the disclosure mechanics rules.</w:t>
      </w:r>
    </w:p>
    <w:tbl>
      <w:tblPr>
        <w:tblW w:w="0" w:type="auto"/>
        <w:tblCellSpacing w:w="0" w:type="dxa"/>
        <w:tblInd w:w="-8"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443"/>
      </w:tblGrid>
      <w:tr w:rsidR="00D376E8" w:rsidRPr="00D376E8" w14:paraId="38800F4B" w14:textId="77777777" w:rsidTr="00DE41D1">
        <w:trPr>
          <w:tblHeader/>
          <w:tblCellSpacing w:w="0" w:type="dxa"/>
        </w:trPr>
        <w:tc>
          <w:tcPr>
            <w:tcW w:w="0" w:type="auto"/>
            <w:tcBorders>
              <w:top w:val="outset" w:sz="8" w:space="0" w:color="000000"/>
              <w:left w:val="outset" w:sz="8" w:space="0" w:color="000000"/>
              <w:bottom w:val="outset" w:sz="8" w:space="0" w:color="000000"/>
              <w:right w:val="outset" w:sz="8" w:space="0" w:color="000000"/>
            </w:tcBorders>
            <w:shd w:val="clear" w:color="auto" w:fill="C0C0C0"/>
            <w:tcMar>
              <w:top w:w="15" w:type="dxa"/>
              <w:left w:w="15" w:type="dxa"/>
              <w:bottom w:w="15" w:type="dxa"/>
              <w:right w:w="15" w:type="dxa"/>
            </w:tcMar>
            <w:vAlign w:val="center"/>
            <w:hideMark/>
          </w:tcPr>
          <w:p w14:paraId="309AAA32" w14:textId="77777777" w:rsidR="00D376E8" w:rsidRPr="00D376E8" w:rsidRDefault="00D376E8" w:rsidP="00D376E8">
            <w:pPr>
              <w:jc w:val="center"/>
              <w:rPr>
                <w:rFonts w:ascii="Times New Roman" w:eastAsia="Calibri" w:hAnsi="Times New Roman"/>
                <w:b/>
                <w:bCs/>
                <w:sz w:val="24"/>
              </w:rPr>
            </w:pPr>
            <w:proofErr w:type="spellStart"/>
            <w:r w:rsidRPr="00D376E8">
              <w:rPr>
                <w:rFonts w:ascii="Calibri" w:eastAsia="Calibri" w:hAnsi="Calibri"/>
                <w:b/>
                <w:bCs/>
                <w:color w:val="000000"/>
                <w:sz w:val="18"/>
                <w:szCs w:val="18"/>
              </w:rPr>
              <w:t>ArcRole</w:t>
            </w:r>
            <w:proofErr w:type="spellEnd"/>
          </w:p>
        </w:tc>
      </w:tr>
      <w:tr w:rsidR="00D376E8" w:rsidRPr="00D376E8" w14:paraId="1B780698"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23D77389"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hasConceptArrangementPattern</w:t>
            </w:r>
            <w:proofErr w:type="spellEnd"/>
          </w:p>
        </w:tc>
      </w:tr>
      <w:tr w:rsidR="00D376E8" w:rsidRPr="00D376E8" w14:paraId="64ABD0FF"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66A1B50E"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equivalentTextblock</w:t>
            </w:r>
            <w:proofErr w:type="spellEnd"/>
          </w:p>
        </w:tc>
      </w:tr>
      <w:tr w:rsidR="00D376E8" w:rsidRPr="00D376E8" w14:paraId="26064889"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2E7DAA98"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requiresConcept</w:t>
            </w:r>
            <w:proofErr w:type="spellEnd"/>
          </w:p>
        </w:tc>
      </w:tr>
      <w:tr w:rsidR="00D376E8" w:rsidRPr="00D376E8" w14:paraId="1DCCF95C"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5A1975E7"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concept-</w:t>
            </w:r>
            <w:proofErr w:type="spellStart"/>
            <w:r w:rsidRPr="00D376E8">
              <w:rPr>
                <w:rFonts w:ascii="Calibri" w:eastAsia="Calibri" w:hAnsi="Calibri"/>
                <w:color w:val="000000"/>
                <w:sz w:val="18"/>
                <w:szCs w:val="18"/>
              </w:rPr>
              <w:t>allowedAlternativeConcept</w:t>
            </w:r>
            <w:proofErr w:type="spellEnd"/>
          </w:p>
        </w:tc>
      </w:tr>
      <w:tr w:rsidR="00D376E8" w:rsidRPr="00D376E8" w14:paraId="645C6651"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5B86FB1D"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oftenContainsConcept</w:t>
            </w:r>
            <w:proofErr w:type="spellEnd"/>
          </w:p>
        </w:tc>
      </w:tr>
      <w:tr w:rsidR="00D376E8" w:rsidRPr="00D376E8" w14:paraId="4B082E08"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47CE2903"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requiresAxis</w:t>
            </w:r>
            <w:proofErr w:type="spellEnd"/>
          </w:p>
        </w:tc>
      </w:tr>
      <w:tr w:rsidR="00D376E8" w:rsidRPr="00D376E8" w14:paraId="4C64F46D"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13DACFDC" w14:textId="77777777" w:rsidR="00D376E8" w:rsidRPr="00D376E8" w:rsidRDefault="00D376E8" w:rsidP="00D376E8">
            <w:pPr>
              <w:rPr>
                <w:rFonts w:ascii="Times New Roman" w:eastAsia="Calibri" w:hAnsi="Times New Roman"/>
                <w:sz w:val="24"/>
              </w:rPr>
            </w:pPr>
            <w:proofErr w:type="spellStart"/>
            <w:r w:rsidRPr="00D376E8">
              <w:rPr>
                <w:rFonts w:ascii="Calibri" w:eastAsia="Calibri" w:hAnsi="Calibri"/>
                <w:color w:val="000000"/>
                <w:sz w:val="18"/>
                <w:szCs w:val="18"/>
              </w:rPr>
              <w:t>conceptArrangementPattern-requiresConcept</w:t>
            </w:r>
            <w:proofErr w:type="spellEnd"/>
          </w:p>
        </w:tc>
      </w:tr>
      <w:tr w:rsidR="00D376E8" w:rsidRPr="00D376E8" w14:paraId="5A3014D0"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5801DAB4"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disclosure-relatedLevel1NoteTextBlock</w:t>
            </w:r>
          </w:p>
        </w:tc>
      </w:tr>
      <w:tr w:rsidR="00D376E8" w:rsidRPr="00D376E8" w14:paraId="40A04075"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019B5F36"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concept-</w:t>
            </w:r>
            <w:proofErr w:type="spellStart"/>
            <w:r w:rsidRPr="00D376E8">
              <w:rPr>
                <w:rFonts w:ascii="Calibri" w:eastAsia="Calibri" w:hAnsi="Calibri"/>
                <w:color w:val="000000"/>
                <w:sz w:val="18"/>
                <w:szCs w:val="18"/>
              </w:rPr>
              <w:t>allowedAlternativeConcept</w:t>
            </w:r>
            <w:proofErr w:type="spellEnd"/>
          </w:p>
        </w:tc>
      </w:tr>
      <w:tr w:rsidR="00D376E8" w:rsidRPr="00D376E8" w14:paraId="43325915"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5ED597ED"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relatedPolicy</w:t>
            </w:r>
            <w:proofErr w:type="spellEnd"/>
          </w:p>
        </w:tc>
      </w:tr>
      <w:tr w:rsidR="00D376E8" w:rsidRPr="00D376E8" w14:paraId="235BE468"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7D904960"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requiresMember</w:t>
            </w:r>
            <w:proofErr w:type="spellEnd"/>
          </w:p>
        </w:tc>
      </w:tr>
      <w:tr w:rsidR="00D376E8" w:rsidRPr="00D376E8" w14:paraId="62CC03AD"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17563F6D" w14:textId="77777777" w:rsidR="00D376E8" w:rsidRPr="00D376E8" w:rsidRDefault="00D376E8" w:rsidP="00D376E8">
            <w:pPr>
              <w:rPr>
                <w:rFonts w:ascii="Times New Roman" w:eastAsia="Calibri" w:hAnsi="Times New Roman"/>
                <w:sz w:val="24"/>
              </w:rPr>
            </w:pPr>
            <w:proofErr w:type="spellStart"/>
            <w:r w:rsidRPr="00D376E8">
              <w:rPr>
                <w:rFonts w:ascii="Calibri" w:eastAsia="Calibri" w:hAnsi="Calibri"/>
                <w:color w:val="000000"/>
                <w:sz w:val="18"/>
                <w:szCs w:val="18"/>
              </w:rPr>
              <w:t>reportedDisclosure-requiresDisclosure</w:t>
            </w:r>
            <w:proofErr w:type="spellEnd"/>
          </w:p>
        </w:tc>
      </w:tr>
      <w:tr w:rsidR="00D376E8" w:rsidRPr="00D376E8" w14:paraId="270C3A5A"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47B5DDD6"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oftenContainsConcept</w:t>
            </w:r>
            <w:proofErr w:type="spellEnd"/>
          </w:p>
        </w:tc>
      </w:tr>
      <w:tr w:rsidR="00D376E8" w:rsidRPr="00D376E8" w14:paraId="5094B071" w14:textId="77777777" w:rsidTr="00DE41D1">
        <w:trPr>
          <w:tblCellSpacing w:w="0" w:type="dxa"/>
        </w:trPr>
        <w:tc>
          <w:tcPr>
            <w:tcW w:w="0" w:type="auto"/>
            <w:tcBorders>
              <w:top w:val="outset" w:sz="8" w:space="0" w:color="D0D7E5"/>
              <w:left w:val="outset" w:sz="8" w:space="0" w:color="D0D7E5"/>
              <w:bottom w:val="outset" w:sz="8" w:space="0" w:color="D0D7E5"/>
              <w:right w:val="outset" w:sz="8" w:space="0" w:color="D0D7E5"/>
            </w:tcBorders>
            <w:shd w:val="clear" w:color="auto" w:fill="FFFFFF"/>
            <w:tcMar>
              <w:top w:w="15" w:type="dxa"/>
              <w:left w:w="15" w:type="dxa"/>
              <w:bottom w:w="15" w:type="dxa"/>
              <w:right w:w="15" w:type="dxa"/>
            </w:tcMar>
            <w:hideMark/>
          </w:tcPr>
          <w:p w14:paraId="1B275FD8" w14:textId="77777777" w:rsidR="00D376E8" w:rsidRPr="00D376E8" w:rsidRDefault="00D376E8" w:rsidP="00D376E8">
            <w:pPr>
              <w:rPr>
                <w:rFonts w:ascii="Times New Roman" w:eastAsia="Calibri" w:hAnsi="Times New Roman"/>
                <w:sz w:val="24"/>
              </w:rPr>
            </w:pPr>
            <w:r w:rsidRPr="00D376E8">
              <w:rPr>
                <w:rFonts w:ascii="Calibri" w:eastAsia="Calibri" w:hAnsi="Calibri"/>
                <w:color w:val="000000"/>
                <w:sz w:val="18"/>
                <w:szCs w:val="18"/>
              </w:rPr>
              <w:t>disclosure-</w:t>
            </w:r>
            <w:proofErr w:type="spellStart"/>
            <w:r w:rsidRPr="00D376E8">
              <w:rPr>
                <w:rFonts w:ascii="Calibri" w:eastAsia="Calibri" w:hAnsi="Calibri"/>
                <w:color w:val="000000"/>
                <w:sz w:val="18"/>
                <w:szCs w:val="18"/>
              </w:rPr>
              <w:t>hasMemberArrangementPattern</w:t>
            </w:r>
            <w:proofErr w:type="spellEnd"/>
          </w:p>
        </w:tc>
      </w:tr>
    </w:tbl>
    <w:p w14:paraId="3AC7BD94" w14:textId="77777777" w:rsidR="00D376E8" w:rsidRPr="00D376E8" w:rsidRDefault="00D376E8" w:rsidP="00D376E8">
      <w:pPr>
        <w:pStyle w:val="BodyText"/>
      </w:pPr>
    </w:p>
    <w:p w14:paraId="29E95910" w14:textId="77777777" w:rsidR="00D376E8" w:rsidRPr="00D376E8" w:rsidRDefault="00D376E8" w:rsidP="00D376E8">
      <w:pPr>
        <w:pStyle w:val="BodyText"/>
      </w:pPr>
      <w:r w:rsidRPr="00D376E8">
        <w:t>Machine readable example</w:t>
      </w:r>
      <w:r w:rsidRPr="00D376E8">
        <w:rPr>
          <w:vertAlign w:val="superscript"/>
        </w:rPr>
        <w:footnoteReference w:id="3"/>
      </w:r>
      <w:r w:rsidRPr="00D376E8">
        <w:t>:</w:t>
      </w:r>
    </w:p>
    <w:p w14:paraId="780A728E" w14:textId="77777777" w:rsidR="00D376E8" w:rsidRPr="00D376E8" w:rsidRDefault="00D376E8" w:rsidP="00D376E8">
      <w:pPr>
        <w:pStyle w:val="BodyText"/>
      </w:pPr>
      <w:r w:rsidRPr="00D376E8">
        <w:lastRenderedPageBreak/>
        <w:drawing>
          <wp:inline distT="0" distB="0" distL="0" distR="0" wp14:anchorId="6F89EE79" wp14:editId="198E7D0A">
            <wp:extent cx="5276215" cy="1087163"/>
            <wp:effectExtent l="0" t="0" r="635" b="0"/>
            <wp:docPr id="24" name="Picture 24" descr="C:\Users\Charlie\AppData\Local\Temp\SNAGHTML548b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harlie\AppData\Local\Temp\SNAGHTML548bcc.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6215" cy="1087163"/>
                    </a:xfrm>
                    <a:prstGeom prst="rect">
                      <a:avLst/>
                    </a:prstGeom>
                    <a:noFill/>
                    <a:ln>
                      <a:noFill/>
                    </a:ln>
                  </pic:spPr>
                </pic:pic>
              </a:graphicData>
            </a:graphic>
          </wp:inline>
        </w:drawing>
      </w:r>
    </w:p>
    <w:p w14:paraId="43D9B72F" w14:textId="77777777" w:rsidR="00D376E8" w:rsidRPr="00D376E8" w:rsidRDefault="00D376E8" w:rsidP="00D376E8">
      <w:pPr>
        <w:pStyle w:val="BodyText"/>
      </w:pPr>
      <w:r w:rsidRPr="00D376E8">
        <w:t>Human readable example</w:t>
      </w:r>
      <w:r w:rsidRPr="00D376E8">
        <w:rPr>
          <w:vertAlign w:val="superscript"/>
        </w:rPr>
        <w:footnoteReference w:id="4"/>
      </w:r>
      <w:r w:rsidRPr="00D376E8">
        <w:t>:</w:t>
      </w:r>
    </w:p>
    <w:p w14:paraId="12555AD2" w14:textId="77777777" w:rsidR="00D376E8" w:rsidRPr="00D376E8" w:rsidRDefault="00D376E8" w:rsidP="00D376E8">
      <w:pPr>
        <w:pStyle w:val="BodyText"/>
      </w:pPr>
      <w:r w:rsidRPr="00D376E8">
        <w:drawing>
          <wp:inline distT="0" distB="0" distL="0" distR="0" wp14:anchorId="0A5F9D76" wp14:editId="6DD47C8D">
            <wp:extent cx="5191125" cy="3875471"/>
            <wp:effectExtent l="0" t="0" r="0" b="0"/>
            <wp:docPr id="23" name="Picture 23" descr="C:\Users\Charlie\AppData\Local\Temp\SNAGHTML5113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5113cf.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04110" cy="3885165"/>
                    </a:xfrm>
                    <a:prstGeom prst="rect">
                      <a:avLst/>
                    </a:prstGeom>
                    <a:noFill/>
                    <a:ln>
                      <a:noFill/>
                    </a:ln>
                  </pic:spPr>
                </pic:pic>
              </a:graphicData>
            </a:graphic>
          </wp:inline>
        </w:drawing>
      </w:r>
    </w:p>
    <w:p w14:paraId="7D47F776" w14:textId="77777777" w:rsidR="00E77A30" w:rsidRPr="00AC3B31" w:rsidRDefault="00E77A30" w:rsidP="00B76023">
      <w:pPr>
        <w:pStyle w:val="BodyText"/>
        <w:rPr>
          <w:lang w:val="en"/>
        </w:rPr>
      </w:pPr>
    </w:p>
    <w:p w14:paraId="4CED5324" w14:textId="77777777" w:rsidR="00E77A30" w:rsidRPr="00AC3B31" w:rsidRDefault="00E77A30" w:rsidP="00B76023">
      <w:pPr>
        <w:pStyle w:val="Heading2"/>
      </w:pPr>
      <w:bookmarkStart w:id="2" w:name="_Toc418919758"/>
      <w:r w:rsidRPr="00AC3B31">
        <w:t>Understanding the notion of patterns</w:t>
      </w:r>
      <w:bookmarkEnd w:id="2"/>
    </w:p>
    <w:p w14:paraId="479B6DDC" w14:textId="77777777" w:rsidR="00E77A30" w:rsidRPr="00AC3B31" w:rsidRDefault="00E77A30" w:rsidP="00B76023">
      <w:pPr>
        <w:pStyle w:val="BodyText"/>
        <w:rPr>
          <w:lang w:val="en"/>
        </w:rPr>
      </w:pPr>
      <w:r w:rsidRPr="00AC3B31">
        <w:rPr>
          <w:lang w:val="en"/>
        </w:rPr>
        <w:t xml:space="preserve">A pattern is a representation model or set of rules which are used to guide.  Patterns are important to </w:t>
      </w:r>
      <w:r>
        <w:rPr>
          <w:lang w:val="en"/>
        </w:rPr>
        <w:t>information technology</w:t>
      </w:r>
      <w:r w:rsidRPr="00AC3B31">
        <w:rPr>
          <w:lang w:val="en"/>
        </w:rPr>
        <w:t xml:space="preserve"> professionals</w:t>
      </w:r>
      <w:r>
        <w:rPr>
          <w:lang w:val="en"/>
        </w:rPr>
        <w:t xml:space="preserve"> who build software because they help understand what the software does and build software that is useable by business professionals</w:t>
      </w:r>
      <w:r w:rsidRPr="00AC3B31">
        <w:rPr>
          <w:lang w:val="en"/>
        </w:rPr>
        <w:t>.  Computers can leverage patterns.  Patterns are both a communications tool that can help business professionals and IT professionals communicate, functionality templates which can be leveraged to make software easier to create, and a specimen that exemplifies the ideal qualities of something.</w:t>
      </w:r>
    </w:p>
    <w:p w14:paraId="30D26C56" w14:textId="77777777" w:rsidR="00E77A30" w:rsidRDefault="00E77A30" w:rsidP="00B76023">
      <w:pPr>
        <w:pStyle w:val="BodyText"/>
        <w:rPr>
          <w:lang w:val="en"/>
        </w:rPr>
      </w:pPr>
      <w:r w:rsidRPr="00AC3B31">
        <w:rPr>
          <w:lang w:val="en"/>
        </w:rPr>
        <w:t>Basically, patterns describe.</w:t>
      </w:r>
    </w:p>
    <w:p w14:paraId="1392E9CD" w14:textId="77777777" w:rsidR="00E77A30" w:rsidRPr="00AC3B31" w:rsidRDefault="00E77A30" w:rsidP="00B76023">
      <w:pPr>
        <w:pStyle w:val="BodyText"/>
        <w:rPr>
          <w:lang w:val="en"/>
        </w:rPr>
      </w:pPr>
      <w:r w:rsidRPr="00AC3B31">
        <w:rPr>
          <w:lang w:val="en"/>
        </w:rPr>
        <w:lastRenderedPageBreak/>
        <w:t>A pattern is something that recurs.  The world is full of patterns and information technology engineers leverage these patterns when trying to get a computer to do something effectively and efficiently for humans.  Understanding the patterns which exist can help make both building and using software easier.</w:t>
      </w:r>
    </w:p>
    <w:p w14:paraId="062006B0" w14:textId="77777777" w:rsidR="00E77A30" w:rsidRDefault="00E77A30" w:rsidP="00B76023">
      <w:pPr>
        <w:pStyle w:val="BodyText"/>
        <w:rPr>
          <w:lang w:val="en"/>
        </w:rPr>
      </w:pPr>
      <w:r w:rsidRPr="00AC3B31">
        <w:rPr>
          <w:lang w:val="en"/>
        </w:rPr>
        <w:t>Patterns perform two fundamental tasks.  First, they enable implementation of functionality at a higher-level.  So rather than working with low-level pieces, business professionals can interact with higher-level ideas.  This is like working with “Lego blocks” to build something.  Second, patterns provide boundaries.  Boundaries are necessary in order to make a system work safely and predictably.</w:t>
      </w:r>
    </w:p>
    <w:p w14:paraId="15AD3DAB" w14:textId="77777777" w:rsidR="00E77A30" w:rsidRPr="00AC3B31" w:rsidRDefault="00E77A30" w:rsidP="00B76023">
      <w:pPr>
        <w:pStyle w:val="BodyText"/>
        <w:rPr>
          <w:lang w:val="en"/>
        </w:rPr>
      </w:pPr>
      <w:r>
        <w:rPr>
          <w:lang w:val="en"/>
        </w:rPr>
        <w:t xml:space="preserve">Everything in the conceptual model of a digital financial reports is essentially high-level patterns.  </w:t>
      </w:r>
      <w:r w:rsidRPr="00AC3B31">
        <w:rPr>
          <w:lang w:val="en"/>
        </w:rPr>
        <w:t>Only identified patterns are allowed.  If a new pattern is identifi</w:t>
      </w:r>
      <w:r>
        <w:rPr>
          <w:lang w:val="en"/>
        </w:rPr>
        <w:t>ed, that pattern can be added.</w:t>
      </w:r>
    </w:p>
    <w:p w14:paraId="322397A6" w14:textId="77777777" w:rsidR="00E77A30" w:rsidRPr="00AC3B31" w:rsidRDefault="00E77A30" w:rsidP="00B76023">
      <w:pPr>
        <w:pStyle w:val="Heading2"/>
      </w:pPr>
      <w:bookmarkStart w:id="3" w:name="_Toc418919759"/>
      <w:r w:rsidRPr="00AC3B31">
        <w:t>Understanding the notion of slot or opening</w:t>
      </w:r>
      <w:bookmarkEnd w:id="3"/>
    </w:p>
    <w:p w14:paraId="1A7D7C92" w14:textId="77777777" w:rsidR="00E77A30" w:rsidRDefault="00E77A30" w:rsidP="00B76023">
      <w:pPr>
        <w:pStyle w:val="BodyText"/>
        <w:rPr>
          <w:lang w:val="en"/>
        </w:rPr>
      </w:pPr>
      <w:r>
        <w:rPr>
          <w:lang w:val="en"/>
        </w:rPr>
        <w:t>Like we said earlier, you never really delete a “cell” in an electronic spreadsheet.  To delete a cell, you delete the row or column which contains that cell.  You can add/remove a row or column.  So rows and columns are slots where things can be added to an electronic spreadsheet.  Similarly, digital financial reports have slots.</w:t>
      </w:r>
    </w:p>
    <w:p w14:paraId="5B20A888" w14:textId="77777777" w:rsidR="00E77A30" w:rsidRPr="00AC3B31" w:rsidRDefault="00E77A30" w:rsidP="00B76023">
      <w:pPr>
        <w:pStyle w:val="BodyText"/>
        <w:rPr>
          <w:lang w:val="en"/>
        </w:rPr>
      </w:pPr>
      <w:r>
        <w:rPr>
          <w:lang w:val="en"/>
        </w:rPr>
        <w:t xml:space="preserve">Think of a form.  </w:t>
      </w:r>
      <w:r w:rsidRPr="00AC3B31">
        <w:rPr>
          <w:lang w:val="en"/>
        </w:rPr>
        <w:t xml:space="preserve">While a form is finite but inflexible, a financial report is finite </w:t>
      </w:r>
      <w:r>
        <w:rPr>
          <w:lang w:val="en"/>
        </w:rPr>
        <w:t xml:space="preserve">but also </w:t>
      </w:r>
      <w:r w:rsidRPr="00AC3B31">
        <w:rPr>
          <w:lang w:val="en"/>
        </w:rPr>
        <w:t>flexible.  The difference between the two can be described using the notion of a "slot" or "opening".  A form has no slots or openings.  A form only has cells into which information may be placed.</w:t>
      </w:r>
    </w:p>
    <w:p w14:paraId="0EEE4BCA" w14:textId="77777777" w:rsidR="00E77A30" w:rsidRDefault="00E77A30" w:rsidP="00B76023">
      <w:pPr>
        <w:pStyle w:val="BodyText"/>
        <w:rPr>
          <w:lang w:val="en"/>
        </w:rPr>
      </w:pPr>
      <w:r w:rsidRPr="00AC3B31">
        <w:rPr>
          <w:lang w:val="en"/>
        </w:rPr>
        <w:t xml:space="preserve">A </w:t>
      </w:r>
      <w:r w:rsidRPr="00AC3B31">
        <w:rPr>
          <w:b/>
          <w:bCs/>
          <w:lang w:val="en"/>
        </w:rPr>
        <w:t>slot</w:t>
      </w:r>
      <w:r w:rsidRPr="00AC3B31">
        <w:rPr>
          <w:lang w:val="en"/>
        </w:rPr>
        <w:t xml:space="preserve"> is simply the idea of an allotted place in an arrangement where something can be logically and sensibly placed.</w:t>
      </w:r>
      <w:r>
        <w:rPr>
          <w:lang w:val="en"/>
        </w:rPr>
        <w:t xml:space="preserve">  Slots standardize where a financial report can be edited and where it cannot be edited.</w:t>
      </w:r>
    </w:p>
    <w:p w14:paraId="66DE4AD0" w14:textId="77777777" w:rsidR="00E77A30" w:rsidRDefault="00E77A30" w:rsidP="00B76023">
      <w:pPr>
        <w:pStyle w:val="BodyText"/>
        <w:rPr>
          <w:lang w:val="en"/>
        </w:rPr>
      </w:pPr>
      <w:r>
        <w:rPr>
          <w:lang w:val="en"/>
        </w:rPr>
        <w:t xml:space="preserve">Let’s start by looking at the Slots of a Block.  Recall that a </w:t>
      </w:r>
      <w:r w:rsidRPr="00A67D77">
        <w:rPr>
          <w:b/>
          <w:lang w:val="en"/>
        </w:rPr>
        <w:t>Block</w:t>
      </w:r>
      <w:r>
        <w:rPr>
          <w:lang w:val="en"/>
        </w:rPr>
        <w:t xml:space="preserve"> is simply a convenient unit of a financial report.  A Block is a set of facts that in some way go together. Recall that all the Facts in a Block share the same Concept Arrangement Pattern.</w:t>
      </w:r>
    </w:p>
    <w:p w14:paraId="78E903DF" w14:textId="77777777" w:rsidR="00E77A30" w:rsidRPr="00AC3B31" w:rsidRDefault="00E77A30" w:rsidP="00B76023">
      <w:pPr>
        <w:pStyle w:val="BodyText"/>
        <w:rPr>
          <w:lang w:val="en"/>
        </w:rPr>
      </w:pPr>
      <w:r>
        <w:rPr>
          <w:lang w:val="en"/>
        </w:rPr>
        <w:t>Below is an example of a Block.  This Block is a “Roll Up”.  All the Facts in the Block work together to make up a Disclosure for the components of property, plant, and equipment, net.</w:t>
      </w:r>
    </w:p>
    <w:p w14:paraId="1E467AF3" w14:textId="77777777" w:rsidR="00E77A30" w:rsidRPr="00AC3B31" w:rsidRDefault="00E77A30" w:rsidP="00B76023">
      <w:pPr>
        <w:pStyle w:val="BodyText"/>
        <w:rPr>
          <w:lang w:val="en"/>
        </w:rPr>
      </w:pPr>
      <w:r>
        <w:rPr>
          <w:lang w:val="en"/>
        </w:rPr>
        <w:t>S</w:t>
      </w:r>
      <w:r w:rsidRPr="00AC3B31">
        <w:rPr>
          <w:lang w:val="en"/>
        </w:rPr>
        <w:t>uppose you wanted to add something to a roll up of property, plant and equipment as shown below:</w:t>
      </w:r>
    </w:p>
    <w:p w14:paraId="10E7765A" w14:textId="77777777" w:rsidR="00E77A30" w:rsidRPr="00AC3B31" w:rsidRDefault="00E77A30" w:rsidP="00B76023">
      <w:pPr>
        <w:pStyle w:val="BodyText"/>
        <w:rPr>
          <w:lang w:val="en"/>
        </w:rPr>
      </w:pPr>
      <w:r w:rsidRPr="00AC3B31">
        <w:rPr>
          <w:noProof/>
        </w:rPr>
        <w:drawing>
          <wp:inline distT="0" distB="0" distL="0" distR="0" wp14:anchorId="16186A38" wp14:editId="41AF9CD1">
            <wp:extent cx="5479085" cy="1685873"/>
            <wp:effectExtent l="0" t="0" r="762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78402" cy="1685663"/>
                    </a:xfrm>
                    <a:prstGeom prst="rect">
                      <a:avLst/>
                    </a:prstGeom>
                  </pic:spPr>
                </pic:pic>
              </a:graphicData>
            </a:graphic>
          </wp:inline>
        </w:drawing>
      </w:r>
    </w:p>
    <w:p w14:paraId="1AB40568" w14:textId="77777777" w:rsidR="00E77A30" w:rsidRDefault="00E77A30" w:rsidP="00B76023">
      <w:pPr>
        <w:pStyle w:val="BodyText"/>
        <w:rPr>
          <w:lang w:val="en"/>
        </w:rPr>
      </w:pPr>
      <w:r w:rsidRPr="00AC3B31">
        <w:rPr>
          <w:lang w:val="en"/>
        </w:rPr>
        <w:lastRenderedPageBreak/>
        <w:t xml:space="preserve">You cannot add a second total to a roll up as a roll up only has one total.  It would not make logical sense to add a second total to a roll up.  </w:t>
      </w:r>
      <w:r>
        <w:rPr>
          <w:lang w:val="en"/>
        </w:rPr>
        <w:t xml:space="preserve">Having two totals in a roll up is </w:t>
      </w:r>
      <w:r w:rsidRPr="00AC3B31">
        <w:rPr>
          <w:lang w:val="en"/>
        </w:rPr>
        <w:t>illogical or irrational</w:t>
      </w:r>
      <w:r>
        <w:rPr>
          <w:lang w:val="en"/>
        </w:rPr>
        <w:t>; even morbid or pathological</w:t>
      </w:r>
      <w:r w:rsidRPr="00AC3B31">
        <w:rPr>
          <w:lang w:val="en"/>
        </w:rPr>
        <w:t xml:space="preserve">.  </w:t>
      </w:r>
    </w:p>
    <w:p w14:paraId="07402ECB" w14:textId="77777777" w:rsidR="00E77A30" w:rsidRPr="00AC3B31" w:rsidRDefault="00E77A30" w:rsidP="00B76023">
      <w:pPr>
        <w:pStyle w:val="BodyText"/>
        <w:rPr>
          <w:lang w:val="en"/>
        </w:rPr>
      </w:pPr>
      <w:r w:rsidRPr="00AC3B31">
        <w:rPr>
          <w:lang w:val="en"/>
        </w:rPr>
        <w:t xml:space="preserve">What </w:t>
      </w:r>
      <w:r>
        <w:rPr>
          <w:lang w:val="en"/>
        </w:rPr>
        <w:t xml:space="preserve">does </w:t>
      </w:r>
      <w:r w:rsidRPr="00AC3B31">
        <w:rPr>
          <w:lang w:val="en"/>
        </w:rPr>
        <w:t xml:space="preserve">make sense is to add another line item </w:t>
      </w:r>
      <w:r>
        <w:rPr>
          <w:lang w:val="en"/>
        </w:rPr>
        <w:t xml:space="preserve">which makes up </w:t>
      </w:r>
      <w:r w:rsidRPr="00AC3B31">
        <w:rPr>
          <w:lang w:val="en"/>
        </w:rPr>
        <w:t xml:space="preserve">the total of the roll up, somewhere in the list of existing line items.  One slot is adding a line item between </w:t>
      </w:r>
      <w:r w:rsidRPr="00AC3B31">
        <w:rPr>
          <w:i/>
          <w:lang w:val="en"/>
        </w:rPr>
        <w:t>Land</w:t>
      </w:r>
      <w:r w:rsidRPr="00AC3B31">
        <w:rPr>
          <w:lang w:val="en"/>
        </w:rPr>
        <w:t xml:space="preserve"> and </w:t>
      </w:r>
      <w:r w:rsidRPr="00AC3B31">
        <w:rPr>
          <w:i/>
          <w:lang w:val="en"/>
        </w:rPr>
        <w:t>Machinery and equipment, gross</w:t>
      </w:r>
      <w:r w:rsidRPr="00AC3B31">
        <w:rPr>
          <w:lang w:val="en"/>
        </w:rPr>
        <w:t xml:space="preserve">.  </w:t>
      </w:r>
      <w:r>
        <w:rPr>
          <w:lang w:val="en"/>
        </w:rPr>
        <w:t xml:space="preserve">For example, “Airplanes” might make logical sense.  </w:t>
      </w:r>
      <w:r w:rsidRPr="00AC3B31">
        <w:rPr>
          <w:lang w:val="en"/>
        </w:rPr>
        <w:t xml:space="preserve">Another slot is adding a line item before the first item </w:t>
      </w:r>
      <w:r w:rsidRPr="00AC3B31">
        <w:rPr>
          <w:i/>
          <w:lang w:val="en"/>
        </w:rPr>
        <w:t>Land</w:t>
      </w:r>
      <w:r w:rsidRPr="00AC3B31">
        <w:rPr>
          <w:lang w:val="en"/>
        </w:rPr>
        <w:t>.</w:t>
      </w:r>
    </w:p>
    <w:p w14:paraId="444FC437" w14:textId="77777777" w:rsidR="00E77A30" w:rsidRPr="00AC3B31" w:rsidRDefault="00E77A30" w:rsidP="00B76023">
      <w:pPr>
        <w:pStyle w:val="BodyText"/>
        <w:rPr>
          <w:lang w:val="en"/>
        </w:rPr>
      </w:pPr>
      <w:r w:rsidRPr="00AC3B31">
        <w:rPr>
          <w:lang w:val="en"/>
        </w:rPr>
        <w:t xml:space="preserve">Further, </w:t>
      </w:r>
      <w:r w:rsidRPr="00AC3B31">
        <w:rPr>
          <w:i/>
          <w:iCs/>
          <w:lang w:val="en"/>
        </w:rPr>
        <w:t xml:space="preserve">what </w:t>
      </w:r>
      <w:r w:rsidRPr="00AC3B31">
        <w:rPr>
          <w:lang w:val="en"/>
        </w:rPr>
        <w:t>you add to the list is also constrained.  For example, what you add needs to be a number as a roll up involves showing how some list of numbers rolls up.  You would not add text</w:t>
      </w:r>
      <w:r>
        <w:rPr>
          <w:lang w:val="en"/>
        </w:rPr>
        <w:t xml:space="preserve"> to a roll up</w:t>
      </w:r>
      <w:r w:rsidRPr="00AC3B31">
        <w:rPr>
          <w:lang w:val="en"/>
        </w:rPr>
        <w:t>.  And it cannot be just any number, it needs to be an "as of" type number (as contrast to a "for the period" number from, say, the income statement).  Why?  Because all of the other numbers in the list are "as of" some balance sheet date, not "for the period" of some income statement or cash flow statement period.</w:t>
      </w:r>
    </w:p>
    <w:p w14:paraId="43273ABC" w14:textId="77777777" w:rsidR="00E77A30" w:rsidRPr="00AC3B31" w:rsidRDefault="00E77A30" w:rsidP="00B76023">
      <w:pPr>
        <w:pStyle w:val="BodyText"/>
        <w:rPr>
          <w:lang w:val="en"/>
        </w:rPr>
      </w:pPr>
      <w:r w:rsidRPr="00AC3B31">
        <w:rPr>
          <w:lang w:val="en"/>
        </w:rPr>
        <w:t xml:space="preserve">There is another slot which makes sense in the information above.  You can see that there are two </w:t>
      </w:r>
      <w:r>
        <w:rPr>
          <w:lang w:val="en"/>
        </w:rPr>
        <w:t xml:space="preserve">existing </w:t>
      </w:r>
      <w:r w:rsidRPr="00AC3B31">
        <w:rPr>
          <w:lang w:val="en"/>
        </w:rPr>
        <w:t xml:space="preserve">periods.  Adding information for a third or even more periods makes sense.  It could also make sense to add an entirely new characteristic such as Geographic Area [Axis] and </w:t>
      </w:r>
      <w:r>
        <w:rPr>
          <w:lang w:val="en"/>
        </w:rPr>
        <w:t>describe the physical location of the component of property, plant and equipment.</w:t>
      </w:r>
    </w:p>
    <w:p w14:paraId="53052672" w14:textId="77777777" w:rsidR="00E77A30" w:rsidRPr="00AC3B31" w:rsidRDefault="00E77A30" w:rsidP="00B76023">
      <w:pPr>
        <w:pStyle w:val="BodyText"/>
        <w:rPr>
          <w:lang w:val="en"/>
        </w:rPr>
      </w:pPr>
      <w:r>
        <w:rPr>
          <w:lang w:val="en"/>
        </w:rPr>
        <w:t>I</w:t>
      </w:r>
      <w:r w:rsidRPr="00AC3B31">
        <w:rPr>
          <w:lang w:val="en"/>
        </w:rPr>
        <w:t xml:space="preserve">t makes no sense to simply add </w:t>
      </w:r>
      <w:r>
        <w:rPr>
          <w:lang w:val="en"/>
        </w:rPr>
        <w:t xml:space="preserve">whatever you want, where ever you want, </w:t>
      </w:r>
      <w:r w:rsidRPr="00AC3B31">
        <w:rPr>
          <w:lang w:val="en"/>
        </w:rPr>
        <w:t xml:space="preserve">randomly or arbitrarily to the roll up.  While every slot or opening where it makes sense to add information to the existing information above has not </w:t>
      </w:r>
      <w:r>
        <w:rPr>
          <w:lang w:val="en"/>
        </w:rPr>
        <w:t xml:space="preserve"> explicitly </w:t>
      </w:r>
      <w:r w:rsidRPr="00AC3B31">
        <w:rPr>
          <w:lang w:val="en"/>
        </w:rPr>
        <w:t>been pointed out, the set of examples provide should help you u</w:t>
      </w:r>
      <w:r>
        <w:rPr>
          <w:lang w:val="en"/>
        </w:rPr>
        <w:t>nderstand the notion of a slot.</w:t>
      </w:r>
    </w:p>
    <w:p w14:paraId="07A0CFB0" w14:textId="77777777" w:rsidR="00E77A30" w:rsidRPr="00AC3B31" w:rsidRDefault="00E77A30" w:rsidP="00B76023">
      <w:pPr>
        <w:pStyle w:val="Heading2"/>
      </w:pPr>
      <w:bookmarkStart w:id="4" w:name="_Toc418919761"/>
      <w:r>
        <w:t>Understanding the notion of block or report fragment</w:t>
      </w:r>
      <w:bookmarkEnd w:id="4"/>
    </w:p>
    <w:p w14:paraId="3F4C5879" w14:textId="77777777" w:rsidR="00E77A30" w:rsidRDefault="00E77A30" w:rsidP="00B76023">
      <w:pPr>
        <w:pStyle w:val="BodyText"/>
      </w:pPr>
      <w:r>
        <w:t xml:space="preserve">A </w:t>
      </w:r>
      <w:r w:rsidRPr="00A67D77">
        <w:rPr>
          <w:b/>
        </w:rPr>
        <w:t>Block</w:t>
      </w:r>
      <w:r>
        <w:t xml:space="preserve"> is a unit of a digital financial report that is created as a matter of pure convenience.  Having the notion of Block simply helps to be able to talk about a specific aspect of a digital financial report.</w:t>
      </w:r>
    </w:p>
    <w:p w14:paraId="6EEAE302" w14:textId="77777777" w:rsidR="00E77A30" w:rsidRDefault="00E77A30" w:rsidP="00B76023">
      <w:pPr>
        <w:pStyle w:val="BodyText"/>
      </w:pPr>
      <w:r>
        <w:t>The best way to understand what a Block is and why having the notion of a Block is useful is to look at a few examples.  Again, recall that a Block is a set of facts that go together and share the same Concept Arrangement Pattern.</w:t>
      </w:r>
    </w:p>
    <w:p w14:paraId="4413C7C0" w14:textId="77777777" w:rsidR="00E77A30" w:rsidRPr="00AC3B31" w:rsidRDefault="00E77A30" w:rsidP="00B76023">
      <w:pPr>
        <w:pStyle w:val="BodyText"/>
      </w:pPr>
      <w:r w:rsidRPr="00AC3B31">
        <w:t>Consider</w:t>
      </w:r>
      <w:r>
        <w:t>, again,</w:t>
      </w:r>
      <w:r w:rsidRPr="00AC3B31">
        <w:t xml:space="preserve"> the following financial report disclosure</w:t>
      </w:r>
      <w:r>
        <w:t xml:space="preserve"> which we looked at above to explain the notion of a Slot</w:t>
      </w:r>
      <w:r w:rsidRPr="00AC3B31">
        <w:t>:</w:t>
      </w:r>
    </w:p>
    <w:p w14:paraId="45E2ECB0" w14:textId="77777777" w:rsidR="00E77A30" w:rsidRPr="00AC3B31" w:rsidRDefault="00E77A30" w:rsidP="00B76023">
      <w:pPr>
        <w:pStyle w:val="BodyText"/>
      </w:pPr>
      <w:r w:rsidRPr="00AC3B31">
        <w:rPr>
          <w:noProof/>
        </w:rPr>
        <w:drawing>
          <wp:inline distT="0" distB="0" distL="0" distR="0" wp14:anchorId="091FD9CB" wp14:editId="25F2E863">
            <wp:extent cx="5471770" cy="1680238"/>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70383" cy="1679812"/>
                    </a:xfrm>
                    <a:prstGeom prst="rect">
                      <a:avLst/>
                    </a:prstGeom>
                  </pic:spPr>
                </pic:pic>
              </a:graphicData>
            </a:graphic>
          </wp:inline>
        </w:drawing>
      </w:r>
    </w:p>
    <w:p w14:paraId="2D9EF0E8" w14:textId="77777777" w:rsidR="00E77A30" w:rsidRDefault="00E77A30" w:rsidP="00B76023">
      <w:pPr>
        <w:pStyle w:val="BodyText"/>
      </w:pPr>
      <w:r>
        <w:t>As we pointed out, t</w:t>
      </w:r>
      <w:r w:rsidRPr="00AC3B31">
        <w:t xml:space="preserve">hat disclosure is a roll up of the components that make up property, plant, and equipment, net.  </w:t>
      </w:r>
      <w:r>
        <w:t xml:space="preserve">The Facts of that disclosure above work together to describe the components of property, plant, and equipment, net.  Every </w:t>
      </w:r>
      <w:r>
        <w:lastRenderedPageBreak/>
        <w:t>Fact is part of that disclosure; the parts form a set of facts, and the set of facts work together to make up the disclosure.  T</w:t>
      </w:r>
      <w:r w:rsidRPr="00AC3B31">
        <w:t>here is a one-to-one correlation between the concept arrangement pattern (i.e. roll up</w:t>
      </w:r>
      <w:r>
        <w:t xml:space="preserve"> in this case</w:t>
      </w:r>
      <w:r w:rsidRPr="00AC3B31">
        <w:t xml:space="preserve">) and </w:t>
      </w:r>
      <w:r>
        <w:t>the Block or set of facts which make up the disclosure</w:t>
      </w:r>
      <w:r w:rsidRPr="00AC3B31">
        <w:t>.</w:t>
      </w:r>
    </w:p>
    <w:p w14:paraId="458CCD5F" w14:textId="77777777" w:rsidR="00E77A30" w:rsidRDefault="00E77A30" w:rsidP="00B76023">
      <w:pPr>
        <w:pStyle w:val="BodyText"/>
      </w:pPr>
      <w:r>
        <w:t>This will become clearer when we point out another Block that has a different concept arrangement pattern.</w:t>
      </w:r>
    </w:p>
    <w:p w14:paraId="45AF8E3A" w14:textId="77777777" w:rsidR="00E77A30" w:rsidRPr="00AC3B31" w:rsidRDefault="00E77A30" w:rsidP="00B76023">
      <w:pPr>
        <w:pStyle w:val="BodyText"/>
      </w:pPr>
      <w:r>
        <w:t>The fragment of a financial report provides a different disclosure.  This disclosure is a roll forward of the product liability accrual of some the economic entity providing this disclosure:</w:t>
      </w:r>
    </w:p>
    <w:p w14:paraId="7AF0234E" w14:textId="77777777" w:rsidR="00E77A30" w:rsidRPr="00AC3B31" w:rsidRDefault="00E77A30" w:rsidP="00B76023">
      <w:pPr>
        <w:pStyle w:val="BodyText"/>
      </w:pPr>
      <w:r w:rsidRPr="00AC3B31">
        <w:rPr>
          <w:noProof/>
        </w:rPr>
        <w:drawing>
          <wp:inline distT="0" distB="0" distL="0" distR="0" wp14:anchorId="72C9D4CF" wp14:editId="43F607E7">
            <wp:extent cx="5508346" cy="1340599"/>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04958" cy="1339774"/>
                    </a:xfrm>
                    <a:prstGeom prst="rect">
                      <a:avLst/>
                    </a:prstGeom>
                  </pic:spPr>
                </pic:pic>
              </a:graphicData>
            </a:graphic>
          </wp:inline>
        </w:drawing>
      </w:r>
    </w:p>
    <w:p w14:paraId="6987582D" w14:textId="77777777" w:rsidR="00E77A30" w:rsidRDefault="00E77A30" w:rsidP="00B76023">
      <w:pPr>
        <w:pStyle w:val="BodyText"/>
      </w:pPr>
      <w:r>
        <w:t>All the facts in this set forms a Block and that Block, as we have said, is made up of one concept arrangement pattern.  In this case the pattern is that of a roll forward, rather than that of a roll up which was shown in the first example.</w:t>
      </w:r>
    </w:p>
    <w:p w14:paraId="084EA578" w14:textId="77777777" w:rsidR="00E77A30" w:rsidRPr="00AC3B31" w:rsidRDefault="00E77A30" w:rsidP="00B76023">
      <w:pPr>
        <w:pStyle w:val="BodyText"/>
      </w:pPr>
      <w:r>
        <w:t>A roll forward does not have a total.  It may look like a total to the untrained eye, but rather than totaling a set of facts, a roll forward reconciles a fact between two periods for the changes between the two periods.  The concept used to describe the fact used to represent the beginning and ending balance is the same for a roll forward; but the period of the concept is different for the beginning and ending balances. It would make no sense to have a third period for one roll forward.  It would likewise make no sense to have the concept “Land” as a participant of the changes that are being represented by this roll forward.</w:t>
      </w:r>
    </w:p>
    <w:p w14:paraId="4C2EAE61" w14:textId="77777777" w:rsidR="00E77A30" w:rsidRDefault="00E77A30" w:rsidP="00B76023">
      <w:pPr>
        <w:pStyle w:val="BodyText"/>
      </w:pPr>
      <w:r>
        <w:t>Further, consider the third example below.  The fragment of a financial report shown below consists of two Blocks.  The first block “Restructuring Reserve [Roll Forward]” is a roll forward and the second Block “Restructuring Reserve [Roll Up]” is a roll up.</w:t>
      </w:r>
    </w:p>
    <w:p w14:paraId="35E4AB83" w14:textId="77777777" w:rsidR="00E77A30" w:rsidRPr="00AC3B31" w:rsidRDefault="00E77A30" w:rsidP="00B76023">
      <w:pPr>
        <w:pStyle w:val="BodyText"/>
      </w:pPr>
      <w:r>
        <w:t>As was said, Blocks share the same concept arrangement pattern.  The concept arrangement pattern is shown in the line items or rows on the left.  Notice though that both Blocks share the same member arrangement pattern.  The [Member]s of an [Axis] form patterns also.  What you see below is the “Restructuring Type [Axis]” being used to detail the [Member]s “Facility Closing [Member]”, “Severance [Member]”, and the total “All Restructuring Types [Domain]”.  That member arrangement pattern is applicable to both the roll forward and roll up which are provided.</w:t>
      </w:r>
    </w:p>
    <w:p w14:paraId="20948620" w14:textId="77777777" w:rsidR="00E77A30" w:rsidRPr="00AC3B31" w:rsidRDefault="00E77A30" w:rsidP="00B76023">
      <w:pPr>
        <w:pStyle w:val="BodyText"/>
      </w:pPr>
      <w:r w:rsidRPr="00AC3B31">
        <w:rPr>
          <w:noProof/>
        </w:rPr>
        <w:lastRenderedPageBreak/>
        <w:drawing>
          <wp:inline distT="0" distB="0" distL="0" distR="0" wp14:anchorId="509A08C0" wp14:editId="404E93CD">
            <wp:extent cx="5486400" cy="2011094"/>
            <wp:effectExtent l="0" t="0" r="0" b="8255"/>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3269" cy="2009946"/>
                    </a:xfrm>
                    <a:prstGeom prst="rect">
                      <a:avLst/>
                    </a:prstGeom>
                  </pic:spPr>
                </pic:pic>
              </a:graphicData>
            </a:graphic>
          </wp:inline>
        </w:drawing>
      </w:r>
    </w:p>
    <w:p w14:paraId="7CEA42AD" w14:textId="77777777" w:rsidR="00E77A30" w:rsidRPr="00AC3B31" w:rsidRDefault="00E77A30" w:rsidP="00B76023">
      <w:pPr>
        <w:pStyle w:val="BodyText"/>
      </w:pPr>
      <w:r w:rsidRPr="00AC3B31">
        <w:t xml:space="preserve">In order to maintain a one-to-one correlation between a piece of the report and the concept arrangement pattern used to represent the piece of the report, the notion of the </w:t>
      </w:r>
      <w:r w:rsidRPr="00AC3B31">
        <w:rPr>
          <w:i/>
        </w:rPr>
        <w:t>block</w:t>
      </w:r>
      <w:r w:rsidRPr="00AC3B31">
        <w:t xml:space="preserve"> is used.</w:t>
      </w:r>
      <w:r>
        <w:t xml:space="preserve">  By doing so you can talk about or work with the roll forward at the top or the roll up at the bottom as unique objects.</w:t>
      </w:r>
    </w:p>
    <w:p w14:paraId="420CEADF" w14:textId="77777777" w:rsidR="00E77A30" w:rsidRPr="00AC3B31" w:rsidRDefault="00E77A30" w:rsidP="00B76023">
      <w:pPr>
        <w:pStyle w:val="BodyText"/>
      </w:pPr>
      <w:r w:rsidRPr="00AC3B31">
        <w:t xml:space="preserve">By thinking of the one </w:t>
      </w:r>
      <w:r>
        <w:t>report fragment</w:t>
      </w:r>
      <w:r w:rsidRPr="00AC3B31">
        <w:t xml:space="preserve"> as two blocks, each with a </w:t>
      </w:r>
      <w:r>
        <w:t xml:space="preserve">unique identifiable concept arrangement pattern and specific member arrangement pattern; </w:t>
      </w:r>
      <w:r w:rsidRPr="00AC3B31">
        <w:t xml:space="preserve">software can </w:t>
      </w:r>
      <w:r>
        <w:t xml:space="preserve">be created which </w:t>
      </w:r>
      <w:r w:rsidRPr="00AC3B31">
        <w:t>help</w:t>
      </w:r>
      <w:r>
        <w:t>s</w:t>
      </w:r>
      <w:r w:rsidRPr="00AC3B31">
        <w:t xml:space="preserve"> business professionals using and creating the information </w:t>
      </w:r>
      <w:r>
        <w:t>contained within a digital financial report</w:t>
      </w:r>
      <w:r w:rsidRPr="00AC3B31">
        <w:t>.</w:t>
      </w:r>
    </w:p>
    <w:p w14:paraId="049B48F4" w14:textId="77777777" w:rsidR="00E77A30" w:rsidRPr="00AC3B31" w:rsidRDefault="00E77A30" w:rsidP="00B76023">
      <w:pPr>
        <w:pStyle w:val="BodyText"/>
      </w:pPr>
      <w:r w:rsidRPr="00AC3B31">
        <w:t>Accountants have the option of combining</w:t>
      </w:r>
      <w:r>
        <w:t xml:space="preserve"> and presenting</w:t>
      </w:r>
      <w:r w:rsidRPr="00AC3B31">
        <w:t xml:space="preserve"> information in different ways when they want to </w:t>
      </w:r>
      <w:r>
        <w:t xml:space="preserve">providing </w:t>
      </w:r>
      <w:r w:rsidRPr="00AC3B31">
        <w:t xml:space="preserve">disclosures.  But </w:t>
      </w:r>
      <w:r>
        <w:t>accountants</w:t>
      </w:r>
      <w:r w:rsidRPr="00AC3B31">
        <w:t xml:space="preserve"> have far fewer options when it comes to representing the information in logical, sensible, and mathematically </w:t>
      </w:r>
      <w:r>
        <w:t xml:space="preserve">and mechanically </w:t>
      </w:r>
      <w:r w:rsidRPr="00AC3B31">
        <w:t>correct ways.</w:t>
      </w:r>
    </w:p>
    <w:p w14:paraId="544A673F" w14:textId="77777777" w:rsidR="00E77A30" w:rsidRPr="00AC3B31" w:rsidRDefault="00E77A30" w:rsidP="00B76023">
      <w:pPr>
        <w:pStyle w:val="BodyText"/>
      </w:pPr>
      <w:r w:rsidRPr="00AC3B31">
        <w:t>Not understanding the information makes it harder to create and harder to use the information</w:t>
      </w:r>
      <w:r>
        <w:t xml:space="preserve"> because accountants have to work with lower-level pieces which are more technical in nature and therefore harder for business professionals to work with</w:t>
      </w:r>
      <w:r w:rsidRPr="00AC3B31">
        <w:t>.</w:t>
      </w:r>
    </w:p>
    <w:p w14:paraId="4567B4FA" w14:textId="77777777" w:rsidR="00E77A30" w:rsidRPr="00AC3B31" w:rsidRDefault="00E77A30" w:rsidP="00B76023">
      <w:pPr>
        <w:pStyle w:val="BodyText"/>
      </w:pPr>
      <w:r>
        <w:t>We will provide one final example in this section to help solidify the notion of a Block.</w:t>
      </w:r>
      <w:r w:rsidRPr="00AC3B31">
        <w:t xml:space="preserve">  Below you see four blocks: the first two are [Roll Forward]s, the third a [Roll Up], and the fourth a [Hierarchy].  The two [Roll Forward]s are connected to the [Roll Up], the ending balances of the [Roll Forward]s are the items which are being rolled up in the [Roll Up].  Because the information is represented correctly and because the rendering engine which produced the renderings from the machine-readable representation</w:t>
      </w:r>
      <w:r>
        <w:t xml:space="preserve"> understands the notion of a Block</w:t>
      </w:r>
      <w:r w:rsidRPr="00AC3B31">
        <w:t xml:space="preserve">, the information is easy </w:t>
      </w:r>
      <w:r>
        <w:t xml:space="preserve">for both a machine reading the information or for a human reading the information </w:t>
      </w:r>
      <w:r w:rsidRPr="00AC3B31">
        <w:t>to understand.</w:t>
      </w:r>
    </w:p>
    <w:p w14:paraId="3696B389" w14:textId="77777777" w:rsidR="00E77A30" w:rsidRPr="00AC3B31" w:rsidRDefault="00E77A30" w:rsidP="00B76023">
      <w:pPr>
        <w:pStyle w:val="BodyText"/>
      </w:pPr>
      <w:r w:rsidRPr="00AC3B31">
        <w:t xml:space="preserve">In addition to the concept arrangement patterns which show the organization of the [Line Items] (which are in the rows on the left of the rendering), the information is further distinguished using the </w:t>
      </w:r>
      <w:r w:rsidRPr="00AC3B31">
        <w:rPr>
          <w:i/>
        </w:rPr>
        <w:t>Defined Benefit Plan Category [Axis]</w:t>
      </w:r>
      <w:r w:rsidRPr="00AC3B31">
        <w:t>.</w:t>
      </w:r>
    </w:p>
    <w:p w14:paraId="4E726B01" w14:textId="77777777" w:rsidR="00E77A30" w:rsidRPr="00AC3B31" w:rsidRDefault="00E77A30" w:rsidP="00B76023">
      <w:pPr>
        <w:pStyle w:val="BodyText"/>
      </w:pPr>
      <w:r w:rsidRPr="00AC3B31">
        <w:t xml:space="preserve">A block is a combination of a </w:t>
      </w:r>
      <w:r w:rsidRPr="00AC3B31">
        <w:rPr>
          <w:i/>
        </w:rPr>
        <w:t>concept arrangement pattern</w:t>
      </w:r>
      <w:r w:rsidRPr="00AC3B31">
        <w:t xml:space="preserve"> and </w:t>
      </w:r>
      <w:r w:rsidRPr="00AC3B31">
        <w:rPr>
          <w:i/>
        </w:rPr>
        <w:t>member arrangement patterns</w:t>
      </w:r>
      <w:r w:rsidRPr="00AC3B31">
        <w:t xml:space="preserve"> which work together to distinguish reported facts.</w:t>
      </w:r>
    </w:p>
    <w:p w14:paraId="167FF635" w14:textId="77777777" w:rsidR="00E77A30" w:rsidRDefault="00E77A30" w:rsidP="00B76023">
      <w:pPr>
        <w:pStyle w:val="BodyText"/>
      </w:pPr>
      <w:r w:rsidRPr="00AC3B31">
        <w:rPr>
          <w:noProof/>
        </w:rPr>
        <w:lastRenderedPageBreak/>
        <w:drawing>
          <wp:inline distT="0" distB="0" distL="0" distR="0" wp14:anchorId="21890873" wp14:editId="2115E99D">
            <wp:extent cx="5457139" cy="3857894"/>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53782" cy="3855521"/>
                    </a:xfrm>
                    <a:prstGeom prst="rect">
                      <a:avLst/>
                    </a:prstGeom>
                  </pic:spPr>
                </pic:pic>
              </a:graphicData>
            </a:graphic>
          </wp:inline>
        </w:drawing>
      </w:r>
    </w:p>
    <w:p w14:paraId="461517DC" w14:textId="77777777" w:rsidR="00E77A30" w:rsidRPr="00AC3B31" w:rsidRDefault="00E77A30" w:rsidP="00B76023">
      <w:pPr>
        <w:pStyle w:val="BodyText"/>
      </w:pPr>
      <w:r>
        <w:t>Your understanding of Blocks will increase as we fill in more and more details of the conceptual model of a digital financial report.</w:t>
      </w:r>
    </w:p>
    <w:p w14:paraId="32412D23" w14:textId="77777777" w:rsidR="00E77A30" w:rsidRPr="00AC3B31" w:rsidRDefault="00E77A30" w:rsidP="004F2299">
      <w:pPr>
        <w:pStyle w:val="Heading2"/>
      </w:pPr>
      <w:bookmarkStart w:id="5" w:name="_Toc418919788"/>
      <w:bookmarkStart w:id="6" w:name="_Toc418919762"/>
      <w:r>
        <w:t>Understanding the notion of i</w:t>
      </w:r>
      <w:r w:rsidRPr="00AC3B31">
        <w:t>ntersections</w:t>
      </w:r>
      <w:bookmarkEnd w:id="5"/>
    </w:p>
    <w:p w14:paraId="096D65DE" w14:textId="77777777" w:rsidR="00E77A30" w:rsidRPr="00AC3B31" w:rsidRDefault="00E77A30" w:rsidP="004F2299">
      <w:pPr>
        <w:pStyle w:val="BodyText"/>
        <w:rPr>
          <w:lang w:val="en"/>
        </w:rPr>
      </w:pPr>
      <w:r w:rsidRPr="00AC3B31">
        <w:rPr>
          <w:lang w:val="en"/>
        </w:rPr>
        <w:t>A financial report contains facts, those facts are organized within components</w:t>
      </w:r>
      <w:r>
        <w:rPr>
          <w:lang w:val="en"/>
        </w:rPr>
        <w:t xml:space="preserve"> which are than organized into blocks</w:t>
      </w:r>
      <w:r w:rsidRPr="00AC3B31">
        <w:rPr>
          <w:lang w:val="en"/>
        </w:rPr>
        <w:t>, and facts can exist within multiple components</w:t>
      </w:r>
      <w:r>
        <w:rPr>
          <w:lang w:val="en"/>
        </w:rPr>
        <w:t>/blocks</w:t>
      </w:r>
      <w:r w:rsidRPr="00AC3B31">
        <w:rPr>
          <w:lang w:val="en"/>
        </w:rPr>
        <w:t>.  For example, consider this balance sheet fragment and the related disclosure of property, plant, and equipment which shows one fact shown in two components</w:t>
      </w:r>
      <w:r>
        <w:rPr>
          <w:lang w:val="en"/>
        </w:rPr>
        <w:t>/blocks</w:t>
      </w:r>
      <w:r w:rsidRPr="00AC3B31">
        <w:rPr>
          <w:lang w:val="en"/>
        </w:rPr>
        <w:t>:</w:t>
      </w:r>
    </w:p>
    <w:p w14:paraId="44E9BA6F" w14:textId="77777777" w:rsidR="00E77A30" w:rsidRPr="00AC3B31" w:rsidRDefault="00E77A30" w:rsidP="004F2299">
      <w:pPr>
        <w:pStyle w:val="BodyText"/>
      </w:pPr>
      <w:r w:rsidRPr="00AC3B31">
        <w:rPr>
          <w:noProof/>
        </w:rPr>
        <w:lastRenderedPageBreak/>
        <w:drawing>
          <wp:inline distT="0" distB="0" distL="0" distR="0" wp14:anchorId="60AFEA99" wp14:editId="57C7E31F">
            <wp:extent cx="3257550" cy="344883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5428" cy="3467758"/>
                    </a:xfrm>
                    <a:prstGeom prst="rect">
                      <a:avLst/>
                    </a:prstGeom>
                    <a:noFill/>
                    <a:ln>
                      <a:noFill/>
                    </a:ln>
                  </pic:spPr>
                </pic:pic>
              </a:graphicData>
            </a:graphic>
          </wp:inline>
        </w:drawing>
      </w:r>
    </w:p>
    <w:p w14:paraId="55A2046C" w14:textId="77777777" w:rsidR="00E77A30" w:rsidRPr="00AC3B31" w:rsidRDefault="00E77A30" w:rsidP="004F2299">
      <w:pPr>
        <w:pStyle w:val="BodyText"/>
        <w:rPr>
          <w:lang w:val="en"/>
        </w:rPr>
      </w:pPr>
      <w:r w:rsidRPr="00AC3B31">
        <w:rPr>
          <w:lang w:val="en"/>
        </w:rPr>
        <w:t>Contrast the balance sheet to the disclosure below which shows the property, plant, and equipment breakdown:</w:t>
      </w:r>
    </w:p>
    <w:p w14:paraId="439083BE" w14:textId="77777777" w:rsidR="00E77A30" w:rsidRPr="00AC3B31" w:rsidRDefault="00E77A30" w:rsidP="004F2299">
      <w:pPr>
        <w:pStyle w:val="BodyText"/>
      </w:pPr>
      <w:r w:rsidRPr="00AC3B31">
        <w:rPr>
          <w:noProof/>
        </w:rPr>
        <w:drawing>
          <wp:inline distT="0" distB="0" distL="0" distR="0" wp14:anchorId="2A60F98D" wp14:editId="65524F2B">
            <wp:extent cx="5448300" cy="2345456"/>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7291" cy="2353631"/>
                    </a:xfrm>
                    <a:prstGeom prst="rect">
                      <a:avLst/>
                    </a:prstGeom>
                    <a:noFill/>
                    <a:ln>
                      <a:noFill/>
                    </a:ln>
                  </pic:spPr>
                </pic:pic>
              </a:graphicData>
            </a:graphic>
          </wp:inline>
        </w:drawing>
      </w:r>
    </w:p>
    <w:p w14:paraId="1A1AE811" w14:textId="77777777" w:rsidR="00E77A30" w:rsidRPr="00AC3B31" w:rsidRDefault="00E77A30" w:rsidP="004F2299">
      <w:pPr>
        <w:pStyle w:val="BodyText"/>
        <w:rPr>
          <w:lang w:val="en"/>
        </w:rPr>
      </w:pPr>
      <w:r w:rsidRPr="00AC3B31">
        <w:rPr>
          <w:lang w:val="en"/>
        </w:rPr>
        <w:t>The fact is the same.  In both cases the fact is “property, plant, and equipment, net” which has the value 82,000,000.  However the characteristics which describe the fact are different.  On the balance sheet, there is no property, plant and equipment type [Axis], but in the disclosure there is.  This is because the component which represents the disclosure needs to be able to differentiate the concepts.</w:t>
      </w:r>
    </w:p>
    <w:p w14:paraId="15459810" w14:textId="77777777" w:rsidR="00E77A30" w:rsidRPr="00AC3B31" w:rsidRDefault="00E77A30" w:rsidP="004F2299">
      <w:pPr>
        <w:pStyle w:val="BodyText"/>
      </w:pPr>
      <w:r w:rsidRPr="00AC3B31">
        <w:rPr>
          <w:lang w:val="en"/>
        </w:rPr>
        <w:lastRenderedPageBreak/>
        <w:t>It is challenging to show</w:t>
      </w:r>
      <w:r w:rsidRPr="00AC3B31">
        <w:rPr>
          <w:vertAlign w:val="superscript"/>
        </w:rPr>
        <w:footnoteReference w:id="5"/>
      </w:r>
      <w:r w:rsidRPr="00AC3B31">
        <w:t xml:space="preserve"> </w:t>
      </w:r>
      <w:r w:rsidRPr="00AC3B31">
        <w:rPr>
          <w:lang w:val="en"/>
        </w:rPr>
        <w:t>the notion of an intersection and how useful it is in software applications without using software.  This is best experienced to be fully appreciated.</w:t>
      </w:r>
    </w:p>
    <w:p w14:paraId="29E76705" w14:textId="77777777" w:rsidR="00E77A30" w:rsidRPr="00AC3B31" w:rsidRDefault="00E77A30" w:rsidP="00D143FD">
      <w:pPr>
        <w:pStyle w:val="BodyText"/>
        <w:ind w:left="720"/>
        <w:rPr>
          <w:lang w:val="en-GB"/>
        </w:rPr>
      </w:pPr>
      <w:r w:rsidRPr="00D143FD">
        <w:rPr>
          <w:highlight w:val="lightGray"/>
          <w:lang w:val="en-GB"/>
        </w:rPr>
        <w:t>HINT: A good way to view intersections is using the free XBRL Cloud Viewer.</w:t>
      </w:r>
    </w:p>
    <w:p w14:paraId="2D67F00D" w14:textId="77777777" w:rsidR="00E77A30" w:rsidRDefault="00E77A30" w:rsidP="004F2299">
      <w:pPr>
        <w:pStyle w:val="BodyText"/>
        <w:rPr>
          <w:lang w:val="en"/>
        </w:rPr>
      </w:pPr>
      <w:r w:rsidRPr="00AC3B31">
        <w:rPr>
          <w:lang w:val="en"/>
        </w:rPr>
        <w:t>An intersection is where a fact in one component</w:t>
      </w:r>
      <w:r>
        <w:rPr>
          <w:lang w:val="en"/>
        </w:rPr>
        <w:t>/block</w:t>
      </w:r>
      <w:r w:rsidRPr="00AC3B31">
        <w:rPr>
          <w:lang w:val="en"/>
        </w:rPr>
        <w:t xml:space="preserve"> also exists in another component</w:t>
      </w:r>
      <w:r>
        <w:rPr>
          <w:lang w:val="en"/>
        </w:rPr>
        <w:t>/block</w:t>
      </w:r>
      <w:r w:rsidRPr="00AC3B31">
        <w:rPr>
          <w:lang w:val="en"/>
        </w:rPr>
        <w:t xml:space="preserve"> creating in essence a link between the two components, an intersection.</w:t>
      </w:r>
    </w:p>
    <w:p w14:paraId="0770F645" w14:textId="77777777" w:rsidR="00E77A30" w:rsidRPr="00AC3B31" w:rsidRDefault="00E77A30" w:rsidP="00D143FD">
      <w:pPr>
        <w:pStyle w:val="BodyText"/>
        <w:ind w:left="720"/>
        <w:rPr>
          <w:lang w:val="en"/>
        </w:rPr>
      </w:pPr>
      <w:r w:rsidRPr="00D143FD">
        <w:rPr>
          <w:highlight w:val="lightGray"/>
          <w:lang w:val="en"/>
        </w:rPr>
        <w:t>HINT: Note that the actual fact exists only once physically, but XBRL Dimensions syntax rules work in such a manner that the fact exists virtually in two or more components/blocks.</w:t>
      </w:r>
    </w:p>
    <w:p w14:paraId="13A47CDA" w14:textId="77777777" w:rsidR="00E77A30" w:rsidRPr="00AC3B31" w:rsidRDefault="00E77A30" w:rsidP="00B76023">
      <w:pPr>
        <w:pStyle w:val="Heading2"/>
      </w:pPr>
      <w:r w:rsidRPr="00AC3B31">
        <w:t xml:space="preserve">Realizing that creating a financial report is about </w:t>
      </w:r>
      <w:r>
        <w:t>organizing blocks and adding things to blocks using slots</w:t>
      </w:r>
      <w:bookmarkEnd w:id="6"/>
    </w:p>
    <w:p w14:paraId="28566B1F" w14:textId="77777777" w:rsidR="00E77A30" w:rsidRPr="00AC3B31" w:rsidRDefault="00E77A30" w:rsidP="00B76023">
      <w:pPr>
        <w:pStyle w:val="BodyText"/>
        <w:rPr>
          <w:lang w:val="en"/>
        </w:rPr>
      </w:pPr>
      <w:r>
        <w:rPr>
          <w:lang w:val="en"/>
        </w:rPr>
        <w:t>T</w:t>
      </w:r>
      <w:r w:rsidRPr="00AC3B31">
        <w:rPr>
          <w:lang w:val="en"/>
        </w:rPr>
        <w:t xml:space="preserve">he structural pieces which make up a </w:t>
      </w:r>
      <w:r>
        <w:rPr>
          <w:lang w:val="en"/>
        </w:rPr>
        <w:t xml:space="preserve">digital </w:t>
      </w:r>
      <w:r w:rsidRPr="00AC3B31">
        <w:rPr>
          <w:lang w:val="en"/>
        </w:rPr>
        <w:t xml:space="preserve">financial report can be grouped into </w:t>
      </w:r>
      <w:r>
        <w:rPr>
          <w:lang w:val="en"/>
        </w:rPr>
        <w:t xml:space="preserve">high-level types or </w:t>
      </w:r>
      <w:r w:rsidRPr="00AC3B31">
        <w:rPr>
          <w:lang w:val="en"/>
        </w:rPr>
        <w:t xml:space="preserve">classes.  No new </w:t>
      </w:r>
      <w:r>
        <w:rPr>
          <w:lang w:val="en"/>
        </w:rPr>
        <w:t xml:space="preserve">high-level types or </w:t>
      </w:r>
      <w:r w:rsidRPr="00AC3B31">
        <w:rPr>
          <w:lang w:val="en"/>
        </w:rPr>
        <w:t xml:space="preserve">classes can be added, you may only use existing </w:t>
      </w:r>
      <w:r>
        <w:rPr>
          <w:lang w:val="en"/>
        </w:rPr>
        <w:t xml:space="preserve">high-level types or </w:t>
      </w:r>
      <w:r w:rsidRPr="00AC3B31">
        <w:rPr>
          <w:lang w:val="en"/>
        </w:rPr>
        <w:t xml:space="preserve">classes.  </w:t>
      </w:r>
      <w:r>
        <w:rPr>
          <w:lang w:val="en"/>
        </w:rPr>
        <w:t>These high-level types or c</w:t>
      </w:r>
      <w:r w:rsidRPr="00AC3B31">
        <w:rPr>
          <w:lang w:val="en"/>
        </w:rPr>
        <w:t xml:space="preserve">lasses may never be redefined; you cannot arbitrarily change the meaning of a </w:t>
      </w:r>
      <w:r>
        <w:rPr>
          <w:lang w:val="en"/>
        </w:rPr>
        <w:t xml:space="preserve">type or </w:t>
      </w:r>
      <w:r w:rsidRPr="00AC3B31">
        <w:rPr>
          <w:lang w:val="en"/>
        </w:rPr>
        <w:t xml:space="preserve">class.  However, </w:t>
      </w:r>
      <w:r>
        <w:rPr>
          <w:lang w:val="en"/>
        </w:rPr>
        <w:t xml:space="preserve">sub-types or </w:t>
      </w:r>
      <w:r w:rsidRPr="00AC3B31">
        <w:rPr>
          <w:lang w:val="en"/>
        </w:rPr>
        <w:t xml:space="preserve">subclasses can be </w:t>
      </w:r>
      <w:r>
        <w:rPr>
          <w:lang w:val="en"/>
        </w:rPr>
        <w:t xml:space="preserve">created and </w:t>
      </w:r>
      <w:r w:rsidRPr="00AC3B31">
        <w:rPr>
          <w:lang w:val="en"/>
        </w:rPr>
        <w:t xml:space="preserve">added and identified as being associated with one of those existing </w:t>
      </w:r>
      <w:r>
        <w:rPr>
          <w:lang w:val="en"/>
        </w:rPr>
        <w:t xml:space="preserve">high-level </w:t>
      </w:r>
      <w:r w:rsidRPr="00AC3B31">
        <w:rPr>
          <w:lang w:val="en"/>
        </w:rPr>
        <w:t xml:space="preserve">classes of things.  But </w:t>
      </w:r>
      <w:r>
        <w:rPr>
          <w:lang w:val="en"/>
        </w:rPr>
        <w:t>sub-types/</w:t>
      </w:r>
      <w:r w:rsidRPr="00AC3B31">
        <w:rPr>
          <w:lang w:val="en"/>
        </w:rPr>
        <w:t xml:space="preserve">subclasses can only be added as specified by the system.  Individuals can be created and specified as being a member of one </w:t>
      </w:r>
      <w:r>
        <w:rPr>
          <w:lang w:val="en"/>
        </w:rPr>
        <w:t>type/</w:t>
      </w:r>
      <w:r w:rsidRPr="00AC3B31">
        <w:rPr>
          <w:lang w:val="en"/>
        </w:rPr>
        <w:t xml:space="preserve">class or another, you </w:t>
      </w:r>
      <w:r>
        <w:rPr>
          <w:lang w:val="en"/>
        </w:rPr>
        <w:t>simply</w:t>
      </w:r>
      <w:r w:rsidRPr="00AC3B31">
        <w:rPr>
          <w:lang w:val="en"/>
        </w:rPr>
        <w:t xml:space="preserve"> cannot create an individual which is associated with nothing or which is two things at the same time.</w:t>
      </w:r>
    </w:p>
    <w:p w14:paraId="16585962" w14:textId="77777777" w:rsidR="00E77A30" w:rsidRPr="00AC3B31" w:rsidRDefault="00E77A30" w:rsidP="00B76023">
      <w:pPr>
        <w:pStyle w:val="BodyText"/>
        <w:rPr>
          <w:lang w:val="en"/>
        </w:rPr>
      </w:pPr>
      <w:r w:rsidRPr="00AC3B31">
        <w:rPr>
          <w:lang w:val="en"/>
        </w:rPr>
        <w:t>And so:</w:t>
      </w:r>
    </w:p>
    <w:p w14:paraId="5669C543" w14:textId="77777777" w:rsidR="00E77A30" w:rsidRPr="00AC3B31" w:rsidRDefault="00E77A30" w:rsidP="00E77A30">
      <w:pPr>
        <w:pStyle w:val="BodyText"/>
        <w:numPr>
          <w:ilvl w:val="0"/>
          <w:numId w:val="3"/>
        </w:numPr>
        <w:rPr>
          <w:lang w:val="en"/>
        </w:rPr>
      </w:pPr>
      <w:r w:rsidRPr="00AC3B31">
        <w:rPr>
          <w:b/>
          <w:bCs/>
          <w:lang w:val="en"/>
        </w:rPr>
        <w:t>Adding new economic/accounting entities</w:t>
      </w:r>
      <w:r>
        <w:rPr>
          <w:lang w:val="en"/>
        </w:rPr>
        <w:t>:</w:t>
      </w:r>
      <w:r w:rsidRPr="00AC3B31">
        <w:rPr>
          <w:lang w:val="en"/>
        </w:rPr>
        <w:t xml:space="preserve"> An economic/accounting or reporting entity is created by creating a new instance of identifier.  For example the CIK number of a public company which reports to the SEC.</w:t>
      </w:r>
    </w:p>
    <w:p w14:paraId="32C1922D" w14:textId="77777777" w:rsidR="00E77A30" w:rsidRPr="00AC3B31" w:rsidRDefault="00E77A30" w:rsidP="00E77A30">
      <w:pPr>
        <w:pStyle w:val="BodyText"/>
        <w:numPr>
          <w:ilvl w:val="0"/>
          <w:numId w:val="3"/>
        </w:numPr>
        <w:rPr>
          <w:lang w:val="en"/>
        </w:rPr>
      </w:pPr>
      <w:r w:rsidRPr="00AC3B31">
        <w:rPr>
          <w:b/>
          <w:bCs/>
          <w:lang w:val="en"/>
        </w:rPr>
        <w:t>Adding new report</w:t>
      </w:r>
      <w:r>
        <w:rPr>
          <w:lang w:val="en"/>
        </w:rPr>
        <w:t xml:space="preserve">: </w:t>
      </w:r>
      <w:r w:rsidRPr="00AC3B31">
        <w:rPr>
          <w:lang w:val="en"/>
        </w:rPr>
        <w:t xml:space="preserve">A new report is created by creating a new report instance.  For example, Microsoft submits a new financial report </w:t>
      </w:r>
      <w:r>
        <w:rPr>
          <w:lang w:val="en"/>
        </w:rPr>
        <w:t xml:space="preserve">in order to report information for </w:t>
      </w:r>
      <w:r w:rsidRPr="00AC3B31">
        <w:rPr>
          <w:lang w:val="en"/>
        </w:rPr>
        <w:t>fiscal year ended 2014.</w:t>
      </w:r>
    </w:p>
    <w:p w14:paraId="4711A555" w14:textId="77777777" w:rsidR="00E77A30" w:rsidRPr="00AC3B31" w:rsidRDefault="00E77A30" w:rsidP="00E77A30">
      <w:pPr>
        <w:pStyle w:val="BodyText"/>
        <w:numPr>
          <w:ilvl w:val="0"/>
          <w:numId w:val="3"/>
        </w:numPr>
        <w:rPr>
          <w:lang w:val="en"/>
        </w:rPr>
      </w:pPr>
      <w:r w:rsidRPr="00AC3B31">
        <w:rPr>
          <w:b/>
          <w:bCs/>
          <w:lang w:val="en"/>
        </w:rPr>
        <w:t>Adding a new characteristic:</w:t>
      </w:r>
      <w:r>
        <w:rPr>
          <w:lang w:val="en"/>
        </w:rPr>
        <w:t xml:space="preserve"> </w:t>
      </w:r>
      <w:r w:rsidRPr="00AC3B31">
        <w:rPr>
          <w:lang w:val="en"/>
        </w:rPr>
        <w:t>A new characteristic can be added but the characteristic MUST be distinguished as being either a "whole-part" or "is-a" type of relation or some existing subclass of existing relations (which must be one of those two). For example, Microsoft uses the existing characteris</w:t>
      </w:r>
      <w:r>
        <w:rPr>
          <w:lang w:val="en"/>
        </w:rPr>
        <w:t xml:space="preserve">tic “Legal Entity [Axis]” </w:t>
      </w:r>
      <w:r w:rsidRPr="00AC3B31">
        <w:rPr>
          <w:lang w:val="en"/>
        </w:rPr>
        <w:t>or Microsoft creates the characteristic “Tax Entity [Axis]” and distinguishes that characteristic as being a “whole-part” type of relation.</w:t>
      </w:r>
    </w:p>
    <w:p w14:paraId="0B0097AE" w14:textId="77777777" w:rsidR="00E77A30" w:rsidRPr="00AC3B31" w:rsidRDefault="00E77A30" w:rsidP="00E77A30">
      <w:pPr>
        <w:pStyle w:val="BodyText"/>
        <w:numPr>
          <w:ilvl w:val="0"/>
          <w:numId w:val="3"/>
        </w:numPr>
        <w:rPr>
          <w:lang w:val="en"/>
        </w:rPr>
      </w:pPr>
      <w:r w:rsidRPr="00AC3B31">
        <w:rPr>
          <w:b/>
          <w:bCs/>
          <w:lang w:val="en"/>
        </w:rPr>
        <w:t>Adding new concept characteristic:</w:t>
      </w:r>
      <w:r>
        <w:rPr>
          <w:lang w:val="en"/>
        </w:rPr>
        <w:t xml:space="preserve"> </w:t>
      </w:r>
      <w:r w:rsidRPr="00AC3B31">
        <w:rPr>
          <w:lang w:val="en"/>
        </w:rPr>
        <w:t>A new concept can be added but the concept MUST be distinguished as being a subclass of some existing concept or distinguished as being a new type of class (if that is allowed).  For example, Microsoft might add a new concept to its balance sheet such as "Ultra-tangible asset"; however it MUST NOT break the rules of a "roll up" because a balance sheet is a roll up. Further, the added concept MUST be identified as a subclass of something that exists on a balance sheet which can contain ONLY assets, liabilities, or equity.</w:t>
      </w:r>
    </w:p>
    <w:p w14:paraId="30C7B3F8" w14:textId="77777777" w:rsidR="00E77A30" w:rsidRPr="00AC3B31" w:rsidRDefault="00E77A30" w:rsidP="00E77A30">
      <w:pPr>
        <w:pStyle w:val="BodyText"/>
        <w:numPr>
          <w:ilvl w:val="0"/>
          <w:numId w:val="3"/>
        </w:numPr>
        <w:rPr>
          <w:lang w:val="en"/>
        </w:rPr>
      </w:pPr>
      <w:r w:rsidRPr="00AC3B31">
        <w:rPr>
          <w:b/>
          <w:bCs/>
          <w:lang w:val="en"/>
        </w:rPr>
        <w:lastRenderedPageBreak/>
        <w:t>Adding new disclosure (component or block):</w:t>
      </w:r>
      <w:r>
        <w:rPr>
          <w:lang w:val="en"/>
        </w:rPr>
        <w:t xml:space="preserve"> </w:t>
      </w:r>
      <w:r w:rsidRPr="00AC3B31">
        <w:rPr>
          <w:lang w:val="en"/>
        </w:rPr>
        <w:t>A disclosure is in essence a set of facts which must be disclosed.  A set of facts is represented as a component and that component might have one or many blocks.  To add a new disclosure, a reporting entity simply creates a new component and/or block individual.  That individual of the class component MUST be (i.e. follow) the relations patterns of the existing component which the individual is a member of. For example, if Microsoft creates a “balance sheet” individual, it must associate that individual with the existing class “balance sheet” and therefore must follow the relation rules of a roll up because the existing component “balance sheet” is a roll up.  Why?  Because a balance sheet is a roll up, it is not ever a roll forward.  Now, a reporting entity could also, if they desired, create a new subclass of “balance sheet” called “my balance sheet” and associate it with the class “balance sheet”.  Or, a company could create an entirely new disclosure such as “cash and cash equivalents by county”, associate that disclosure not with some existing disclosure but rather with the root class “component” and then provide a completely new disclosure.  However, what the reporting entity may NOT do is create some new relations pattern, it must use existing relations patterns (i.e. no new relation patterns can be added).  Basically, any individual MUST follow the rules as must any new class.</w:t>
      </w:r>
    </w:p>
    <w:p w14:paraId="78500F0D" w14:textId="77777777" w:rsidR="00E77A30" w:rsidRPr="00AC3B31" w:rsidRDefault="00E77A30" w:rsidP="00E77A30">
      <w:pPr>
        <w:pStyle w:val="BodyText"/>
        <w:numPr>
          <w:ilvl w:val="0"/>
          <w:numId w:val="3"/>
        </w:numPr>
        <w:rPr>
          <w:lang w:val="en"/>
        </w:rPr>
      </w:pPr>
      <w:r w:rsidRPr="00AC3B31">
        <w:rPr>
          <w:b/>
          <w:bCs/>
          <w:lang w:val="en"/>
        </w:rPr>
        <w:t>Adding facts</w:t>
      </w:r>
      <w:r w:rsidRPr="00AC3B31">
        <w:rPr>
          <w:bCs/>
          <w:lang w:val="en"/>
        </w:rPr>
        <w:t>:</w:t>
      </w:r>
      <w:r>
        <w:rPr>
          <w:lang w:val="en"/>
        </w:rPr>
        <w:t xml:space="preserve">  </w:t>
      </w:r>
      <w:r w:rsidRPr="00AC3B31">
        <w:rPr>
          <w:lang w:val="en"/>
        </w:rPr>
        <w:t>A fact is always an individual.  Facts are put into blocks which go into components.  Facts are never “free floating in space”.  Every fact has distinguishing aspects to make them identifiable from other reported facts.  Facts are described by characteristics, exist within a report, and are reported by an economic/accounting entity.  For example, the accounting entity Microsoft might report the fact 1,000,000 which relates to the consolidated entity, to the current balance sheet date of December 31, 2014, be reported in US Dollars, and report the balance sheet line item Cash and cash equivalents.  That fact might be in the component balance sheet and has a relation between the concept Current assets in that it rolls up to that total.</w:t>
      </w:r>
    </w:p>
    <w:p w14:paraId="325E5D62" w14:textId="77777777" w:rsidR="00E77A30" w:rsidRPr="00AC3B31" w:rsidRDefault="00E77A30" w:rsidP="00E77A30">
      <w:pPr>
        <w:pStyle w:val="BodyText"/>
        <w:numPr>
          <w:ilvl w:val="0"/>
          <w:numId w:val="3"/>
        </w:numPr>
        <w:rPr>
          <w:lang w:val="en"/>
        </w:rPr>
      </w:pPr>
      <w:r w:rsidRPr="00AC3B31">
        <w:rPr>
          <w:b/>
          <w:bCs/>
          <w:lang w:val="en"/>
        </w:rPr>
        <w:t>Adding new properties</w:t>
      </w:r>
      <w:r w:rsidRPr="00AC3B31">
        <w:rPr>
          <w:lang w:val="en"/>
        </w:rPr>
        <w:t>: New properties MUST NEVER be added, XBRL-based financial filings to the SEC does not allow the addition of new properties, there is no "slot" available where new properties may be added.</w:t>
      </w:r>
      <w:r>
        <w:rPr>
          <w:lang w:val="en"/>
        </w:rPr>
        <w:t xml:space="preserve"> For example, a report element does have the property “balance type” (an XML Schema attribute); but a new attribute such as “my attribute” cannot be created and added.</w:t>
      </w:r>
    </w:p>
    <w:p w14:paraId="69315596" w14:textId="77777777" w:rsidR="00E77A30" w:rsidRPr="00AC3B31" w:rsidRDefault="00E77A30" w:rsidP="00B76023">
      <w:pPr>
        <w:pStyle w:val="BodyText"/>
        <w:rPr>
          <w:lang w:val="en"/>
        </w:rPr>
      </w:pPr>
      <w:r w:rsidRPr="00AC3B31">
        <w:rPr>
          <w:lang w:val="en"/>
        </w:rPr>
        <w:t xml:space="preserve">Different systems can have different rules for allowing new classes, </w:t>
      </w:r>
      <w:r>
        <w:rPr>
          <w:lang w:val="en"/>
        </w:rPr>
        <w:t>sub-types/</w:t>
      </w:r>
      <w:r w:rsidRPr="00AC3B31">
        <w:rPr>
          <w:lang w:val="en"/>
        </w:rPr>
        <w:t>subclasses, relations between classes, or properties. System boundaries can be extended by adding new relation patterns.  New relation patterns must be consciously and formally added in a controlled and coordinated manner only by system implementers before any new pattern is allowed to be used.  System boundaries can be extended by adding new classes or properties.  New classes and new properties must be consciously and formally added in a controlled and coordinated manner only.</w:t>
      </w:r>
    </w:p>
    <w:p w14:paraId="24AD454B" w14:textId="77777777" w:rsidR="00E77A30" w:rsidRPr="00AC3B31" w:rsidRDefault="00E77A30" w:rsidP="00B76023">
      <w:pPr>
        <w:pStyle w:val="Heading2"/>
      </w:pPr>
      <w:bookmarkStart w:id="7" w:name="_Toc418919763"/>
      <w:r w:rsidRPr="00AC3B31">
        <w:t>Understanding why adding new patterns is both rare and not a constraint</w:t>
      </w:r>
      <w:bookmarkEnd w:id="7"/>
    </w:p>
    <w:p w14:paraId="26481402" w14:textId="77777777" w:rsidR="00E77A30" w:rsidRDefault="00E77A30" w:rsidP="00B76023">
      <w:pPr>
        <w:pStyle w:val="BodyText"/>
        <w:rPr>
          <w:lang w:val="en"/>
        </w:rPr>
      </w:pPr>
      <w:r w:rsidRPr="00AC3B31">
        <w:rPr>
          <w:lang w:val="en"/>
        </w:rPr>
        <w:t xml:space="preserve">Adding new patterns is both rare and not a constraint.  While this notion might seem absurd or unintuitive, it is important to look at empirical evidence to understand why </w:t>
      </w:r>
      <w:r w:rsidRPr="00AC3B31">
        <w:rPr>
          <w:lang w:val="en"/>
        </w:rPr>
        <w:lastRenderedPageBreak/>
        <w:t>this is the case.</w:t>
      </w:r>
      <w:r>
        <w:rPr>
          <w:lang w:val="en"/>
        </w:rPr>
        <w:t xml:space="preserve"> Ultimately, a pattern can be identified for anything.  The real question is this: How wide-spread is the use of the pattern.</w:t>
      </w:r>
    </w:p>
    <w:p w14:paraId="36344853" w14:textId="77777777" w:rsidR="00E77A30" w:rsidRPr="00AC3B31" w:rsidRDefault="00E77A30" w:rsidP="00B76023">
      <w:pPr>
        <w:pStyle w:val="BodyText"/>
        <w:rPr>
          <w:lang w:val="en"/>
        </w:rPr>
      </w:pPr>
      <w:r>
        <w:rPr>
          <w:lang w:val="en"/>
        </w:rPr>
        <w:t>But this is not to say that a new pattern cannot be added.  The point here is to say that adding patterns is rare and it is a different process from using existing patterns.</w:t>
      </w:r>
    </w:p>
    <w:p w14:paraId="0EC76974" w14:textId="77777777" w:rsidR="00E77A30" w:rsidRPr="00AC3B31" w:rsidRDefault="00E77A30" w:rsidP="00B76023">
      <w:pPr>
        <w:pStyle w:val="BodyText"/>
        <w:rPr>
          <w:lang w:val="en"/>
        </w:rPr>
      </w:pPr>
      <w:r w:rsidRPr="00AC3B31">
        <w:rPr>
          <w:lang w:val="en"/>
        </w:rPr>
        <w:t xml:space="preserve">If one were to observe XBRL-based financial filings, one would realize that </w:t>
      </w:r>
      <w:r>
        <w:rPr>
          <w:lang w:val="en"/>
        </w:rPr>
        <w:t>100</w:t>
      </w:r>
      <w:r w:rsidRPr="00AC3B31">
        <w:rPr>
          <w:lang w:val="en"/>
        </w:rPr>
        <w:t xml:space="preserve">% of public company financial reports contain [Line Items] which contain concepts and abstracts which follow these </w:t>
      </w:r>
      <w:r w:rsidRPr="001E26E2">
        <w:rPr>
          <w:i/>
          <w:lang w:val="en"/>
        </w:rPr>
        <w:t>concept arrangement patterns</w:t>
      </w:r>
      <w:r w:rsidRPr="00AC3B31">
        <w:rPr>
          <w:lang w:val="en"/>
        </w:rPr>
        <w:t>:</w:t>
      </w:r>
    </w:p>
    <w:p w14:paraId="13253DB1" w14:textId="77777777" w:rsidR="00E77A30" w:rsidRPr="00AC3B31" w:rsidRDefault="00E77A30" w:rsidP="00E77A30">
      <w:pPr>
        <w:pStyle w:val="BodyText"/>
        <w:numPr>
          <w:ilvl w:val="0"/>
          <w:numId w:val="4"/>
        </w:numPr>
        <w:rPr>
          <w:b/>
          <w:lang w:val="en"/>
        </w:rPr>
      </w:pPr>
      <w:r w:rsidRPr="00AC3B31">
        <w:rPr>
          <w:b/>
          <w:lang w:val="en"/>
        </w:rPr>
        <w:t>Text block</w:t>
      </w:r>
    </w:p>
    <w:p w14:paraId="16BC6BC5" w14:textId="77777777" w:rsidR="00E77A30" w:rsidRPr="00AC3B31" w:rsidRDefault="00E77A30" w:rsidP="00E77A30">
      <w:pPr>
        <w:pStyle w:val="BodyText"/>
        <w:numPr>
          <w:ilvl w:val="1"/>
          <w:numId w:val="4"/>
        </w:numPr>
        <w:rPr>
          <w:lang w:val="en"/>
        </w:rPr>
      </w:pPr>
      <w:r w:rsidRPr="00AC3B31">
        <w:rPr>
          <w:lang w:val="en"/>
        </w:rPr>
        <w:t>Level 1 Note Level Text Block</w:t>
      </w:r>
    </w:p>
    <w:p w14:paraId="557F2E72" w14:textId="77777777" w:rsidR="00E77A30" w:rsidRPr="00AC3B31" w:rsidRDefault="00E77A30" w:rsidP="00E77A30">
      <w:pPr>
        <w:pStyle w:val="BodyText"/>
        <w:numPr>
          <w:ilvl w:val="1"/>
          <w:numId w:val="4"/>
        </w:numPr>
        <w:rPr>
          <w:lang w:val="en"/>
        </w:rPr>
      </w:pPr>
      <w:r w:rsidRPr="00AC3B31">
        <w:rPr>
          <w:lang w:val="en"/>
        </w:rPr>
        <w:t>Level 2 Policy Level Text Block</w:t>
      </w:r>
    </w:p>
    <w:p w14:paraId="0B25A901" w14:textId="77777777" w:rsidR="00E77A30" w:rsidRPr="00AC3B31" w:rsidRDefault="00E77A30" w:rsidP="00E77A30">
      <w:pPr>
        <w:pStyle w:val="BodyText"/>
        <w:numPr>
          <w:ilvl w:val="1"/>
          <w:numId w:val="4"/>
        </w:numPr>
        <w:rPr>
          <w:lang w:val="en"/>
        </w:rPr>
      </w:pPr>
      <w:r w:rsidRPr="00AC3B31">
        <w:rPr>
          <w:lang w:val="en"/>
        </w:rPr>
        <w:t>Level 3 Disclosure Level Text Block</w:t>
      </w:r>
    </w:p>
    <w:p w14:paraId="3ED139D2" w14:textId="77777777" w:rsidR="00E77A30" w:rsidRPr="00AC3B31" w:rsidRDefault="00E77A30" w:rsidP="00E77A30">
      <w:pPr>
        <w:pStyle w:val="BodyText"/>
        <w:numPr>
          <w:ilvl w:val="0"/>
          <w:numId w:val="4"/>
        </w:numPr>
        <w:rPr>
          <w:lang w:val="en"/>
        </w:rPr>
      </w:pPr>
      <w:r w:rsidRPr="00AC3B31">
        <w:rPr>
          <w:b/>
          <w:lang w:val="en"/>
        </w:rPr>
        <w:t>Roll Up</w:t>
      </w:r>
      <w:r w:rsidRPr="00AC3B31">
        <w:rPr>
          <w:lang w:val="en"/>
        </w:rPr>
        <w:t xml:space="preserve">:  Concept A + Concept B + Concept </w:t>
      </w:r>
      <w:r w:rsidRPr="00AC3B31">
        <w:rPr>
          <w:i/>
          <w:lang w:val="en"/>
        </w:rPr>
        <w:t>N</w:t>
      </w:r>
      <w:r w:rsidRPr="00AC3B31">
        <w:rPr>
          <w:lang w:val="en"/>
        </w:rPr>
        <w:t xml:space="preserve"> = Total</w:t>
      </w:r>
    </w:p>
    <w:p w14:paraId="7BA3F870" w14:textId="77777777" w:rsidR="00E77A30" w:rsidRPr="00AC3B31" w:rsidRDefault="00E77A30" w:rsidP="00E77A30">
      <w:pPr>
        <w:pStyle w:val="BodyText"/>
        <w:numPr>
          <w:ilvl w:val="0"/>
          <w:numId w:val="4"/>
        </w:numPr>
        <w:rPr>
          <w:lang w:val="en"/>
        </w:rPr>
      </w:pPr>
      <w:r w:rsidRPr="00AC3B31">
        <w:rPr>
          <w:b/>
          <w:lang w:val="en"/>
        </w:rPr>
        <w:t>Roll Forward</w:t>
      </w:r>
      <w:r w:rsidRPr="00AC3B31">
        <w:rPr>
          <w:lang w:val="en"/>
        </w:rPr>
        <w:t>: Beginning balance + Additions – Subtractions – Ending balance</w:t>
      </w:r>
    </w:p>
    <w:p w14:paraId="5C7EE802" w14:textId="77777777" w:rsidR="00E77A30" w:rsidRPr="00AC3B31" w:rsidRDefault="00E77A30" w:rsidP="00E77A30">
      <w:pPr>
        <w:pStyle w:val="BodyText"/>
        <w:numPr>
          <w:ilvl w:val="0"/>
          <w:numId w:val="4"/>
        </w:numPr>
        <w:rPr>
          <w:lang w:val="en"/>
        </w:rPr>
      </w:pPr>
      <w:r w:rsidRPr="00AC3B31">
        <w:rPr>
          <w:b/>
          <w:lang w:val="en"/>
        </w:rPr>
        <w:t>Hierarchy</w:t>
      </w:r>
      <w:r w:rsidRPr="00AC3B31">
        <w:rPr>
          <w:lang w:val="en"/>
        </w:rPr>
        <w:t>: No mathematical relationships</w:t>
      </w:r>
    </w:p>
    <w:p w14:paraId="0B97705E" w14:textId="77777777" w:rsidR="00E77A30" w:rsidRPr="00AC3B31" w:rsidRDefault="00E77A30" w:rsidP="00E77A30">
      <w:pPr>
        <w:pStyle w:val="BodyText"/>
        <w:numPr>
          <w:ilvl w:val="0"/>
          <w:numId w:val="4"/>
        </w:numPr>
        <w:rPr>
          <w:lang w:val="en"/>
        </w:rPr>
      </w:pPr>
      <w:r w:rsidRPr="00AC3B31">
        <w:rPr>
          <w:b/>
          <w:lang w:val="en"/>
        </w:rPr>
        <w:t>Adjustment</w:t>
      </w:r>
      <w:r w:rsidRPr="00AC3B31">
        <w:rPr>
          <w:lang w:val="en"/>
        </w:rPr>
        <w:t>: Originally stated balance + Adjustments = Restated balance</w:t>
      </w:r>
    </w:p>
    <w:p w14:paraId="4BBE7F3E" w14:textId="77777777" w:rsidR="00E77A30" w:rsidRPr="00AC3B31" w:rsidRDefault="00E77A30" w:rsidP="00E77A30">
      <w:pPr>
        <w:pStyle w:val="BodyText"/>
        <w:numPr>
          <w:ilvl w:val="0"/>
          <w:numId w:val="4"/>
        </w:numPr>
        <w:rPr>
          <w:lang w:val="en"/>
        </w:rPr>
      </w:pPr>
      <w:r w:rsidRPr="00AC3B31">
        <w:rPr>
          <w:b/>
          <w:lang w:val="en"/>
        </w:rPr>
        <w:t>Roll Forward Info</w:t>
      </w:r>
      <w:r w:rsidRPr="00AC3B31">
        <w:rPr>
          <w:lang w:val="en"/>
        </w:rPr>
        <w:t>: Beginning balance info + Additions info – Subtractions info – Ending balance info (there are no mathematical relations, but information for the beginning and ending balances must be distinguished)</w:t>
      </w:r>
    </w:p>
    <w:p w14:paraId="66245718" w14:textId="77777777" w:rsidR="00E77A30" w:rsidRPr="00AC3B31" w:rsidRDefault="00E77A30" w:rsidP="00B76023">
      <w:pPr>
        <w:pStyle w:val="BodyText"/>
        <w:rPr>
          <w:lang w:val="en"/>
        </w:rPr>
      </w:pPr>
      <w:r w:rsidRPr="00AC3B31">
        <w:rPr>
          <w:lang w:val="en"/>
        </w:rPr>
        <w:t>Similarly, each [Axis] falls into one of two</w:t>
      </w:r>
      <w:r>
        <w:rPr>
          <w:lang w:val="en"/>
        </w:rPr>
        <w:t xml:space="preserve"> broad</w:t>
      </w:r>
      <w:r w:rsidRPr="00AC3B31">
        <w:rPr>
          <w:lang w:val="en"/>
        </w:rPr>
        <w:t xml:space="preserve"> categories and describes the [Member]s of that [Axis] as being one of the following two </w:t>
      </w:r>
      <w:r w:rsidRPr="001E26E2">
        <w:rPr>
          <w:i/>
          <w:lang w:val="en"/>
        </w:rPr>
        <w:t>member arrangement patterns</w:t>
      </w:r>
      <w:r w:rsidRPr="00AC3B31">
        <w:rPr>
          <w:lang w:val="en"/>
        </w:rPr>
        <w:t>:</w:t>
      </w:r>
    </w:p>
    <w:p w14:paraId="1B2E314D" w14:textId="77777777" w:rsidR="00E77A30" w:rsidRPr="00AC3B31" w:rsidRDefault="00E77A30" w:rsidP="00E77A30">
      <w:pPr>
        <w:pStyle w:val="BodyText"/>
        <w:numPr>
          <w:ilvl w:val="0"/>
          <w:numId w:val="5"/>
        </w:numPr>
        <w:rPr>
          <w:lang w:val="en"/>
        </w:rPr>
      </w:pPr>
      <w:r w:rsidRPr="00AC3B31">
        <w:rPr>
          <w:b/>
          <w:lang w:val="en"/>
        </w:rPr>
        <w:t>Whole-part</w:t>
      </w:r>
      <w:r w:rsidRPr="00AC3B31">
        <w:rPr>
          <w:lang w:val="en"/>
        </w:rPr>
        <w:t>: Characteristic describes something composed exactly of their parts and nothing else or more where the parts add up to the whole</w:t>
      </w:r>
    </w:p>
    <w:p w14:paraId="56261AEE" w14:textId="77777777" w:rsidR="00E77A30" w:rsidRPr="00AA25EB" w:rsidRDefault="00E77A30" w:rsidP="00E77A30">
      <w:pPr>
        <w:pStyle w:val="BodyText"/>
        <w:numPr>
          <w:ilvl w:val="0"/>
          <w:numId w:val="5"/>
        </w:numPr>
        <w:rPr>
          <w:lang w:val="en"/>
        </w:rPr>
      </w:pPr>
      <w:r w:rsidRPr="00AC3B31">
        <w:rPr>
          <w:b/>
          <w:lang w:val="en"/>
        </w:rPr>
        <w:t>Is-a</w:t>
      </w:r>
      <w:r w:rsidRPr="00AC3B31">
        <w:rPr>
          <w:lang w:val="en"/>
        </w:rPr>
        <w:t>: Characteristic describes some list but the list does not add up mathematically</w:t>
      </w:r>
    </w:p>
    <w:p w14:paraId="0EE41300" w14:textId="77777777" w:rsidR="00E77A30" w:rsidRDefault="00E77A30" w:rsidP="00B76023">
      <w:pPr>
        <w:pStyle w:val="BodyText"/>
        <w:rPr>
          <w:lang w:val="en"/>
        </w:rPr>
      </w:pPr>
      <w:r>
        <w:rPr>
          <w:lang w:val="en"/>
        </w:rPr>
        <w:t>If some other concept arrangement pattern or member arrangement pattern is identified; then that pattern or patterns can be added to the set of patterns above.</w:t>
      </w:r>
    </w:p>
    <w:p w14:paraId="5EB9A81C" w14:textId="77777777" w:rsidR="00E77A30" w:rsidRPr="00AC3B31" w:rsidRDefault="00E77A30" w:rsidP="00B76023">
      <w:pPr>
        <w:pStyle w:val="BodyText"/>
        <w:rPr>
          <w:lang w:val="en"/>
        </w:rPr>
      </w:pPr>
      <w:r w:rsidRPr="00AC3B31">
        <w:rPr>
          <w:lang w:val="en"/>
        </w:rPr>
        <w:t xml:space="preserve">Consider the following theory:  A combination of those </w:t>
      </w:r>
      <w:r w:rsidRPr="00AC3B31">
        <w:rPr>
          <w:i/>
          <w:lang w:val="en"/>
        </w:rPr>
        <w:t>concept arrangement patterns</w:t>
      </w:r>
      <w:r w:rsidRPr="00AC3B31">
        <w:rPr>
          <w:lang w:val="en"/>
        </w:rPr>
        <w:t xml:space="preserve"> and </w:t>
      </w:r>
      <w:r w:rsidRPr="00AC3B31">
        <w:rPr>
          <w:i/>
          <w:lang w:val="en"/>
        </w:rPr>
        <w:t>member arrangement patterns</w:t>
      </w:r>
      <w:r w:rsidRPr="00AC3B31">
        <w:rPr>
          <w:lang w:val="en"/>
        </w:rPr>
        <w:t xml:space="preserve"> describes every component of every report of every reporting entity which submits XBRL-based financial information to the SEC.</w:t>
      </w:r>
    </w:p>
    <w:p w14:paraId="13733475" w14:textId="77777777" w:rsidR="00E77A30" w:rsidRPr="00AC3B31" w:rsidRDefault="00E77A30" w:rsidP="00B76023">
      <w:pPr>
        <w:pStyle w:val="BodyText"/>
        <w:rPr>
          <w:lang w:val="en"/>
        </w:rPr>
      </w:pPr>
      <w:r>
        <w:rPr>
          <w:lang w:val="en"/>
        </w:rPr>
        <w:t>Being conservative, t</w:t>
      </w:r>
      <w:r w:rsidRPr="00AC3B31">
        <w:rPr>
          <w:lang w:val="en"/>
        </w:rPr>
        <w:t xml:space="preserve">hat theory is </w:t>
      </w:r>
      <w:r>
        <w:rPr>
          <w:lang w:val="en"/>
        </w:rPr>
        <w:t>already proven</w:t>
      </w:r>
      <w:r w:rsidRPr="00AC3B31">
        <w:rPr>
          <w:lang w:val="en"/>
        </w:rPr>
        <w:t xml:space="preserve"> to be true for 98% of the components of public company financial reports.  </w:t>
      </w:r>
      <w:r>
        <w:rPr>
          <w:lang w:val="en"/>
        </w:rPr>
        <w:t>By being conservative, w</w:t>
      </w:r>
      <w:r w:rsidRPr="00AC3B31">
        <w:rPr>
          <w:lang w:val="en"/>
        </w:rPr>
        <w:t xml:space="preserve">e leave </w:t>
      </w:r>
      <w:r>
        <w:rPr>
          <w:lang w:val="en"/>
        </w:rPr>
        <w:t xml:space="preserve">open the possibility </w:t>
      </w:r>
      <w:r w:rsidRPr="00AC3B31">
        <w:rPr>
          <w:lang w:val="en"/>
        </w:rPr>
        <w:t xml:space="preserve">for 2% of report components which might deviate from these </w:t>
      </w:r>
      <w:r>
        <w:rPr>
          <w:lang w:val="en"/>
        </w:rPr>
        <w:t xml:space="preserve">patterns above for </w:t>
      </w:r>
      <w:r w:rsidRPr="00AC3B31">
        <w:rPr>
          <w:lang w:val="en"/>
        </w:rPr>
        <w:t>because they are not structural patterns described in this document.   Basically, the following spectrum delineates all possible alternatives:</w:t>
      </w:r>
    </w:p>
    <w:p w14:paraId="45B030C3" w14:textId="77777777" w:rsidR="00E77A30" w:rsidRPr="00AC3B31" w:rsidRDefault="00E77A30" w:rsidP="00E77A30">
      <w:pPr>
        <w:pStyle w:val="BodyText"/>
        <w:numPr>
          <w:ilvl w:val="0"/>
          <w:numId w:val="6"/>
        </w:numPr>
        <w:rPr>
          <w:lang w:val="en"/>
        </w:rPr>
      </w:pPr>
      <w:r w:rsidRPr="00AC3B31">
        <w:rPr>
          <w:lang w:val="en"/>
        </w:rPr>
        <w:t>A reporting entity report component follows (</w:t>
      </w:r>
      <w:r w:rsidRPr="00AC3B31">
        <w:rPr>
          <w:b/>
          <w:lang w:val="en"/>
        </w:rPr>
        <w:t>is consistent with</w:t>
      </w:r>
      <w:r w:rsidRPr="00AC3B31">
        <w:rPr>
          <w:lang w:val="en"/>
        </w:rPr>
        <w:t>) existing concept arrangement patterns and existing member arrangement patterns.</w:t>
      </w:r>
    </w:p>
    <w:p w14:paraId="134B94E4" w14:textId="77777777" w:rsidR="00E77A30" w:rsidRPr="00AC3B31" w:rsidRDefault="00E77A30" w:rsidP="00E77A30">
      <w:pPr>
        <w:pStyle w:val="BodyText"/>
        <w:numPr>
          <w:ilvl w:val="0"/>
          <w:numId w:val="6"/>
        </w:numPr>
        <w:rPr>
          <w:lang w:val="en"/>
        </w:rPr>
      </w:pPr>
      <w:r w:rsidRPr="00AC3B31">
        <w:rPr>
          <w:lang w:val="en"/>
        </w:rPr>
        <w:t>A reporting entity component DOES NOT FOLLOW, however SHOULD FOLLOW (</w:t>
      </w:r>
      <w:r w:rsidRPr="00AC3B31">
        <w:rPr>
          <w:b/>
          <w:lang w:val="en"/>
        </w:rPr>
        <w:t>is inconsistent with</w:t>
      </w:r>
      <w:r w:rsidRPr="00AC3B31">
        <w:rPr>
          <w:lang w:val="en"/>
        </w:rPr>
        <w:t xml:space="preserve">) existing concept arrangement patterns and existing member arrangement patterns.  HOWEVER, after the inconsistency is </w:t>
      </w:r>
      <w:r w:rsidRPr="00AC3B31">
        <w:rPr>
          <w:lang w:val="en"/>
        </w:rPr>
        <w:lastRenderedPageBreak/>
        <w:t>corrected within the report, the reporting entity report component follows (</w:t>
      </w:r>
      <w:r w:rsidRPr="00AC3B31">
        <w:rPr>
          <w:b/>
          <w:lang w:val="en"/>
        </w:rPr>
        <w:t>is consistent with</w:t>
      </w:r>
      <w:r w:rsidRPr="00AC3B31">
        <w:rPr>
          <w:lang w:val="en"/>
        </w:rPr>
        <w:t>) existing patterns.</w:t>
      </w:r>
    </w:p>
    <w:p w14:paraId="559B9F75" w14:textId="77777777" w:rsidR="00E77A30" w:rsidRPr="00AC3B31" w:rsidRDefault="00E77A30" w:rsidP="00E77A30">
      <w:pPr>
        <w:pStyle w:val="BodyText"/>
        <w:numPr>
          <w:ilvl w:val="0"/>
          <w:numId w:val="6"/>
        </w:numPr>
        <w:rPr>
          <w:lang w:val="en"/>
        </w:rPr>
      </w:pPr>
      <w:r w:rsidRPr="00AC3B31">
        <w:rPr>
          <w:lang w:val="en"/>
        </w:rPr>
        <w:t>A reporting entity component DOES NOT FOLLOW, but either a concept arrangement pattern or member arrangement pattern IS MISSING from the list of allowed patterns.  The pattern is logical, rational and sensible</w:t>
      </w:r>
      <w:r>
        <w:rPr>
          <w:lang w:val="en"/>
        </w:rPr>
        <w:t>; plus it does not cause some logical catastrophe.</w:t>
      </w:r>
      <w:r w:rsidRPr="00AC3B31">
        <w:rPr>
          <w:lang w:val="en"/>
        </w:rPr>
        <w:t xml:space="preserve">  THEREFORE, the pattern should be added (</w:t>
      </w:r>
      <w:r w:rsidRPr="00AC3B31">
        <w:rPr>
          <w:b/>
          <w:lang w:val="en"/>
        </w:rPr>
        <w:t>is consistent with</w:t>
      </w:r>
      <w:r w:rsidRPr="00AC3B31">
        <w:rPr>
          <w:lang w:val="en"/>
        </w:rPr>
        <w:t>).</w:t>
      </w:r>
    </w:p>
    <w:p w14:paraId="4E4120EC" w14:textId="77777777" w:rsidR="00E77A30" w:rsidRPr="00AC3B31" w:rsidRDefault="00E77A30" w:rsidP="00E77A30">
      <w:pPr>
        <w:pStyle w:val="BodyText"/>
        <w:numPr>
          <w:ilvl w:val="0"/>
          <w:numId w:val="6"/>
        </w:numPr>
        <w:rPr>
          <w:lang w:val="en"/>
        </w:rPr>
      </w:pPr>
      <w:r w:rsidRPr="00AC3B31">
        <w:rPr>
          <w:lang w:val="en"/>
        </w:rPr>
        <w:t xml:space="preserve">A reporting entity component DOES NOT FOLLOW, but either a concept arrangement pattern or member arrangement pattern IS MISSING from the list of allowed patterns.  The pattern is logical, rational and sensible HOWEVER; the pattern (a) can be reduced down to a less complex pattern and (b) if added it WOULD </w:t>
      </w:r>
      <w:r>
        <w:rPr>
          <w:lang w:val="en"/>
        </w:rPr>
        <w:t>cause some sort of logical catastrophe</w:t>
      </w:r>
      <w:r w:rsidRPr="00AC3B31">
        <w:rPr>
          <w:lang w:val="en"/>
        </w:rPr>
        <w:t xml:space="preserve">.  THEREFORE, the pattern should NOT BE ADDED.  Rather, the reporting entity should change how they </w:t>
      </w:r>
      <w:r>
        <w:rPr>
          <w:lang w:val="en"/>
        </w:rPr>
        <w:t>represent information within a report</w:t>
      </w:r>
      <w:r w:rsidRPr="00AC3B31">
        <w:rPr>
          <w:lang w:val="en"/>
        </w:rPr>
        <w:t xml:space="preserve"> to keep the overall system safe</w:t>
      </w:r>
      <w:r>
        <w:rPr>
          <w:lang w:val="en"/>
        </w:rPr>
        <w:t>, reliable, predictable</w:t>
      </w:r>
      <w:r w:rsidRPr="00AC3B31">
        <w:rPr>
          <w:lang w:val="en"/>
        </w:rPr>
        <w:t xml:space="preserve"> (</w:t>
      </w:r>
      <w:r w:rsidRPr="00AC3B31">
        <w:rPr>
          <w:b/>
          <w:lang w:val="en"/>
        </w:rPr>
        <w:t>is consistent with</w:t>
      </w:r>
      <w:r w:rsidRPr="00AC3B31">
        <w:rPr>
          <w:lang w:val="en"/>
        </w:rPr>
        <w:t>).</w:t>
      </w:r>
    </w:p>
    <w:p w14:paraId="3398DA46" w14:textId="77777777" w:rsidR="00E77A30" w:rsidRPr="00AC3B31" w:rsidRDefault="00E77A30" w:rsidP="00E77A30">
      <w:pPr>
        <w:pStyle w:val="BodyText"/>
        <w:numPr>
          <w:ilvl w:val="0"/>
          <w:numId w:val="6"/>
        </w:numPr>
        <w:rPr>
          <w:lang w:val="en"/>
        </w:rPr>
      </w:pPr>
      <w:r w:rsidRPr="00AC3B31">
        <w:rPr>
          <w:lang w:val="en"/>
        </w:rPr>
        <w:t>A reporting entity component follows (</w:t>
      </w:r>
      <w:r w:rsidRPr="00AC3B31">
        <w:rPr>
          <w:b/>
          <w:lang w:val="en"/>
        </w:rPr>
        <w:t>is consistent with</w:t>
      </w:r>
      <w:r w:rsidRPr="00AC3B31">
        <w:rPr>
          <w:lang w:val="en"/>
        </w:rPr>
        <w:t>) the existing [Hierarchy] concept arrangement patterns and an existing member arrangement pattern; HOWEVER the pattern is in reality not a [Hierarchy] but rather some other unsupported mathematical relation or some other unsupported member arrangement pattern.  While not optimal because specific information which could be verified to be consistent is not being verified, this is still on par with current practices.  Currently, a [Roll Forward] is a known and a commonly used pattern.  The pattern is identifiable, but has no computation articulated</w:t>
      </w:r>
      <w:r>
        <w:rPr>
          <w:lang w:val="en"/>
        </w:rPr>
        <w:t xml:space="preserve"> within XBRL taxonomies which support XBRL instances submitted to the SEC</w:t>
      </w:r>
      <w:r w:rsidRPr="00AC3B31">
        <w:rPr>
          <w:lang w:val="en"/>
        </w:rPr>
        <w:t>.</w:t>
      </w:r>
    </w:p>
    <w:p w14:paraId="09FA6F6C" w14:textId="77777777" w:rsidR="00E77A30" w:rsidRPr="00AC3B31" w:rsidRDefault="00E77A30" w:rsidP="00B76023">
      <w:pPr>
        <w:pStyle w:val="BodyText"/>
        <w:rPr>
          <w:lang w:val="en"/>
        </w:rPr>
      </w:pPr>
      <w:r w:rsidRPr="00AC3B31">
        <w:rPr>
          <w:lang w:val="en"/>
        </w:rPr>
        <w:t>And so either a filer is already consistent with the existing system (#1), or should be consistent with the existing system (#2).  It is possible that a reporting entity is using a logical and sensible concept arrangement pattern or member arrangement pattern that is missing (#3); and if so, that pattern should be added to the system.  It is possible that a reporting entity is using a logical and sensible concept arrangement pattern or member arrangement pattern; however, (a) that pattern can be broken down into a simpler, less complex pattern an</w:t>
      </w:r>
      <w:r>
        <w:rPr>
          <w:lang w:val="en"/>
        </w:rPr>
        <w:t>d</w:t>
      </w:r>
      <w:r w:rsidRPr="00AC3B31">
        <w:rPr>
          <w:lang w:val="en"/>
        </w:rPr>
        <w:t xml:space="preserve"> (b) if the pattern were added to the system it would make the system </w:t>
      </w:r>
      <w:r>
        <w:rPr>
          <w:lang w:val="en"/>
        </w:rPr>
        <w:t>unsafe, unpredictable, or otherwise unreliable</w:t>
      </w:r>
      <w:r w:rsidRPr="00AC3B31">
        <w:rPr>
          <w:lang w:val="en"/>
        </w:rPr>
        <w:t xml:space="preserve"> and therefore should not be added to the system.</w:t>
      </w:r>
    </w:p>
    <w:p w14:paraId="67913A5B" w14:textId="77777777" w:rsidR="00E77A30" w:rsidRPr="00AC3B31" w:rsidRDefault="00E77A30" w:rsidP="00B76023">
      <w:pPr>
        <w:pStyle w:val="BodyText"/>
        <w:rPr>
          <w:lang w:val="en"/>
        </w:rPr>
      </w:pPr>
      <w:r w:rsidRPr="00AC3B31">
        <w:rPr>
          <w:lang w:val="en"/>
        </w:rPr>
        <w:t>And, as discussed in the next section, there is always a fallback position (#5).  Everything can be represented as a [Hierarchy] concept arrangement pattern.  Other concept arrangement patterns simply add additional rules, generally mathematical computations. This allows new patterns to evolve. This is explained in more detail in the next section.</w:t>
      </w:r>
    </w:p>
    <w:p w14:paraId="497890C5" w14:textId="77777777" w:rsidR="00E77A30" w:rsidRPr="00AC3B31" w:rsidRDefault="00E77A30" w:rsidP="00B76023">
      <w:pPr>
        <w:pStyle w:val="Heading2"/>
      </w:pPr>
      <w:bookmarkStart w:id="8" w:name="_Toc418919764"/>
      <w:r w:rsidRPr="00AC3B31">
        <w:t>Understanding that pattern maintenance is an evolutionary process</w:t>
      </w:r>
      <w:bookmarkEnd w:id="8"/>
    </w:p>
    <w:p w14:paraId="3156BBFF" w14:textId="77777777" w:rsidR="00E77A30" w:rsidRPr="00AC3B31" w:rsidRDefault="00E77A30" w:rsidP="00B76023">
      <w:pPr>
        <w:pStyle w:val="BodyText"/>
        <w:rPr>
          <w:lang w:val="en"/>
        </w:rPr>
      </w:pPr>
      <w:r w:rsidRPr="00AC3B31">
        <w:rPr>
          <w:lang w:val="en"/>
        </w:rPr>
        <w:t>Every concept arrangement pattern is some [Hierarchy]</w:t>
      </w:r>
      <w:r w:rsidRPr="00AC3B31">
        <w:rPr>
          <w:vertAlign w:val="superscript"/>
          <w:lang w:val="en"/>
        </w:rPr>
        <w:footnoteReference w:id="6"/>
      </w:r>
      <w:r w:rsidRPr="00AC3B31">
        <w:rPr>
          <w:lang w:val="en"/>
        </w:rPr>
        <w:t xml:space="preserve"> of concepts. Other non-[Hierarchy] concept arrangement patterns add some sort of mathematical computation.  For example,</w:t>
      </w:r>
    </w:p>
    <w:p w14:paraId="6776E4B9" w14:textId="77777777" w:rsidR="00E77A30" w:rsidRPr="00AC3B31" w:rsidRDefault="00E77A30" w:rsidP="00E77A30">
      <w:pPr>
        <w:pStyle w:val="BodyText"/>
        <w:numPr>
          <w:ilvl w:val="0"/>
          <w:numId w:val="8"/>
        </w:numPr>
        <w:rPr>
          <w:lang w:val="en"/>
        </w:rPr>
      </w:pPr>
      <w:r w:rsidRPr="00AC3B31">
        <w:rPr>
          <w:lang w:val="en"/>
        </w:rPr>
        <w:lastRenderedPageBreak/>
        <w:t>A [Roll Up] is simply a [Hierarchy] with the addition of XBRL calculation relations which articulate the information about how the concepts roll up.</w:t>
      </w:r>
    </w:p>
    <w:p w14:paraId="57318B29" w14:textId="77777777" w:rsidR="00E77A30" w:rsidRPr="00AC3B31" w:rsidRDefault="00E77A30" w:rsidP="00E77A30">
      <w:pPr>
        <w:pStyle w:val="BodyText"/>
        <w:numPr>
          <w:ilvl w:val="0"/>
          <w:numId w:val="8"/>
        </w:numPr>
        <w:rPr>
          <w:lang w:val="en"/>
        </w:rPr>
      </w:pPr>
      <w:r w:rsidRPr="00AC3B31">
        <w:rPr>
          <w:lang w:val="en"/>
        </w:rPr>
        <w:t>A [Roll Forward] is simply a [Hierarchy] with the addition of a preferred label role to differentiate the beginning and ending instant concept.</w:t>
      </w:r>
    </w:p>
    <w:p w14:paraId="22B48AB3" w14:textId="77777777" w:rsidR="00E77A30" w:rsidRPr="00AC3B31" w:rsidRDefault="00E77A30" w:rsidP="00E77A30">
      <w:pPr>
        <w:pStyle w:val="BodyText"/>
        <w:numPr>
          <w:ilvl w:val="0"/>
          <w:numId w:val="8"/>
        </w:numPr>
        <w:rPr>
          <w:lang w:val="en"/>
        </w:rPr>
      </w:pPr>
      <w:r w:rsidRPr="00AC3B31">
        <w:rPr>
          <w:lang w:val="en"/>
        </w:rPr>
        <w:t>An [Adjustment] is simply a [Hierarchy] with the addition of a preferred label role to differentiate the originally stated and restated balances plus a member arrangement pattern to distinguish the Report Date [Axis].</w:t>
      </w:r>
    </w:p>
    <w:p w14:paraId="0339B099" w14:textId="77777777" w:rsidR="00E77A30" w:rsidRPr="00AC3B31" w:rsidRDefault="00E77A30" w:rsidP="00E77A30">
      <w:pPr>
        <w:pStyle w:val="BodyText"/>
        <w:numPr>
          <w:ilvl w:val="0"/>
          <w:numId w:val="8"/>
        </w:numPr>
        <w:rPr>
          <w:lang w:val="en"/>
        </w:rPr>
      </w:pPr>
      <w:r w:rsidRPr="00AC3B31">
        <w:rPr>
          <w:lang w:val="en"/>
        </w:rPr>
        <w:t>A [Text Block] is a [Hierarchy] which has only one concept which is of a specific data type.</w:t>
      </w:r>
    </w:p>
    <w:p w14:paraId="5738A091" w14:textId="77777777" w:rsidR="00E77A30" w:rsidRPr="00AC3B31" w:rsidRDefault="00E77A30" w:rsidP="00B76023">
      <w:pPr>
        <w:pStyle w:val="BodyText"/>
        <w:rPr>
          <w:lang w:val="en"/>
        </w:rPr>
      </w:pPr>
      <w:r w:rsidRPr="00AC3B31">
        <w:rPr>
          <w:lang w:val="en"/>
        </w:rPr>
        <w:t xml:space="preserve">Basically, any information can be represented as a [Hierarchy].  The down side of representing information in this manner if it really is some other pattern is that you do not provide </w:t>
      </w:r>
      <w:r>
        <w:rPr>
          <w:lang w:val="en"/>
        </w:rPr>
        <w:t>necessary rules</w:t>
      </w:r>
      <w:r w:rsidRPr="00AC3B31">
        <w:rPr>
          <w:lang w:val="en"/>
        </w:rPr>
        <w:t xml:space="preserve"> which software can use to assure that what is represented is consistent with reality.  The information might be consistent with the knowledgebase of information, but that is only because the rules are not included in the knowledgebase.  What that means is that the information needs to be verified using manual processes because consistency cannot be determined using automated processes because there are no machine-readable business rules.</w:t>
      </w:r>
    </w:p>
    <w:p w14:paraId="3274C35B" w14:textId="77777777" w:rsidR="00E77A30" w:rsidRPr="00AC3B31" w:rsidRDefault="00E77A30" w:rsidP="00B76023">
      <w:pPr>
        <w:pStyle w:val="BodyText"/>
        <w:rPr>
          <w:lang w:val="en"/>
        </w:rPr>
      </w:pPr>
      <w:r w:rsidRPr="00AC3B31">
        <w:rPr>
          <w:lang w:val="en"/>
        </w:rPr>
        <w:t>This situation is not optimal, but it is also not the end of the world either.  As was stated above, this situation is on par with current XBRL-based public company financial filings in that [Roll Forward] concept arrangement patterns in existing SEC filings do not provide business rules for the [Roll Forward].</w:t>
      </w:r>
    </w:p>
    <w:p w14:paraId="44773B05" w14:textId="77777777" w:rsidR="00E77A30" w:rsidRPr="00AC3B31" w:rsidRDefault="00E77A30" w:rsidP="00B76023">
      <w:pPr>
        <w:pStyle w:val="BodyText"/>
        <w:rPr>
          <w:lang w:val="en"/>
        </w:rPr>
      </w:pPr>
      <w:r w:rsidRPr="00AC3B31">
        <w:rPr>
          <w:lang w:val="en"/>
        </w:rPr>
        <w:t>What this means is that there is already a process to allow patterns to evolve.</w:t>
      </w:r>
    </w:p>
    <w:p w14:paraId="2D201B2A" w14:textId="77777777" w:rsidR="00E77A30" w:rsidRPr="00AC3B31" w:rsidRDefault="00E77A30" w:rsidP="00B76023">
      <w:pPr>
        <w:pStyle w:val="Heading2"/>
      </w:pPr>
      <w:bookmarkStart w:id="9" w:name="_Toc418919765"/>
      <w:r w:rsidRPr="00AC3B31">
        <w:t>Understanding that patterns are finite (i.e. not infinite)</w:t>
      </w:r>
      <w:bookmarkEnd w:id="9"/>
    </w:p>
    <w:p w14:paraId="43BEE6C2" w14:textId="77777777" w:rsidR="00E77A30" w:rsidRPr="00AC3B31" w:rsidRDefault="00E77A30" w:rsidP="00B76023">
      <w:pPr>
        <w:pStyle w:val="BodyText"/>
        <w:rPr>
          <w:lang w:val="en"/>
        </w:rPr>
      </w:pPr>
      <w:r w:rsidRPr="00AC3B31">
        <w:rPr>
          <w:lang w:val="en"/>
        </w:rPr>
        <w:t xml:space="preserve">To understand that it is not an overwhelming task to inventory all patterns and add new patterns to the system, consider the notion of report </w:t>
      </w:r>
      <w:r>
        <w:rPr>
          <w:lang w:val="en"/>
        </w:rPr>
        <w:t>style</w:t>
      </w:r>
      <w:r w:rsidRPr="00AC3B31">
        <w:rPr>
          <w:lang w:val="en"/>
        </w:rPr>
        <w:t xml:space="preserve"> patterns</w:t>
      </w:r>
      <w:r w:rsidRPr="00AC3B31">
        <w:rPr>
          <w:vertAlign w:val="superscript"/>
          <w:lang w:val="en"/>
        </w:rPr>
        <w:footnoteReference w:id="7"/>
      </w:r>
      <w:r w:rsidRPr="00AC3B31">
        <w:rPr>
          <w:lang w:val="en"/>
        </w:rPr>
        <w:t>.  If you look closely at the report</w:t>
      </w:r>
      <w:r>
        <w:rPr>
          <w:lang w:val="en"/>
        </w:rPr>
        <w:t>ing style</w:t>
      </w:r>
      <w:r w:rsidRPr="00AC3B31">
        <w:rPr>
          <w:lang w:val="en"/>
        </w:rPr>
        <w:t xml:space="preserve"> patterns, this is what you observe:</w:t>
      </w:r>
    </w:p>
    <w:p w14:paraId="0DA78BC7" w14:textId="77777777" w:rsidR="00E77A30" w:rsidRPr="00AC3B31" w:rsidRDefault="00E77A30" w:rsidP="00E77A30">
      <w:pPr>
        <w:pStyle w:val="BodyText"/>
        <w:numPr>
          <w:ilvl w:val="0"/>
          <w:numId w:val="7"/>
        </w:numPr>
        <w:rPr>
          <w:lang w:val="en"/>
        </w:rPr>
      </w:pPr>
      <w:r w:rsidRPr="00AC3B31">
        <w:rPr>
          <w:lang w:val="en"/>
        </w:rPr>
        <w:t xml:space="preserve">Every public company can be grouped into one of </w:t>
      </w:r>
      <w:r>
        <w:rPr>
          <w:lang w:val="en"/>
        </w:rPr>
        <w:t>approximately 100 r</w:t>
      </w:r>
      <w:r w:rsidRPr="00AC3B31">
        <w:rPr>
          <w:lang w:val="en"/>
        </w:rPr>
        <w:t>eport</w:t>
      </w:r>
      <w:r>
        <w:rPr>
          <w:lang w:val="en"/>
        </w:rPr>
        <w:t>ing styles</w:t>
      </w:r>
      <w:r w:rsidRPr="00AC3B31">
        <w:rPr>
          <w:lang w:val="en"/>
        </w:rPr>
        <w:t>.</w:t>
      </w:r>
    </w:p>
    <w:p w14:paraId="6FAA08F6" w14:textId="77777777" w:rsidR="00E77A30" w:rsidRPr="00AC3B31" w:rsidRDefault="00E77A30" w:rsidP="00E77A30">
      <w:pPr>
        <w:pStyle w:val="BodyText"/>
        <w:numPr>
          <w:ilvl w:val="0"/>
          <w:numId w:val="7"/>
        </w:numPr>
        <w:rPr>
          <w:lang w:val="en"/>
        </w:rPr>
      </w:pPr>
      <w:r w:rsidRPr="00AC3B31">
        <w:rPr>
          <w:lang w:val="en"/>
        </w:rPr>
        <w:t xml:space="preserve">Of the approximately </w:t>
      </w:r>
      <w:r>
        <w:rPr>
          <w:lang w:val="en"/>
        </w:rPr>
        <w:t>7</w:t>
      </w:r>
      <w:r w:rsidRPr="00AC3B31">
        <w:rPr>
          <w:lang w:val="en"/>
        </w:rPr>
        <w:t>,000 reporting entities in scope (funds and trusts are excluded as they follow other patterns which are not of interest); 90% of all public companies fall into one of 1</w:t>
      </w:r>
      <w:r>
        <w:rPr>
          <w:lang w:val="en"/>
        </w:rPr>
        <w:t>5</w:t>
      </w:r>
      <w:r w:rsidRPr="00AC3B31">
        <w:rPr>
          <w:lang w:val="en"/>
        </w:rPr>
        <w:t xml:space="preserve"> report</w:t>
      </w:r>
      <w:r>
        <w:rPr>
          <w:lang w:val="en"/>
        </w:rPr>
        <w:t>ing styles</w:t>
      </w:r>
      <w:r w:rsidRPr="00AC3B31">
        <w:rPr>
          <w:lang w:val="en"/>
        </w:rPr>
        <w:t>.  The remaining 10% of reporting entities use the other 8</w:t>
      </w:r>
      <w:r>
        <w:rPr>
          <w:lang w:val="en"/>
        </w:rPr>
        <w:t>5</w:t>
      </w:r>
      <w:r w:rsidRPr="00AC3B31">
        <w:rPr>
          <w:lang w:val="en"/>
        </w:rPr>
        <w:t xml:space="preserve"> report</w:t>
      </w:r>
      <w:r>
        <w:rPr>
          <w:lang w:val="en"/>
        </w:rPr>
        <w:t>ing styles</w:t>
      </w:r>
      <w:r w:rsidRPr="00AC3B31">
        <w:rPr>
          <w:lang w:val="en"/>
        </w:rPr>
        <w:t>.</w:t>
      </w:r>
    </w:p>
    <w:p w14:paraId="6926C3FE" w14:textId="77777777" w:rsidR="00E77A30" w:rsidRPr="00AC3B31" w:rsidRDefault="00E77A30" w:rsidP="00E77A30">
      <w:pPr>
        <w:pStyle w:val="BodyText"/>
        <w:numPr>
          <w:ilvl w:val="0"/>
          <w:numId w:val="7"/>
        </w:numPr>
        <w:rPr>
          <w:lang w:val="en"/>
        </w:rPr>
      </w:pPr>
      <w:r w:rsidRPr="00AC3B31">
        <w:rPr>
          <w:lang w:val="en"/>
        </w:rPr>
        <w:t>Some of the repor</w:t>
      </w:r>
      <w:r>
        <w:rPr>
          <w:lang w:val="en"/>
        </w:rPr>
        <w:t>ting styles</w:t>
      </w:r>
      <w:r w:rsidRPr="00AC3B31">
        <w:rPr>
          <w:lang w:val="en"/>
        </w:rPr>
        <w:t xml:space="preserve"> which are used are likely illegal.  For example, why would a commercial and industrial company report using an unclassified balance sheet? Meaning, some existing report</w:t>
      </w:r>
      <w:r>
        <w:rPr>
          <w:lang w:val="en"/>
        </w:rPr>
        <w:t>ing styles</w:t>
      </w:r>
      <w:r w:rsidRPr="00AC3B31">
        <w:rPr>
          <w:lang w:val="en"/>
        </w:rPr>
        <w:t xml:space="preserve"> need to be removed.</w:t>
      </w:r>
    </w:p>
    <w:p w14:paraId="0F39E694" w14:textId="77777777" w:rsidR="00E77A30" w:rsidRPr="00AC3B31" w:rsidRDefault="00E77A30" w:rsidP="00E77A30">
      <w:pPr>
        <w:pStyle w:val="BodyText"/>
        <w:numPr>
          <w:ilvl w:val="0"/>
          <w:numId w:val="7"/>
        </w:numPr>
        <w:rPr>
          <w:lang w:val="en"/>
        </w:rPr>
      </w:pPr>
      <w:r w:rsidRPr="00AC3B31">
        <w:rPr>
          <w:lang w:val="en"/>
        </w:rPr>
        <w:t>It is</w:t>
      </w:r>
      <w:r>
        <w:rPr>
          <w:lang w:val="en"/>
        </w:rPr>
        <w:t xml:space="preserve"> highly-likely that some reporting styles </w:t>
      </w:r>
      <w:r w:rsidRPr="00AC3B31">
        <w:rPr>
          <w:lang w:val="en"/>
        </w:rPr>
        <w:t>will have only 1 reporting entity</w:t>
      </w:r>
      <w:r>
        <w:rPr>
          <w:lang w:val="en"/>
        </w:rPr>
        <w:t xml:space="preserve"> which makes use of that reporting style.  F</w:t>
      </w:r>
      <w:r w:rsidRPr="00AC3B31">
        <w:rPr>
          <w:lang w:val="en"/>
        </w:rPr>
        <w:t>or example JPMorgan seems to fall into that category.  Nothing wrong with that.</w:t>
      </w:r>
    </w:p>
    <w:p w14:paraId="3B4F868B" w14:textId="77777777" w:rsidR="00E77A30" w:rsidRPr="00AC3B31" w:rsidRDefault="00E77A30" w:rsidP="00E77A30">
      <w:pPr>
        <w:pStyle w:val="BodyText"/>
        <w:numPr>
          <w:ilvl w:val="0"/>
          <w:numId w:val="7"/>
        </w:numPr>
        <w:rPr>
          <w:lang w:val="en"/>
        </w:rPr>
      </w:pPr>
      <w:r w:rsidRPr="00AC3B31">
        <w:rPr>
          <w:lang w:val="en"/>
        </w:rPr>
        <w:t xml:space="preserve">It is highly-likely that there are between perhaps 100 to </w:t>
      </w:r>
      <w:r>
        <w:rPr>
          <w:lang w:val="en"/>
        </w:rPr>
        <w:t>maybe even 250 additional reporting styles</w:t>
      </w:r>
      <w:r w:rsidRPr="00AC3B31">
        <w:rPr>
          <w:lang w:val="en"/>
        </w:rPr>
        <w:t xml:space="preserve">.  It is of no consequence to have 100 or even 250 </w:t>
      </w:r>
      <w:r>
        <w:rPr>
          <w:lang w:val="en"/>
        </w:rPr>
        <w:t xml:space="preserve">or maybe even 500 </w:t>
      </w:r>
      <w:r w:rsidRPr="00AC3B31">
        <w:rPr>
          <w:lang w:val="en"/>
        </w:rPr>
        <w:t>additional report</w:t>
      </w:r>
      <w:r>
        <w:rPr>
          <w:lang w:val="en"/>
        </w:rPr>
        <w:t>ing styles</w:t>
      </w:r>
      <w:r w:rsidRPr="00AC3B31">
        <w:rPr>
          <w:lang w:val="en"/>
        </w:rPr>
        <w:t>.</w:t>
      </w:r>
    </w:p>
    <w:p w14:paraId="74E966F9" w14:textId="77777777" w:rsidR="00E77A30" w:rsidRPr="00AC3B31" w:rsidRDefault="00E77A30" w:rsidP="00B76023">
      <w:pPr>
        <w:pStyle w:val="BodyText"/>
        <w:rPr>
          <w:lang w:val="en"/>
        </w:rPr>
      </w:pPr>
      <w:r w:rsidRPr="00AC3B31">
        <w:rPr>
          <w:lang w:val="en"/>
        </w:rPr>
        <w:lastRenderedPageBreak/>
        <w:t xml:space="preserve">Every other </w:t>
      </w:r>
      <w:r>
        <w:rPr>
          <w:lang w:val="en"/>
        </w:rPr>
        <w:t xml:space="preserve">type or </w:t>
      </w:r>
      <w:r w:rsidRPr="00AC3B31">
        <w:rPr>
          <w:lang w:val="en"/>
        </w:rPr>
        <w:t xml:space="preserve">class works precisely the same way.  Some finite list of </w:t>
      </w:r>
      <w:r>
        <w:rPr>
          <w:lang w:val="en"/>
        </w:rPr>
        <w:t>sub-types/</w:t>
      </w:r>
      <w:r w:rsidRPr="00AC3B31">
        <w:rPr>
          <w:lang w:val="en"/>
        </w:rPr>
        <w:t>subclasses can exist.  And so, the system is finite, the system has boundaries, but the system is flexible but only where specific flexibility is exposed.</w:t>
      </w:r>
    </w:p>
    <w:p w14:paraId="39204E8D" w14:textId="77777777" w:rsidR="00E77A30" w:rsidRPr="00AC3B31" w:rsidRDefault="00E77A30" w:rsidP="00B76023">
      <w:pPr>
        <w:pStyle w:val="Heading2"/>
      </w:pPr>
      <w:bookmarkStart w:id="10" w:name="_Toc418919766"/>
      <w:r w:rsidRPr="00AC3B31">
        <w:t>Understanding technical syntax rules and workflow/process rules</w:t>
      </w:r>
      <w:bookmarkEnd w:id="10"/>
    </w:p>
    <w:p w14:paraId="277246E0" w14:textId="77777777" w:rsidR="00E77A30" w:rsidRPr="00AC3B31" w:rsidRDefault="00E77A30" w:rsidP="00B76023">
      <w:pPr>
        <w:pStyle w:val="BodyText"/>
      </w:pPr>
      <w:r w:rsidRPr="00AC3B31">
        <w:t>There has not really been much emphasis on technical syntax rules and workflow/process rules, the primary focus is on business domain rules.</w:t>
      </w:r>
    </w:p>
    <w:p w14:paraId="6615B612" w14:textId="77777777" w:rsidR="00E77A30" w:rsidRPr="00AC3B31" w:rsidRDefault="00E77A30" w:rsidP="00B76023">
      <w:pPr>
        <w:pStyle w:val="BodyText"/>
      </w:pPr>
      <w:r w:rsidRPr="00AC3B31">
        <w:t>The reason for less effort in explaining technical syntax rules is because of the following:</w:t>
      </w:r>
    </w:p>
    <w:p w14:paraId="69F6C14E" w14:textId="77777777" w:rsidR="00E77A30" w:rsidRPr="00AC3B31" w:rsidRDefault="00E77A30" w:rsidP="00E77A30">
      <w:pPr>
        <w:pStyle w:val="BodyText"/>
        <w:numPr>
          <w:ilvl w:val="0"/>
          <w:numId w:val="9"/>
        </w:numPr>
      </w:pPr>
      <w:r w:rsidRPr="00AC3B31">
        <w:t xml:space="preserve">XBRL technical syntax rules were created and interoperability between software is excellent due to a </w:t>
      </w:r>
      <w:proofErr w:type="spellStart"/>
      <w:r w:rsidRPr="00AC3B31">
        <w:t>publically</w:t>
      </w:r>
      <w:proofErr w:type="spellEnd"/>
      <w:r w:rsidRPr="00AC3B31">
        <w:t xml:space="preserve"> available conformance suite provided by XBRL International.</w:t>
      </w:r>
    </w:p>
    <w:p w14:paraId="3A62B556" w14:textId="77777777" w:rsidR="00E77A30" w:rsidRPr="00AC3B31" w:rsidRDefault="00E77A30" w:rsidP="00E77A30">
      <w:pPr>
        <w:pStyle w:val="BodyText"/>
        <w:numPr>
          <w:ilvl w:val="0"/>
          <w:numId w:val="9"/>
        </w:numPr>
      </w:pPr>
      <w:r w:rsidRPr="00AC3B31">
        <w:t>Because of the first point; XBRL-based digital financial reports provided to the SEC by public companies are 99.9</w:t>
      </w:r>
      <w:r>
        <w:t>9</w:t>
      </w:r>
      <w:r w:rsidRPr="00AC3B31">
        <w:t>% consistent with the XBRL technical syntax rules.</w:t>
      </w:r>
    </w:p>
    <w:p w14:paraId="77D38293" w14:textId="77777777" w:rsidR="00E77A30" w:rsidRPr="00AC3B31" w:rsidRDefault="00E77A30" w:rsidP="00E77A30">
      <w:pPr>
        <w:pStyle w:val="BodyText"/>
        <w:numPr>
          <w:ilvl w:val="0"/>
          <w:numId w:val="9"/>
        </w:numPr>
      </w:pPr>
      <w:r w:rsidRPr="00AC3B31">
        <w:t>Business professionals should never be exposed to technical syntax; software should hide all aspects of technical syntax from business professionals.</w:t>
      </w:r>
    </w:p>
    <w:p w14:paraId="0845358C" w14:textId="77777777" w:rsidR="00E77A30" w:rsidRPr="00AC3B31" w:rsidRDefault="00E77A30" w:rsidP="00B76023">
      <w:pPr>
        <w:pStyle w:val="BodyText"/>
      </w:pPr>
      <w:r w:rsidRPr="00AC3B31">
        <w:t>Basic workflow/process rules are worth covering a little because that would yield important useful information.  However, there has not been a lot of focus on workflow/process rules so we really don’t know the full extent of what workflow/process rules are necessary.</w:t>
      </w:r>
    </w:p>
    <w:p w14:paraId="6223DDF3" w14:textId="77777777" w:rsidR="00E77A30" w:rsidRPr="00AC3B31" w:rsidRDefault="00E77A30" w:rsidP="00B76023">
      <w:pPr>
        <w:pStyle w:val="BodyText"/>
      </w:pPr>
      <w:r w:rsidRPr="00AC3B31">
        <w:t>However, we do understand the basic, fundamental rules which are necessary for any system to work with a digital financial report.</w:t>
      </w:r>
    </w:p>
    <w:p w14:paraId="1506A5EC" w14:textId="77777777" w:rsidR="00E77A30" w:rsidRPr="00AC3B31" w:rsidRDefault="00E77A30" w:rsidP="00B76023">
      <w:pPr>
        <w:pStyle w:val="BodyText"/>
      </w:pPr>
      <w:r w:rsidRPr="00AC3B31">
        <w:t xml:space="preserve">Consider a simple query of two concepts: </w:t>
      </w:r>
      <w:r w:rsidRPr="00AC3B31">
        <w:rPr>
          <w:i/>
        </w:rPr>
        <w:t>Assets</w:t>
      </w:r>
      <w:r w:rsidRPr="00AC3B31">
        <w:t xml:space="preserve"> and </w:t>
      </w:r>
      <w:r w:rsidRPr="00AC3B31">
        <w:rPr>
          <w:i/>
        </w:rPr>
        <w:t>Liabilities and Equity</w:t>
      </w:r>
      <w:r w:rsidRPr="00AC3B31">
        <w:t xml:space="preserve">.  In order to extract that information from any XBRL-based financial </w:t>
      </w:r>
      <w:r>
        <w:t>report</w:t>
      </w:r>
      <w:r w:rsidRPr="00AC3B31">
        <w:t xml:space="preserve"> using a machine-based process the following process needs to be followed:</w:t>
      </w:r>
    </w:p>
    <w:p w14:paraId="3B17FEC4" w14:textId="77777777" w:rsidR="00E77A30" w:rsidRPr="00AC3B31" w:rsidRDefault="00E77A30" w:rsidP="00E77A30">
      <w:pPr>
        <w:pStyle w:val="BodyText"/>
        <w:numPr>
          <w:ilvl w:val="0"/>
          <w:numId w:val="2"/>
        </w:numPr>
      </w:pPr>
      <w:r w:rsidRPr="00AC3B31">
        <w:t>Software MUST locate each report you want to query.</w:t>
      </w:r>
    </w:p>
    <w:p w14:paraId="2295693D" w14:textId="77777777" w:rsidR="00E77A30" w:rsidRPr="00AC3B31" w:rsidRDefault="00E77A30" w:rsidP="00E77A30">
      <w:pPr>
        <w:pStyle w:val="BodyText"/>
        <w:numPr>
          <w:ilvl w:val="0"/>
          <w:numId w:val="2"/>
        </w:numPr>
      </w:pPr>
      <w:r w:rsidRPr="00AC3B31">
        <w:t>The report MUST be valid XBRL technical syntax.  If the technical syntax is invalid, you may or may not get the correct results.</w:t>
      </w:r>
    </w:p>
    <w:p w14:paraId="58F3204D" w14:textId="77777777" w:rsidR="00E77A30" w:rsidRPr="00AC3B31" w:rsidRDefault="00E77A30" w:rsidP="00E77A30">
      <w:pPr>
        <w:pStyle w:val="BodyText"/>
        <w:numPr>
          <w:ilvl w:val="0"/>
          <w:numId w:val="2"/>
        </w:numPr>
      </w:pPr>
      <w:r w:rsidRPr="00AC3B31">
        <w:t>Software MUST locate the appropriate reporting units (currency).  In the case of public company financial reports, 99% of entities report using US Dollars.  However, 1% use other currencies as the reporting units.</w:t>
      </w:r>
    </w:p>
    <w:p w14:paraId="022B0D55" w14:textId="77777777" w:rsidR="00E77A30" w:rsidRPr="00AC3B31" w:rsidRDefault="00E77A30" w:rsidP="00E77A30">
      <w:pPr>
        <w:pStyle w:val="BodyText"/>
        <w:numPr>
          <w:ilvl w:val="0"/>
          <w:numId w:val="2"/>
        </w:numPr>
      </w:pPr>
      <w:r w:rsidRPr="00AC3B31">
        <w:t>Software MUST appropriately identify the root reporting entity in the report.  Generally, this is the consolidated entity but it could be a parent holding company or some other accounting entity.</w:t>
      </w:r>
    </w:p>
    <w:p w14:paraId="48AB23CF" w14:textId="77777777" w:rsidR="00E77A30" w:rsidRPr="00AC3B31" w:rsidRDefault="00E77A30" w:rsidP="00E77A30">
      <w:pPr>
        <w:pStyle w:val="BodyText"/>
        <w:numPr>
          <w:ilvl w:val="0"/>
          <w:numId w:val="2"/>
        </w:numPr>
      </w:pPr>
      <w:r w:rsidRPr="00AC3B31">
        <w:t xml:space="preserve">Software MUST appropriately locate the current balance sheet date.  Generally you want information about the current balance sheet </w:t>
      </w:r>
      <w:r>
        <w:t>information</w:t>
      </w:r>
      <w:r w:rsidRPr="00AC3B31">
        <w:t xml:space="preserve"> and not the prior balance sheet.</w:t>
      </w:r>
    </w:p>
    <w:p w14:paraId="6889A34D" w14:textId="77777777" w:rsidR="00E77A30" w:rsidRPr="00AC3B31" w:rsidRDefault="00E77A30" w:rsidP="00E77A30">
      <w:pPr>
        <w:pStyle w:val="BodyText"/>
        <w:numPr>
          <w:ilvl w:val="0"/>
          <w:numId w:val="2"/>
        </w:numPr>
      </w:pPr>
      <w:r w:rsidRPr="00AC3B31">
        <w:t>Software MUST find the appropriate</w:t>
      </w:r>
      <w:r>
        <w:t xml:space="preserve"> fact which uses the</w:t>
      </w:r>
      <w:r w:rsidRPr="00AC3B31">
        <w:t xml:space="preserve"> US GAAP concept </w:t>
      </w:r>
      <w:r w:rsidRPr="00AC3B31">
        <w:rPr>
          <w:i/>
        </w:rPr>
        <w:t>Assets</w:t>
      </w:r>
      <w:r w:rsidRPr="00AC3B31">
        <w:t xml:space="preserve"> which is </w:t>
      </w:r>
      <w:proofErr w:type="spellStart"/>
      <w:r w:rsidRPr="00AC3B31">
        <w:t>us-gaap:Assets</w:t>
      </w:r>
      <w:proofErr w:type="spellEnd"/>
      <w:r w:rsidRPr="00AC3B31">
        <w:t>.</w:t>
      </w:r>
    </w:p>
    <w:p w14:paraId="034AAF6C" w14:textId="77777777" w:rsidR="00E77A30" w:rsidRPr="00AC3B31" w:rsidRDefault="00E77A30" w:rsidP="00E77A30">
      <w:pPr>
        <w:pStyle w:val="BodyText"/>
        <w:numPr>
          <w:ilvl w:val="0"/>
          <w:numId w:val="2"/>
        </w:numPr>
      </w:pPr>
      <w:r w:rsidRPr="00AC3B31">
        <w:t xml:space="preserve">Software MUST find </w:t>
      </w:r>
      <w:r>
        <w:t xml:space="preserve">the </w:t>
      </w:r>
      <w:r w:rsidRPr="00AC3B31">
        <w:t xml:space="preserve">appropriate </w:t>
      </w:r>
      <w:r>
        <w:t xml:space="preserve">fact which uses the </w:t>
      </w:r>
      <w:r w:rsidRPr="00AC3B31">
        <w:t xml:space="preserve">US GAAP concept for </w:t>
      </w:r>
      <w:r w:rsidRPr="00AC3B31">
        <w:rPr>
          <w:i/>
        </w:rPr>
        <w:t>Liabilities and Equity</w:t>
      </w:r>
      <w:r w:rsidRPr="00AC3B31">
        <w:t xml:space="preserve">.  This is a little harder because there are multiple </w:t>
      </w:r>
      <w:r w:rsidRPr="00AC3B31">
        <w:lastRenderedPageBreak/>
        <w:t xml:space="preserve">possible concepts: </w:t>
      </w:r>
      <w:proofErr w:type="spellStart"/>
      <w:r w:rsidRPr="00AC3B31">
        <w:t>us-gaap:LiabilitiesAndStockholdersEquity</w:t>
      </w:r>
      <w:proofErr w:type="spellEnd"/>
      <w:r w:rsidRPr="00AC3B31">
        <w:t xml:space="preserve"> or </w:t>
      </w:r>
      <w:proofErr w:type="spellStart"/>
      <w:r w:rsidRPr="00AC3B31">
        <w:t>us-gaap:LiabilitiesAndPartnersCapital</w:t>
      </w:r>
      <w:proofErr w:type="spellEnd"/>
      <w:r w:rsidRPr="00AC3B31">
        <w:t>.</w:t>
      </w:r>
    </w:p>
    <w:p w14:paraId="63386BAB" w14:textId="77777777" w:rsidR="00E77A30" w:rsidRPr="00AC3B31" w:rsidRDefault="00E77A30" w:rsidP="00E77A30">
      <w:pPr>
        <w:pStyle w:val="BodyText"/>
        <w:numPr>
          <w:ilvl w:val="0"/>
          <w:numId w:val="2"/>
        </w:numPr>
      </w:pPr>
      <w:r w:rsidRPr="00AC3B31">
        <w:t>Software MUST check the returned information to assure that it is consistent with what is expected, the business domain rule that “Assets = Liabilities and Equity”.</w:t>
      </w:r>
    </w:p>
    <w:p w14:paraId="06876A20" w14:textId="77777777" w:rsidR="00E77A30" w:rsidRPr="00AC3B31" w:rsidRDefault="00E77A30" w:rsidP="00B76023">
      <w:pPr>
        <w:pStyle w:val="BodyText"/>
      </w:pPr>
      <w:r w:rsidRPr="00AC3B31">
        <w:t>That is an overview of the workflow/process to obtain a basic set of information from the knowledgebase of XBRL-based public company financial filings.  And here are the results of that query for every financial report in that data set:</w:t>
      </w:r>
    </w:p>
    <w:p w14:paraId="13FF006E" w14:textId="77777777" w:rsidR="00E77A30" w:rsidRPr="00AC3B31" w:rsidRDefault="00E77A30" w:rsidP="00B76023">
      <w:pPr>
        <w:pStyle w:val="BodyText"/>
      </w:pPr>
      <w:r w:rsidRPr="00AC3B31">
        <w:rPr>
          <w:noProof/>
        </w:rPr>
        <w:drawing>
          <wp:inline distT="0" distB="0" distL="0" distR="0" wp14:anchorId="21B40043" wp14:editId="117AC370">
            <wp:extent cx="5514975" cy="3084497"/>
            <wp:effectExtent l="0" t="0" r="0" b="190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519869" cy="3087234"/>
                    </a:xfrm>
                    <a:prstGeom prst="rect">
                      <a:avLst/>
                    </a:prstGeom>
                  </pic:spPr>
                </pic:pic>
              </a:graphicData>
            </a:graphic>
          </wp:inline>
        </w:drawing>
      </w:r>
    </w:p>
    <w:p w14:paraId="38C03548" w14:textId="77777777" w:rsidR="00E77A30" w:rsidRPr="00AC3B31" w:rsidRDefault="00E77A30" w:rsidP="00B76023">
      <w:pPr>
        <w:pStyle w:val="BodyText"/>
      </w:pPr>
      <w:r w:rsidRPr="00AC3B31">
        <w:t>The results</w:t>
      </w:r>
      <w:r w:rsidRPr="00AC3B31">
        <w:rPr>
          <w:vertAlign w:val="superscript"/>
        </w:rPr>
        <w:footnoteReference w:id="8"/>
      </w:r>
      <w:r w:rsidRPr="00AC3B31">
        <w:t xml:space="preserve"> show that most of the balance sheets balance, Assets = Liabilities and Equity.  Some are inconsistent with what you would expect.  The total inconsistency is .3% which is not too bad.  However, the information needs to be </w:t>
      </w:r>
      <w:r>
        <w:t xml:space="preserve">much closer to </w:t>
      </w:r>
      <w:r w:rsidRPr="00AC3B31">
        <w:t>100% consistent in order to not get humans involved to figure out what is causing the inconsistencies.</w:t>
      </w:r>
    </w:p>
    <w:p w14:paraId="40C8E346" w14:textId="77777777" w:rsidR="00E77A30" w:rsidRPr="00AC3B31" w:rsidRDefault="00E77A30" w:rsidP="00B76023">
      <w:pPr>
        <w:pStyle w:val="Heading2"/>
      </w:pPr>
      <w:bookmarkStart w:id="11" w:name="_Toc418919767"/>
      <w:r w:rsidRPr="00AC3B31">
        <w:t>Proving the structural mechanics using XBRL-based public company financial filings</w:t>
      </w:r>
      <w:bookmarkEnd w:id="11"/>
    </w:p>
    <w:p w14:paraId="75C3BF48" w14:textId="77777777" w:rsidR="00E77A30" w:rsidRPr="00AC3B31" w:rsidRDefault="00E77A30" w:rsidP="00B76023">
      <w:pPr>
        <w:pStyle w:val="BodyText"/>
      </w:pPr>
      <w:r w:rsidRPr="00AC3B31">
        <w:t xml:space="preserve">How can you tell if the mechanics that this paper describes is correct?  It is actually rather easy: look at </w:t>
      </w:r>
      <w:proofErr w:type="spellStart"/>
      <w:r w:rsidRPr="00AC3B31">
        <w:t>publically</w:t>
      </w:r>
      <w:proofErr w:type="spellEnd"/>
      <w:r w:rsidRPr="00AC3B31">
        <w:t xml:space="preserve"> available XBRL-based financial filings which public companies report to the SEC.  First though, you need to reconcile the mechanical representation with an implementation of the mechanical representation in software</w:t>
      </w:r>
      <w:r w:rsidRPr="00AC3B31">
        <w:rPr>
          <w:vertAlign w:val="superscript"/>
        </w:rPr>
        <w:footnoteReference w:id="9"/>
      </w:r>
      <w:r w:rsidRPr="00AC3B31">
        <w:t xml:space="preserve">.  While it is beyond the scope to do a detailed reconciliation between the semantics use in this document, the terms use by software and the US GAAP XBRL Taxonomy and SEC, and the XBRL technical syntax specification; it is necessary to </w:t>
      </w:r>
      <w:r w:rsidRPr="00AC3B31">
        <w:lastRenderedPageBreak/>
        <w:t>provide an overview because we need to shift terminology slightly.  This is that overview which reconciles terminology:</w:t>
      </w:r>
    </w:p>
    <w:tbl>
      <w:tblPr>
        <w:tblStyle w:val="TableGrid"/>
        <w:tblW w:w="0" w:type="auto"/>
        <w:tblLook w:val="04A0" w:firstRow="1" w:lastRow="0" w:firstColumn="1" w:lastColumn="0" w:noHBand="0" w:noVBand="1"/>
      </w:tblPr>
      <w:tblGrid>
        <w:gridCol w:w="3960"/>
        <w:gridCol w:w="4896"/>
      </w:tblGrid>
      <w:tr w:rsidR="00E77A30" w:rsidRPr="00AC3B31" w14:paraId="476C4236" w14:textId="77777777" w:rsidTr="00EE2A3A">
        <w:tc>
          <w:tcPr>
            <w:tcW w:w="4248" w:type="dxa"/>
          </w:tcPr>
          <w:p w14:paraId="718E189A" w14:textId="77777777" w:rsidR="00E77A30" w:rsidRPr="00AC3B31" w:rsidRDefault="00E77A30" w:rsidP="00EE2A3A">
            <w:pPr>
              <w:pStyle w:val="BodyText"/>
              <w:rPr>
                <w:b/>
              </w:rPr>
            </w:pPr>
            <w:r w:rsidRPr="00AC3B31">
              <w:rPr>
                <w:b/>
              </w:rPr>
              <w:t>Term used in this document</w:t>
            </w:r>
          </w:p>
        </w:tc>
        <w:tc>
          <w:tcPr>
            <w:tcW w:w="5328" w:type="dxa"/>
          </w:tcPr>
          <w:p w14:paraId="7352B810" w14:textId="77777777" w:rsidR="00E77A30" w:rsidRPr="00AC3B31" w:rsidRDefault="00E77A30" w:rsidP="00EE2A3A">
            <w:pPr>
              <w:pStyle w:val="BodyText"/>
              <w:rPr>
                <w:b/>
              </w:rPr>
            </w:pPr>
            <w:r w:rsidRPr="00AC3B31">
              <w:rPr>
                <w:b/>
              </w:rPr>
              <w:t>Term used by software</w:t>
            </w:r>
          </w:p>
        </w:tc>
      </w:tr>
      <w:tr w:rsidR="00E77A30" w:rsidRPr="00AC3B31" w14:paraId="400186ED" w14:textId="77777777" w:rsidTr="00EE2A3A">
        <w:tc>
          <w:tcPr>
            <w:tcW w:w="4248" w:type="dxa"/>
          </w:tcPr>
          <w:p w14:paraId="1F34E9F6" w14:textId="77777777" w:rsidR="00E77A30" w:rsidRPr="00AC3B31" w:rsidRDefault="00E77A30" w:rsidP="00EE2A3A">
            <w:pPr>
              <w:pStyle w:val="BodyText"/>
            </w:pPr>
            <w:r w:rsidRPr="00AC3B31">
              <w:t>Economic or accounting entity</w:t>
            </w:r>
          </w:p>
        </w:tc>
        <w:tc>
          <w:tcPr>
            <w:tcW w:w="5328" w:type="dxa"/>
          </w:tcPr>
          <w:p w14:paraId="4C003BC3" w14:textId="77777777" w:rsidR="00E77A30" w:rsidRPr="00AC3B31" w:rsidRDefault="00E77A30" w:rsidP="00EE2A3A">
            <w:pPr>
              <w:pStyle w:val="BodyText"/>
            </w:pPr>
            <w:r w:rsidRPr="00AC3B31">
              <w:t>Reporting Entity CIK (XBRL context entity identifier)</w:t>
            </w:r>
          </w:p>
        </w:tc>
      </w:tr>
      <w:tr w:rsidR="00E77A30" w:rsidRPr="00AC3B31" w14:paraId="34CCA231" w14:textId="77777777" w:rsidTr="00EE2A3A">
        <w:tc>
          <w:tcPr>
            <w:tcW w:w="4248" w:type="dxa"/>
          </w:tcPr>
          <w:p w14:paraId="15A1F8D5" w14:textId="77777777" w:rsidR="00E77A30" w:rsidRPr="00AC3B31" w:rsidRDefault="00E77A30" w:rsidP="00EE2A3A">
            <w:pPr>
              <w:pStyle w:val="BodyText"/>
            </w:pPr>
            <w:r w:rsidRPr="00AC3B31">
              <w:t>Report</w:t>
            </w:r>
          </w:p>
        </w:tc>
        <w:tc>
          <w:tcPr>
            <w:tcW w:w="5328" w:type="dxa"/>
          </w:tcPr>
          <w:p w14:paraId="01D3C8D7" w14:textId="77777777" w:rsidR="00E77A30" w:rsidRPr="00AC3B31" w:rsidRDefault="00E77A30" w:rsidP="00EE2A3A">
            <w:pPr>
              <w:pStyle w:val="BodyText"/>
            </w:pPr>
            <w:r w:rsidRPr="00AC3B31">
              <w:t>XBRL instance document + XBRL taxonomy</w:t>
            </w:r>
          </w:p>
        </w:tc>
      </w:tr>
      <w:tr w:rsidR="00E77A30" w:rsidRPr="00AC3B31" w14:paraId="57DB1558" w14:textId="77777777" w:rsidTr="00EE2A3A">
        <w:tc>
          <w:tcPr>
            <w:tcW w:w="4248" w:type="dxa"/>
          </w:tcPr>
          <w:p w14:paraId="29771396" w14:textId="77777777" w:rsidR="00E77A30" w:rsidRPr="00AC3B31" w:rsidRDefault="00E77A30" w:rsidP="00EE2A3A">
            <w:pPr>
              <w:pStyle w:val="BodyText"/>
            </w:pPr>
            <w:r w:rsidRPr="00AC3B31">
              <w:t>Component</w:t>
            </w:r>
          </w:p>
        </w:tc>
        <w:tc>
          <w:tcPr>
            <w:tcW w:w="5328" w:type="dxa"/>
          </w:tcPr>
          <w:p w14:paraId="58372D8B" w14:textId="77777777" w:rsidR="00E77A30" w:rsidRPr="00AC3B31" w:rsidRDefault="00E77A30" w:rsidP="00EE2A3A">
            <w:pPr>
              <w:pStyle w:val="BodyText"/>
            </w:pPr>
            <w:r w:rsidRPr="00AC3B31">
              <w:t xml:space="preserve">XBRL </w:t>
            </w:r>
            <w:r w:rsidRPr="00AC3B31">
              <w:rPr>
                <w:b/>
              </w:rPr>
              <w:t>Network</w:t>
            </w:r>
            <w:r w:rsidRPr="00AC3B31">
              <w:t xml:space="preserve"> + [</w:t>
            </w:r>
            <w:r w:rsidRPr="00AC3B31">
              <w:rPr>
                <w:b/>
              </w:rPr>
              <w:t>Table</w:t>
            </w:r>
            <w:r w:rsidRPr="00AC3B31">
              <w:t>]</w:t>
            </w:r>
          </w:p>
        </w:tc>
      </w:tr>
      <w:tr w:rsidR="00E77A30" w:rsidRPr="00AC3B31" w14:paraId="27D02633" w14:textId="77777777" w:rsidTr="00EE2A3A">
        <w:tc>
          <w:tcPr>
            <w:tcW w:w="4248" w:type="dxa"/>
          </w:tcPr>
          <w:p w14:paraId="0ACEC7BC" w14:textId="77777777" w:rsidR="00E77A30" w:rsidRPr="00AC3B31" w:rsidRDefault="00E77A30" w:rsidP="00EE2A3A">
            <w:pPr>
              <w:pStyle w:val="BodyText"/>
            </w:pPr>
            <w:r w:rsidRPr="00AC3B31">
              <w:t>Characteristic (other than concept)</w:t>
            </w:r>
          </w:p>
        </w:tc>
        <w:tc>
          <w:tcPr>
            <w:tcW w:w="5328" w:type="dxa"/>
          </w:tcPr>
          <w:p w14:paraId="39D126F4" w14:textId="77777777" w:rsidR="00E77A30" w:rsidRPr="00AC3B31" w:rsidRDefault="00E77A30" w:rsidP="00EE2A3A">
            <w:pPr>
              <w:pStyle w:val="BodyText"/>
            </w:pPr>
            <w:r w:rsidRPr="00AC3B31">
              <w:t>[</w:t>
            </w:r>
            <w:r w:rsidRPr="00AC3B31">
              <w:rPr>
                <w:b/>
              </w:rPr>
              <w:t>Axis</w:t>
            </w:r>
            <w:r w:rsidRPr="00AC3B31">
              <w:t>] + [</w:t>
            </w:r>
            <w:r w:rsidRPr="00AC3B31">
              <w:rPr>
                <w:b/>
              </w:rPr>
              <w:t>Member</w:t>
            </w:r>
            <w:r w:rsidRPr="00AC3B31">
              <w:t>]</w:t>
            </w:r>
          </w:p>
        </w:tc>
      </w:tr>
      <w:tr w:rsidR="00E77A30" w:rsidRPr="00AC3B31" w14:paraId="7602FC99" w14:textId="77777777" w:rsidTr="00EE2A3A">
        <w:tc>
          <w:tcPr>
            <w:tcW w:w="4248" w:type="dxa"/>
          </w:tcPr>
          <w:p w14:paraId="775637E8" w14:textId="77777777" w:rsidR="00E77A30" w:rsidRPr="00AC3B31" w:rsidRDefault="00E77A30" w:rsidP="00EE2A3A">
            <w:pPr>
              <w:pStyle w:val="BodyText"/>
            </w:pPr>
            <w:r w:rsidRPr="00AC3B31">
              <w:t>Characteristic (concept)</w:t>
            </w:r>
          </w:p>
        </w:tc>
        <w:tc>
          <w:tcPr>
            <w:tcW w:w="5328" w:type="dxa"/>
          </w:tcPr>
          <w:p w14:paraId="41ABC720" w14:textId="77777777" w:rsidR="00E77A30" w:rsidRPr="00AC3B31" w:rsidRDefault="00E77A30" w:rsidP="00EE2A3A">
            <w:pPr>
              <w:pStyle w:val="BodyText"/>
            </w:pPr>
            <w:r w:rsidRPr="00AC3B31">
              <w:t>[</w:t>
            </w:r>
            <w:r w:rsidRPr="00AC3B31">
              <w:rPr>
                <w:b/>
              </w:rPr>
              <w:t>Line Items</w:t>
            </w:r>
            <w:r w:rsidRPr="00AC3B31">
              <w:t xml:space="preserve">] + </w:t>
            </w:r>
            <w:r w:rsidRPr="00AC3B31">
              <w:rPr>
                <w:b/>
              </w:rPr>
              <w:t>Concept</w:t>
            </w:r>
          </w:p>
        </w:tc>
      </w:tr>
      <w:tr w:rsidR="00E77A30" w:rsidRPr="00AC3B31" w14:paraId="4C78A6D9" w14:textId="77777777" w:rsidTr="00EE2A3A">
        <w:tc>
          <w:tcPr>
            <w:tcW w:w="4248" w:type="dxa"/>
          </w:tcPr>
          <w:p w14:paraId="6BA181F3" w14:textId="77777777" w:rsidR="00E77A30" w:rsidRPr="00AC3B31" w:rsidRDefault="00E77A30" w:rsidP="00EE2A3A">
            <w:pPr>
              <w:pStyle w:val="BodyText"/>
            </w:pPr>
            <w:r w:rsidRPr="00AC3B31">
              <w:t>Fact</w:t>
            </w:r>
          </w:p>
        </w:tc>
        <w:tc>
          <w:tcPr>
            <w:tcW w:w="5328" w:type="dxa"/>
          </w:tcPr>
          <w:p w14:paraId="2E033799" w14:textId="77777777" w:rsidR="00E77A30" w:rsidRPr="00AC3B31" w:rsidRDefault="00E77A30" w:rsidP="00EE2A3A">
            <w:pPr>
              <w:pStyle w:val="BodyText"/>
            </w:pPr>
            <w:r w:rsidRPr="00AC3B31">
              <w:t>Fact</w:t>
            </w:r>
          </w:p>
        </w:tc>
      </w:tr>
      <w:tr w:rsidR="00E77A30" w:rsidRPr="00AC3B31" w14:paraId="3DBE1D18" w14:textId="77777777" w:rsidTr="00EE2A3A">
        <w:tc>
          <w:tcPr>
            <w:tcW w:w="4248" w:type="dxa"/>
          </w:tcPr>
          <w:p w14:paraId="4BA5AA7F" w14:textId="77777777" w:rsidR="00E77A30" w:rsidRPr="00AC3B31" w:rsidRDefault="00E77A30" w:rsidP="00EE2A3A">
            <w:pPr>
              <w:pStyle w:val="BodyText"/>
            </w:pPr>
            <w:r w:rsidRPr="00AC3B31">
              <w:t>Block</w:t>
            </w:r>
          </w:p>
        </w:tc>
        <w:tc>
          <w:tcPr>
            <w:tcW w:w="5328" w:type="dxa"/>
          </w:tcPr>
          <w:p w14:paraId="2D8AB7E8" w14:textId="77777777" w:rsidR="00E77A30" w:rsidRPr="00AC3B31" w:rsidRDefault="00E77A30" w:rsidP="00EE2A3A">
            <w:pPr>
              <w:pStyle w:val="BodyText"/>
            </w:pPr>
            <w:r w:rsidRPr="00AC3B31">
              <w:t>XBRL Network + [</w:t>
            </w:r>
            <w:r w:rsidRPr="00AC3B31">
              <w:rPr>
                <w:b/>
              </w:rPr>
              <w:t>Table</w:t>
            </w:r>
            <w:r w:rsidRPr="00AC3B31">
              <w:t>] + [</w:t>
            </w:r>
            <w:r w:rsidRPr="00AC3B31">
              <w:rPr>
                <w:b/>
              </w:rPr>
              <w:t>Abstract</w:t>
            </w:r>
            <w:r w:rsidRPr="00AC3B31">
              <w:t>]</w:t>
            </w:r>
          </w:p>
        </w:tc>
      </w:tr>
      <w:tr w:rsidR="00E77A30" w:rsidRPr="00AC3B31" w14:paraId="65DD8BF3" w14:textId="77777777" w:rsidTr="00EE2A3A">
        <w:tc>
          <w:tcPr>
            <w:tcW w:w="4248" w:type="dxa"/>
          </w:tcPr>
          <w:p w14:paraId="416EE514" w14:textId="77777777" w:rsidR="00E77A30" w:rsidRPr="00AC3B31" w:rsidRDefault="00E77A30" w:rsidP="00EE2A3A">
            <w:pPr>
              <w:pStyle w:val="BodyText"/>
            </w:pPr>
            <w:r w:rsidRPr="00AC3B31">
              <w:t>Relations pattern</w:t>
            </w:r>
          </w:p>
        </w:tc>
        <w:tc>
          <w:tcPr>
            <w:tcW w:w="5328" w:type="dxa"/>
          </w:tcPr>
          <w:p w14:paraId="5657156B" w14:textId="77777777" w:rsidR="00E77A30" w:rsidRPr="00AC3B31" w:rsidRDefault="00E77A30" w:rsidP="00EE2A3A">
            <w:pPr>
              <w:pStyle w:val="BodyText"/>
            </w:pPr>
            <w:r w:rsidRPr="00AC3B31">
              <w:t>NOT IN SCOPE</w:t>
            </w:r>
          </w:p>
        </w:tc>
      </w:tr>
      <w:tr w:rsidR="00E77A30" w:rsidRPr="00AC3B31" w14:paraId="64337488" w14:textId="77777777" w:rsidTr="00EE2A3A">
        <w:tc>
          <w:tcPr>
            <w:tcW w:w="4248" w:type="dxa"/>
          </w:tcPr>
          <w:p w14:paraId="7F4EE08F" w14:textId="77777777" w:rsidR="00E77A30" w:rsidRPr="00AC3B31" w:rsidRDefault="00E77A30" w:rsidP="00EE2A3A">
            <w:pPr>
              <w:pStyle w:val="BodyText"/>
            </w:pPr>
            <w:r w:rsidRPr="00AC3B31">
              <w:t>Properties</w:t>
            </w:r>
          </w:p>
        </w:tc>
        <w:tc>
          <w:tcPr>
            <w:tcW w:w="5328" w:type="dxa"/>
          </w:tcPr>
          <w:p w14:paraId="1009D4C0" w14:textId="77777777" w:rsidR="00E77A30" w:rsidRPr="00AC3B31" w:rsidRDefault="00E77A30" w:rsidP="00EE2A3A">
            <w:pPr>
              <w:pStyle w:val="BodyText"/>
            </w:pPr>
            <w:r w:rsidRPr="00AC3B31">
              <w:t>NOT IN SCOPE</w:t>
            </w:r>
          </w:p>
        </w:tc>
      </w:tr>
    </w:tbl>
    <w:p w14:paraId="250A7ABF" w14:textId="77777777" w:rsidR="00E77A30" w:rsidRPr="00AC3B31" w:rsidRDefault="00E77A30" w:rsidP="00B76023">
      <w:pPr>
        <w:pStyle w:val="BodyText"/>
      </w:pPr>
    </w:p>
    <w:p w14:paraId="1E13B619" w14:textId="77777777" w:rsidR="00E77A30" w:rsidRPr="00AC3B31" w:rsidRDefault="00E77A30" w:rsidP="00B76023">
      <w:pPr>
        <w:pStyle w:val="BodyText"/>
      </w:pPr>
      <w:r w:rsidRPr="00AC3B31">
        <w:t xml:space="preserve">That is a rough explanation of the terms we use to describe the mechanics of a financial report and terms use by software applications, </w:t>
      </w:r>
      <w:r>
        <w:t xml:space="preserve">XBRL-based financial filings of public companies to the </w:t>
      </w:r>
      <w:r w:rsidRPr="00AC3B31">
        <w:t>SEC, and the US GAAP XBRL Taxonomy.  A complete reconciliation of terminology is beyond the scope of this document and would cause more confusion and complexity that most business professionals would tolerate.</w:t>
      </w:r>
    </w:p>
    <w:p w14:paraId="753DA636" w14:textId="77777777" w:rsidR="00E77A30" w:rsidRPr="00AC3B31" w:rsidRDefault="00E77A30" w:rsidP="00B76023">
      <w:pPr>
        <w:pStyle w:val="BodyText"/>
      </w:pPr>
      <w:r w:rsidRPr="00AC3B31">
        <w:t>To keep this simple, the implementation of the mechanics can be distilled down to the following classes of report elements: Network, Table, Axis, Member, Line Items, Abstract and Concept.   They are roughly related as follows:</w:t>
      </w:r>
    </w:p>
    <w:p w14:paraId="591E4A3F" w14:textId="77777777" w:rsidR="00E77A30" w:rsidRPr="00AC3B31" w:rsidRDefault="00E77A30" w:rsidP="00B76023">
      <w:pPr>
        <w:pStyle w:val="BodyText"/>
      </w:pPr>
      <w:r w:rsidRPr="00AC3B31">
        <w:t xml:space="preserve"> </w:t>
      </w:r>
      <w:r w:rsidRPr="00AC3B31">
        <w:rPr>
          <w:noProof/>
        </w:rPr>
        <w:drawing>
          <wp:inline distT="0" distB="0" distL="0" distR="0" wp14:anchorId="2DA862E6" wp14:editId="2FE6E8C6">
            <wp:extent cx="1780953" cy="14380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780953" cy="1438095"/>
                    </a:xfrm>
                    <a:prstGeom prst="rect">
                      <a:avLst/>
                    </a:prstGeom>
                  </pic:spPr>
                </pic:pic>
              </a:graphicData>
            </a:graphic>
          </wp:inline>
        </w:drawing>
      </w:r>
    </w:p>
    <w:p w14:paraId="7A132AA0" w14:textId="77777777" w:rsidR="00E77A30" w:rsidRPr="00AC3B31" w:rsidRDefault="00E77A30" w:rsidP="00B76023">
      <w:pPr>
        <w:pStyle w:val="BodyText"/>
      </w:pPr>
      <w:r w:rsidRPr="00AC3B31">
        <w:t>Software was used to query the mechanical structure of 6,674 XBRL-based public company 10-K filings for primarily fiscal year 2013 and the following results were obtained:</w:t>
      </w:r>
    </w:p>
    <w:p w14:paraId="4C5730DD" w14:textId="77777777" w:rsidR="00E77A30" w:rsidRPr="00AC3B31" w:rsidRDefault="00E77A30" w:rsidP="00B76023">
      <w:pPr>
        <w:pStyle w:val="BodyText"/>
      </w:pPr>
      <w:r w:rsidRPr="00AC3B31">
        <w:rPr>
          <w:noProof/>
        </w:rPr>
        <w:lastRenderedPageBreak/>
        <w:drawing>
          <wp:inline distT="0" distB="0" distL="0" distR="0" wp14:anchorId="487CB7E4" wp14:editId="73A77600">
            <wp:extent cx="5448300" cy="1750602"/>
            <wp:effectExtent l="0" t="0" r="0" b="254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59371" cy="1754159"/>
                    </a:xfrm>
                    <a:prstGeom prst="rect">
                      <a:avLst/>
                    </a:prstGeom>
                  </pic:spPr>
                </pic:pic>
              </a:graphicData>
            </a:graphic>
          </wp:inline>
        </w:drawing>
      </w:r>
    </w:p>
    <w:p w14:paraId="47FA6820" w14:textId="77777777" w:rsidR="00E77A30" w:rsidRPr="00AC3B31" w:rsidRDefault="00E77A30" w:rsidP="00B76023">
      <w:pPr>
        <w:pStyle w:val="BodyText"/>
      </w:pPr>
      <w:r w:rsidRPr="00AC3B31">
        <w:t xml:space="preserve">In the columns are the </w:t>
      </w:r>
      <w:r>
        <w:t>structural</w:t>
      </w:r>
      <w:r w:rsidRPr="00AC3B31">
        <w:t xml:space="preserve"> </w:t>
      </w:r>
      <w:r>
        <w:t>type/</w:t>
      </w:r>
      <w:r w:rsidRPr="00AC3B31">
        <w:t xml:space="preserve">class of pieces which serve as the parent for some child </w:t>
      </w:r>
      <w:r>
        <w:t>structural</w:t>
      </w:r>
      <w:r w:rsidRPr="00AC3B31">
        <w:t xml:space="preserve"> </w:t>
      </w:r>
      <w:r>
        <w:t>type/</w:t>
      </w:r>
      <w:r w:rsidRPr="00AC3B31">
        <w:t xml:space="preserve">class of piece: Network, Table, Axis, and so on.  In the rows are the child </w:t>
      </w:r>
      <w:r>
        <w:t>structural</w:t>
      </w:r>
      <w:r w:rsidRPr="00AC3B31">
        <w:t xml:space="preserve"> pieces: Network, Table, Axis, and so on.  The cells show the number of relations which exist in the set of 6,674 digital financial reports.</w:t>
      </w:r>
    </w:p>
    <w:p w14:paraId="6C79654B" w14:textId="77777777" w:rsidR="00E77A30" w:rsidRPr="00AC3B31" w:rsidRDefault="00E77A30" w:rsidP="00B76023">
      <w:pPr>
        <w:pStyle w:val="BodyText"/>
      </w:pPr>
      <w:r w:rsidRPr="00AC3B31">
        <w:t>This second graphic of the same information will help you to interpret and understand the results:</w:t>
      </w:r>
    </w:p>
    <w:p w14:paraId="082FEE01" w14:textId="77777777" w:rsidR="00E77A30" w:rsidRPr="00AC3B31" w:rsidRDefault="00E77A30" w:rsidP="00B76023">
      <w:pPr>
        <w:pStyle w:val="BodyText"/>
      </w:pPr>
      <w:r w:rsidRPr="00AC3B31">
        <w:rPr>
          <w:noProof/>
        </w:rPr>
        <w:drawing>
          <wp:inline distT="0" distB="0" distL="0" distR="0" wp14:anchorId="7A66C579" wp14:editId="53B2AD50">
            <wp:extent cx="5514975" cy="1805229"/>
            <wp:effectExtent l="0" t="0" r="0" b="508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531612" cy="1810675"/>
                    </a:xfrm>
                    <a:prstGeom prst="rect">
                      <a:avLst/>
                    </a:prstGeom>
                  </pic:spPr>
                </pic:pic>
              </a:graphicData>
            </a:graphic>
          </wp:inline>
        </w:drawing>
      </w:r>
    </w:p>
    <w:p w14:paraId="31CA444D" w14:textId="77777777" w:rsidR="00E77A30" w:rsidRPr="00AC3B31" w:rsidRDefault="00E77A30" w:rsidP="00B76023">
      <w:pPr>
        <w:pStyle w:val="BodyText"/>
      </w:pPr>
      <w:r w:rsidRPr="00AC3B31">
        <w:t>What the graphic says about the relationships between the structural pieces of the digital financial reports is the following:</w:t>
      </w:r>
    </w:p>
    <w:p w14:paraId="37AB10B2" w14:textId="77777777" w:rsidR="00E77A30" w:rsidRPr="00AC3B31" w:rsidRDefault="00E77A30" w:rsidP="00E77A30">
      <w:pPr>
        <w:pStyle w:val="BodyText"/>
        <w:numPr>
          <w:ilvl w:val="0"/>
          <w:numId w:val="10"/>
        </w:numPr>
      </w:pPr>
      <w:r w:rsidRPr="00AC3B31">
        <w:t>Of the 386,912 [Axis] which exist in the report, there are ZERO occasions where a parent [Axis] has a child [Axis].</w:t>
      </w:r>
    </w:p>
    <w:p w14:paraId="38AC4485" w14:textId="77777777" w:rsidR="00E77A30" w:rsidRPr="00AC3B31" w:rsidRDefault="00E77A30" w:rsidP="00E77A30">
      <w:pPr>
        <w:pStyle w:val="BodyText"/>
        <w:numPr>
          <w:ilvl w:val="0"/>
          <w:numId w:val="10"/>
        </w:numPr>
      </w:pPr>
      <w:r w:rsidRPr="00AC3B31">
        <w:t>Of the 232,690 [Line Items] which exist in the report, there are 1,222,427 occasions where the parent [Line Items] has a child which is a Concept.</w:t>
      </w:r>
    </w:p>
    <w:p w14:paraId="43CD8393" w14:textId="77777777" w:rsidR="00E77A30" w:rsidRPr="00AC3B31" w:rsidRDefault="00E77A30" w:rsidP="00B76023">
      <w:pPr>
        <w:pStyle w:val="BodyText"/>
      </w:pPr>
      <w:r w:rsidRPr="00AC3B31">
        <w:t xml:space="preserve">Without going into a lot of detail, the following graphic shows what the above graphic means: the allowed and disallowed relations between the mechanical building blocks: Network, Table, Axis, Member, </w:t>
      </w:r>
      <w:proofErr w:type="spellStart"/>
      <w:r w:rsidRPr="00AC3B31">
        <w:t>LineItems</w:t>
      </w:r>
      <w:proofErr w:type="spellEnd"/>
      <w:r w:rsidRPr="00AC3B31">
        <w:t>, Abstract and Concept.</w:t>
      </w:r>
    </w:p>
    <w:p w14:paraId="3E3D6F66" w14:textId="77777777" w:rsidR="00E77A30" w:rsidRPr="00AC3B31" w:rsidRDefault="00E77A30" w:rsidP="00B76023">
      <w:pPr>
        <w:pStyle w:val="BodyText"/>
      </w:pPr>
      <w:r w:rsidRPr="00AC3B31">
        <w:rPr>
          <w:noProof/>
        </w:rPr>
        <w:lastRenderedPageBreak/>
        <w:drawing>
          <wp:inline distT="0" distB="0" distL="0" distR="0" wp14:anchorId="08AFC7BB" wp14:editId="5A8E1976">
            <wp:extent cx="5467350" cy="1651876"/>
            <wp:effectExtent l="0" t="0" r="0" b="571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0042" cy="1655711"/>
                    </a:xfrm>
                    <a:prstGeom prst="rect">
                      <a:avLst/>
                    </a:prstGeom>
                  </pic:spPr>
                </pic:pic>
              </a:graphicData>
            </a:graphic>
          </wp:inline>
        </w:drawing>
      </w:r>
    </w:p>
    <w:p w14:paraId="55E78374" w14:textId="77777777" w:rsidR="00E77A30" w:rsidRPr="00AC3B31" w:rsidRDefault="00E77A30" w:rsidP="00B76023">
      <w:pPr>
        <w:pStyle w:val="BodyText"/>
      </w:pPr>
      <w:r w:rsidRPr="00AC3B31">
        <w:t>The point here is not to have a debate about what should be allowed and what should not be allowed.  While that debate and perhaps even a theoretical or philosophical discussion about the merits of allowing or disallowing relations could prove useful, that is not the point.</w:t>
      </w:r>
    </w:p>
    <w:p w14:paraId="2DAAEC75" w14:textId="77777777" w:rsidR="00E77A30" w:rsidRPr="00AC3B31" w:rsidRDefault="00E77A30" w:rsidP="00B76023">
      <w:pPr>
        <w:pStyle w:val="BodyText"/>
      </w:pPr>
      <w:r w:rsidRPr="00AC3B31">
        <w:t>The point is this: First, if a profound majority of XBRL-based financial reports are represented in a certain way, it is very difficult to say that the approach is wrong.  Not impossible because the majority could be incorrect in certain occasions.</w:t>
      </w:r>
    </w:p>
    <w:p w14:paraId="113E0CE3" w14:textId="77777777" w:rsidR="00E77A30" w:rsidRPr="00AC3B31" w:rsidRDefault="00E77A30" w:rsidP="00B76023">
      <w:pPr>
        <w:pStyle w:val="BodyText"/>
      </w:pPr>
      <w:r w:rsidRPr="00AC3B31">
        <w:t>But second, and most importantly, if rules can be created and enforced by software and it is possible to have 100% agreement then why is that not done?</w:t>
      </w:r>
    </w:p>
    <w:p w14:paraId="148125C7" w14:textId="77777777" w:rsidR="00E77A30" w:rsidRPr="00AC3B31" w:rsidRDefault="00E77A30" w:rsidP="00B76023">
      <w:pPr>
        <w:pStyle w:val="BodyText"/>
      </w:pPr>
      <w:r w:rsidRPr="00AC3B31">
        <w:t>Look at the graphic again.  Notice that there are ZERO occasions where a Network is a child of any other mechanical structure.  Why is that?  The reason that there are ZERO is that the XBRL technical specification states that such relations are not allowed, and the XBRL consistency suite tests to make sure software does not make this mechanical mistake.</w:t>
      </w:r>
      <w:r>
        <w:t xml:space="preserve">  And software vendors test their software against the XBRL consistency suite.  Therefore, no software has these sorts of errors and is therefore interoperable with other software applications.</w:t>
      </w:r>
    </w:p>
    <w:p w14:paraId="3992F772" w14:textId="77777777" w:rsidR="00E77A30" w:rsidRPr="00AC3B31" w:rsidRDefault="00E77A30" w:rsidP="00B76023">
      <w:pPr>
        <w:pStyle w:val="BodyText"/>
      </w:pPr>
      <w:r w:rsidRPr="00AC3B31">
        <w:t xml:space="preserve">And so an obvious question is this: why are not other </w:t>
      </w:r>
      <w:r>
        <w:t>structural</w:t>
      </w:r>
      <w:r w:rsidRPr="00AC3B31">
        <w:t xml:space="preserve"> aspects not enforced in this manner?</w:t>
      </w:r>
    </w:p>
    <w:p w14:paraId="562B9413" w14:textId="77777777" w:rsidR="00E77A30" w:rsidRPr="00AC3B31" w:rsidRDefault="00E77A30" w:rsidP="00B76023">
      <w:pPr>
        <w:pStyle w:val="BodyText"/>
      </w:pPr>
    </w:p>
    <w:p w14:paraId="60DC7790" w14:textId="77777777" w:rsidR="00E77A30" w:rsidRPr="00AC3B31" w:rsidRDefault="00E77A30" w:rsidP="00B76023">
      <w:pPr>
        <w:pStyle w:val="BodyText"/>
        <w:rPr>
          <w:i/>
        </w:rPr>
      </w:pPr>
    </w:p>
    <w:p w14:paraId="04E3C747" w14:textId="77777777" w:rsidR="00E77A30" w:rsidRPr="00AC3B31" w:rsidRDefault="00E77A30" w:rsidP="00B76023">
      <w:pPr>
        <w:pStyle w:val="BodyText"/>
      </w:pPr>
    </w:p>
    <w:p w14:paraId="31609ADA" w14:textId="77777777" w:rsidR="00E77A30" w:rsidRPr="00AC3B31" w:rsidRDefault="00E77A30" w:rsidP="00B76023">
      <w:pPr>
        <w:pStyle w:val="BodyText"/>
      </w:pPr>
      <w:r w:rsidRPr="00AC3B31">
        <w:br w:type="page"/>
      </w:r>
    </w:p>
    <w:p w14:paraId="62216F8A" w14:textId="77777777" w:rsidR="00E77A30" w:rsidRPr="00AC3B31" w:rsidRDefault="00E77A30" w:rsidP="00B76023">
      <w:pPr>
        <w:pStyle w:val="Heading2"/>
      </w:pPr>
      <w:bookmarkStart w:id="12" w:name="_Toc418919768"/>
      <w:r w:rsidRPr="00AC3B31">
        <w:lastRenderedPageBreak/>
        <w:t>Proving other mechanics using XBRL-based public company financial filings</w:t>
      </w:r>
      <w:bookmarkEnd w:id="12"/>
    </w:p>
    <w:p w14:paraId="37C0F2E0" w14:textId="77777777" w:rsidR="00E77A30" w:rsidRPr="00AC3B31" w:rsidRDefault="00E77A30" w:rsidP="00B76023">
      <w:pPr>
        <w:pStyle w:val="BodyText"/>
      </w:pPr>
      <w:r w:rsidRPr="00AC3B31">
        <w:t xml:space="preserve">The following is a summary of the consistency of other </w:t>
      </w:r>
      <w:r>
        <w:t>logical, mechanical, or mathematical rules</w:t>
      </w:r>
      <w:r w:rsidRPr="00AC3B31">
        <w:t xml:space="preserve"> of XBRL-based public company 10-K financial filings from the same set of 6,674 filings for FY 2013, an earlier set of similar 10-K financial reports for FY 2012, and for another similar set of 10-Q and 10-K financial filings for FY 2014</w:t>
      </w:r>
      <w:r w:rsidRPr="00AC3B31">
        <w:rPr>
          <w:vertAlign w:val="superscript"/>
        </w:rPr>
        <w:footnoteReference w:id="10"/>
      </w:r>
      <w:r w:rsidRPr="00AC3B31">
        <w:t>.</w:t>
      </w:r>
    </w:p>
    <w:p w14:paraId="00324AE1" w14:textId="77777777" w:rsidR="00E77A30" w:rsidRPr="00AC3B31" w:rsidRDefault="00E77A30" w:rsidP="00B76023">
      <w:pPr>
        <w:pStyle w:val="BodyText"/>
      </w:pPr>
      <w:r w:rsidRPr="00AC3B31">
        <w:rPr>
          <w:noProof/>
        </w:rPr>
        <w:drawing>
          <wp:inline distT="0" distB="0" distL="0" distR="0" wp14:anchorId="1873BD7B" wp14:editId="2B38C398">
            <wp:extent cx="5476875" cy="4934454"/>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1368" cy="4938502"/>
                    </a:xfrm>
                    <a:prstGeom prst="rect">
                      <a:avLst/>
                    </a:prstGeom>
                  </pic:spPr>
                </pic:pic>
              </a:graphicData>
            </a:graphic>
          </wp:inline>
        </w:drawing>
      </w:r>
    </w:p>
    <w:p w14:paraId="246F4280" w14:textId="77777777" w:rsidR="00E77A30" w:rsidRPr="00AC3B31" w:rsidRDefault="00E77A30" w:rsidP="00B76023">
      <w:pPr>
        <w:pStyle w:val="BodyText"/>
      </w:pPr>
      <w:r w:rsidRPr="00AC3B31">
        <w:t>The primary point here is that if you look at the columns on the right for FY 2014, FY 2013, and FY 2012 you notice that testing against what we would expect yielded a very high number of XBRL-based public company financial reports that are consistent with those expectations.</w:t>
      </w:r>
    </w:p>
    <w:p w14:paraId="5B56FB25" w14:textId="77777777" w:rsidR="00E77A30" w:rsidRPr="00AC3B31" w:rsidRDefault="00E77A30" w:rsidP="00B76023">
      <w:pPr>
        <w:pStyle w:val="BodyText"/>
      </w:pPr>
    </w:p>
    <w:p w14:paraId="32EDB014" w14:textId="77777777" w:rsidR="00E77A30" w:rsidRPr="00AC3B31" w:rsidRDefault="00E77A30" w:rsidP="00B76023">
      <w:pPr>
        <w:pStyle w:val="Heading2"/>
      </w:pPr>
      <w:bookmarkStart w:id="13" w:name="_Toc418919770"/>
      <w:r w:rsidRPr="00AC3B31">
        <w:lastRenderedPageBreak/>
        <w:t>Summary of the complete representation model and mechanics</w:t>
      </w:r>
      <w:bookmarkEnd w:id="13"/>
    </w:p>
    <w:p w14:paraId="6388CFD9" w14:textId="77777777" w:rsidR="00E77A30" w:rsidRPr="00AC3B31" w:rsidRDefault="00E77A30" w:rsidP="00B76023">
      <w:pPr>
        <w:pStyle w:val="BodyText"/>
        <w:rPr>
          <w:lang w:val="en"/>
        </w:rPr>
      </w:pPr>
      <w:r w:rsidRPr="00AC3B31">
        <w:rPr>
          <w:lang w:val="en"/>
        </w:rPr>
        <w:t xml:space="preserve">To tie all of the pieces together, we provide this summary of the representation model and an overview of the </w:t>
      </w:r>
      <w:r>
        <w:rPr>
          <w:lang w:val="en"/>
        </w:rPr>
        <w:t xml:space="preserve">logical, </w:t>
      </w:r>
      <w:r w:rsidRPr="00AC3B31">
        <w:rPr>
          <w:lang w:val="en"/>
        </w:rPr>
        <w:t>mechanical</w:t>
      </w:r>
      <w:r>
        <w:rPr>
          <w:lang w:val="en"/>
        </w:rPr>
        <w:t xml:space="preserve"> and mathematical</w:t>
      </w:r>
      <w:r w:rsidRPr="00AC3B31">
        <w:rPr>
          <w:lang w:val="en"/>
        </w:rPr>
        <w:t xml:space="preserve"> aspects of a financial report.  The graphic below shows each of the implementation pieces which can be different depending upon how a software application exposes the pieces of a digital financial report to its business users.  This is a summary of the pieces of a financial report.</w:t>
      </w:r>
    </w:p>
    <w:p w14:paraId="129A96D8" w14:textId="77777777" w:rsidR="00E77A30" w:rsidRPr="00AC3B31" w:rsidRDefault="00E77A30" w:rsidP="00B76023">
      <w:pPr>
        <w:pStyle w:val="BodyText"/>
      </w:pPr>
      <w:r w:rsidRPr="00AC3B31">
        <w:rPr>
          <w:noProof/>
        </w:rPr>
        <w:drawing>
          <wp:inline distT="0" distB="0" distL="0" distR="0" wp14:anchorId="3BB462A1" wp14:editId="12388E1D">
            <wp:extent cx="4838096" cy="3371429"/>
            <wp:effectExtent l="0" t="0" r="635" b="63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838096" cy="3371429"/>
                    </a:xfrm>
                    <a:prstGeom prst="rect">
                      <a:avLst/>
                    </a:prstGeom>
                  </pic:spPr>
                </pic:pic>
              </a:graphicData>
            </a:graphic>
          </wp:inline>
        </w:drawing>
      </w:r>
    </w:p>
    <w:p w14:paraId="4F999C3B" w14:textId="77777777" w:rsidR="00E77A30" w:rsidRPr="00AC3B31" w:rsidRDefault="00E77A30" w:rsidP="00B76023">
      <w:pPr>
        <w:pStyle w:val="BodyText"/>
      </w:pPr>
      <w:r w:rsidRPr="00AC3B31">
        <w:t>The table below summarizes the pieces that exist in the 10-K financial information of 6,674 public companies who report to the SEC using the XBRL format.  The class of report piece, a count of the individuals in those reports, an average for many of the pieces and a brief comment is provided:</w:t>
      </w:r>
    </w:p>
    <w:tbl>
      <w:tblPr>
        <w:tblStyle w:val="TableGrid"/>
        <w:tblW w:w="0" w:type="auto"/>
        <w:tblLayout w:type="fixed"/>
        <w:tblLook w:val="04A0" w:firstRow="1" w:lastRow="0" w:firstColumn="1" w:lastColumn="0" w:noHBand="0" w:noVBand="1"/>
      </w:tblPr>
      <w:tblGrid>
        <w:gridCol w:w="1442"/>
        <w:gridCol w:w="1232"/>
        <w:gridCol w:w="1214"/>
        <w:gridCol w:w="4860"/>
      </w:tblGrid>
      <w:tr w:rsidR="00E77A30" w:rsidRPr="00433445" w14:paraId="55E7FE40" w14:textId="77777777" w:rsidTr="00B21DD5">
        <w:trPr>
          <w:tblHeader/>
        </w:trPr>
        <w:tc>
          <w:tcPr>
            <w:tcW w:w="1442" w:type="dxa"/>
          </w:tcPr>
          <w:p w14:paraId="530B7360" w14:textId="77777777" w:rsidR="00E77A30" w:rsidRPr="00433445" w:rsidRDefault="00E77A30" w:rsidP="00EE2A3A">
            <w:pPr>
              <w:pStyle w:val="BodyText"/>
              <w:rPr>
                <w:b/>
                <w:sz w:val="18"/>
              </w:rPr>
            </w:pPr>
          </w:p>
          <w:p w14:paraId="795611F2" w14:textId="77777777" w:rsidR="00E77A30" w:rsidRPr="00433445" w:rsidRDefault="00E77A30" w:rsidP="00EE2A3A">
            <w:pPr>
              <w:pStyle w:val="BodyText"/>
              <w:rPr>
                <w:b/>
                <w:sz w:val="18"/>
              </w:rPr>
            </w:pPr>
          </w:p>
          <w:p w14:paraId="75FB7C94" w14:textId="77777777" w:rsidR="00E77A30" w:rsidRPr="00433445" w:rsidRDefault="00E77A30" w:rsidP="00EE2A3A">
            <w:pPr>
              <w:pStyle w:val="BodyText"/>
              <w:rPr>
                <w:b/>
                <w:sz w:val="18"/>
              </w:rPr>
            </w:pPr>
            <w:r w:rsidRPr="00433445">
              <w:rPr>
                <w:b/>
                <w:sz w:val="18"/>
              </w:rPr>
              <w:t>Class</w:t>
            </w:r>
          </w:p>
        </w:tc>
        <w:tc>
          <w:tcPr>
            <w:tcW w:w="1232" w:type="dxa"/>
          </w:tcPr>
          <w:p w14:paraId="4BE729C8" w14:textId="77777777" w:rsidR="00E77A30" w:rsidRPr="00433445" w:rsidRDefault="00E77A30" w:rsidP="00EE2A3A">
            <w:pPr>
              <w:pStyle w:val="BodyText"/>
              <w:rPr>
                <w:b/>
                <w:sz w:val="18"/>
              </w:rPr>
            </w:pPr>
          </w:p>
          <w:p w14:paraId="7E3ACCC5" w14:textId="77777777" w:rsidR="00E77A30" w:rsidRPr="00433445" w:rsidRDefault="00E77A30" w:rsidP="00EE2A3A">
            <w:pPr>
              <w:pStyle w:val="BodyText"/>
              <w:rPr>
                <w:b/>
                <w:sz w:val="18"/>
              </w:rPr>
            </w:pPr>
          </w:p>
          <w:p w14:paraId="30CEB015" w14:textId="77777777" w:rsidR="00E77A30" w:rsidRPr="00433445" w:rsidRDefault="00E77A30" w:rsidP="00EE2A3A">
            <w:pPr>
              <w:pStyle w:val="BodyText"/>
              <w:rPr>
                <w:b/>
                <w:sz w:val="18"/>
              </w:rPr>
            </w:pPr>
            <w:r w:rsidRPr="00433445">
              <w:rPr>
                <w:b/>
                <w:sz w:val="18"/>
              </w:rPr>
              <w:t>Count</w:t>
            </w:r>
          </w:p>
        </w:tc>
        <w:tc>
          <w:tcPr>
            <w:tcW w:w="1214" w:type="dxa"/>
          </w:tcPr>
          <w:p w14:paraId="0445DBB1" w14:textId="77777777" w:rsidR="00E77A30" w:rsidRPr="00433445" w:rsidRDefault="00E77A30" w:rsidP="00EE2A3A">
            <w:pPr>
              <w:pStyle w:val="BodyText"/>
              <w:rPr>
                <w:b/>
                <w:sz w:val="18"/>
              </w:rPr>
            </w:pPr>
            <w:r w:rsidRPr="00433445">
              <w:rPr>
                <w:b/>
                <w:sz w:val="18"/>
              </w:rPr>
              <w:t>Average per Report</w:t>
            </w:r>
          </w:p>
        </w:tc>
        <w:tc>
          <w:tcPr>
            <w:tcW w:w="4860" w:type="dxa"/>
          </w:tcPr>
          <w:p w14:paraId="0709C269" w14:textId="77777777" w:rsidR="00E77A30" w:rsidRPr="00433445" w:rsidRDefault="00E77A30" w:rsidP="00EE2A3A">
            <w:pPr>
              <w:pStyle w:val="BodyText"/>
              <w:rPr>
                <w:b/>
                <w:sz w:val="18"/>
              </w:rPr>
            </w:pPr>
          </w:p>
          <w:p w14:paraId="1C73F6F6" w14:textId="77777777" w:rsidR="00E77A30" w:rsidRPr="00433445" w:rsidRDefault="00E77A30" w:rsidP="00EE2A3A">
            <w:pPr>
              <w:pStyle w:val="BodyText"/>
              <w:rPr>
                <w:b/>
                <w:sz w:val="18"/>
              </w:rPr>
            </w:pPr>
          </w:p>
          <w:p w14:paraId="27D5F36A" w14:textId="77777777" w:rsidR="00E77A30" w:rsidRPr="00433445" w:rsidRDefault="00E77A30" w:rsidP="00EE2A3A">
            <w:pPr>
              <w:pStyle w:val="BodyText"/>
              <w:rPr>
                <w:b/>
                <w:sz w:val="18"/>
              </w:rPr>
            </w:pPr>
            <w:r w:rsidRPr="00433445">
              <w:rPr>
                <w:b/>
                <w:sz w:val="18"/>
              </w:rPr>
              <w:t>Comment</w:t>
            </w:r>
          </w:p>
        </w:tc>
      </w:tr>
      <w:tr w:rsidR="00E77A30" w:rsidRPr="00433445" w14:paraId="6BF0A4C2" w14:textId="77777777" w:rsidTr="00B21DD5">
        <w:trPr>
          <w:tblHeader/>
        </w:trPr>
        <w:tc>
          <w:tcPr>
            <w:tcW w:w="1442" w:type="dxa"/>
          </w:tcPr>
          <w:p w14:paraId="4011C7CC" w14:textId="77777777" w:rsidR="00E77A30" w:rsidRPr="00433445" w:rsidRDefault="00E77A30" w:rsidP="00EE2A3A">
            <w:pPr>
              <w:pStyle w:val="BodyText"/>
              <w:rPr>
                <w:sz w:val="18"/>
              </w:rPr>
            </w:pPr>
            <w:r w:rsidRPr="00433445">
              <w:rPr>
                <w:sz w:val="18"/>
              </w:rPr>
              <w:t>Report</w:t>
            </w:r>
          </w:p>
        </w:tc>
        <w:tc>
          <w:tcPr>
            <w:tcW w:w="1232" w:type="dxa"/>
          </w:tcPr>
          <w:p w14:paraId="052AC231" w14:textId="77777777" w:rsidR="00E77A30" w:rsidRPr="00433445" w:rsidRDefault="00E77A30" w:rsidP="00EE2A3A">
            <w:pPr>
              <w:pStyle w:val="BodyText"/>
              <w:rPr>
                <w:sz w:val="18"/>
              </w:rPr>
            </w:pPr>
            <w:r w:rsidRPr="00433445">
              <w:rPr>
                <w:sz w:val="18"/>
              </w:rPr>
              <w:t>6,674</w:t>
            </w:r>
          </w:p>
        </w:tc>
        <w:tc>
          <w:tcPr>
            <w:tcW w:w="1214" w:type="dxa"/>
          </w:tcPr>
          <w:p w14:paraId="5468868D" w14:textId="77777777" w:rsidR="00E77A30" w:rsidRPr="00433445" w:rsidRDefault="00E77A30" w:rsidP="00EE2A3A">
            <w:pPr>
              <w:pStyle w:val="BodyText"/>
              <w:rPr>
                <w:sz w:val="18"/>
              </w:rPr>
            </w:pPr>
            <w:r w:rsidRPr="00433445">
              <w:rPr>
                <w:sz w:val="18"/>
              </w:rPr>
              <w:t>1</w:t>
            </w:r>
          </w:p>
        </w:tc>
        <w:tc>
          <w:tcPr>
            <w:tcW w:w="4860" w:type="dxa"/>
          </w:tcPr>
          <w:p w14:paraId="48FEA444" w14:textId="77777777" w:rsidR="00E77A30" w:rsidRPr="00433445" w:rsidRDefault="00E77A30" w:rsidP="00EE2A3A">
            <w:pPr>
              <w:pStyle w:val="BodyText"/>
              <w:rPr>
                <w:sz w:val="18"/>
              </w:rPr>
            </w:pPr>
            <w:r w:rsidRPr="00433445">
              <w:rPr>
                <w:sz w:val="18"/>
              </w:rPr>
              <w:t>Facts required to exist in Report</w:t>
            </w:r>
          </w:p>
        </w:tc>
      </w:tr>
      <w:tr w:rsidR="00E77A30" w:rsidRPr="00433445" w14:paraId="097AD121" w14:textId="77777777" w:rsidTr="00B21DD5">
        <w:trPr>
          <w:tblHeader/>
        </w:trPr>
        <w:tc>
          <w:tcPr>
            <w:tcW w:w="1442" w:type="dxa"/>
          </w:tcPr>
          <w:p w14:paraId="09EDA170" w14:textId="77777777" w:rsidR="00E77A30" w:rsidRPr="00433445" w:rsidRDefault="00E77A30" w:rsidP="00EE2A3A">
            <w:pPr>
              <w:pStyle w:val="BodyText"/>
              <w:rPr>
                <w:sz w:val="18"/>
              </w:rPr>
            </w:pPr>
            <w:r w:rsidRPr="00433445">
              <w:rPr>
                <w:sz w:val="18"/>
              </w:rPr>
              <w:t>Network</w:t>
            </w:r>
          </w:p>
        </w:tc>
        <w:tc>
          <w:tcPr>
            <w:tcW w:w="1232" w:type="dxa"/>
          </w:tcPr>
          <w:p w14:paraId="7C56FC02" w14:textId="77777777" w:rsidR="00E77A30" w:rsidRPr="00433445" w:rsidRDefault="00E77A30" w:rsidP="00EE2A3A">
            <w:pPr>
              <w:pStyle w:val="BodyText"/>
              <w:rPr>
                <w:sz w:val="18"/>
              </w:rPr>
            </w:pPr>
            <w:r w:rsidRPr="00433445">
              <w:rPr>
                <w:sz w:val="18"/>
              </w:rPr>
              <w:t>477,041</w:t>
            </w:r>
          </w:p>
        </w:tc>
        <w:tc>
          <w:tcPr>
            <w:tcW w:w="1214" w:type="dxa"/>
          </w:tcPr>
          <w:p w14:paraId="300ECD04" w14:textId="77777777" w:rsidR="00E77A30" w:rsidRPr="00433445" w:rsidRDefault="00E77A30" w:rsidP="00EE2A3A">
            <w:pPr>
              <w:pStyle w:val="BodyText"/>
              <w:rPr>
                <w:sz w:val="18"/>
              </w:rPr>
            </w:pPr>
            <w:r w:rsidRPr="00433445">
              <w:rPr>
                <w:sz w:val="18"/>
              </w:rPr>
              <w:t>71</w:t>
            </w:r>
          </w:p>
        </w:tc>
        <w:tc>
          <w:tcPr>
            <w:tcW w:w="4860" w:type="dxa"/>
          </w:tcPr>
          <w:p w14:paraId="42DBE8B2" w14:textId="77777777" w:rsidR="00E77A30" w:rsidRPr="00433445" w:rsidRDefault="00E77A30" w:rsidP="00EE2A3A">
            <w:pPr>
              <w:pStyle w:val="BodyText"/>
              <w:rPr>
                <w:sz w:val="18"/>
              </w:rPr>
            </w:pPr>
            <w:r w:rsidRPr="00433445">
              <w:rPr>
                <w:sz w:val="18"/>
              </w:rPr>
              <w:t>Part of Component</w:t>
            </w:r>
          </w:p>
        </w:tc>
      </w:tr>
      <w:tr w:rsidR="00E77A30" w:rsidRPr="00433445" w14:paraId="565D0428" w14:textId="77777777" w:rsidTr="00B21DD5">
        <w:trPr>
          <w:tblHeader/>
        </w:trPr>
        <w:tc>
          <w:tcPr>
            <w:tcW w:w="1442" w:type="dxa"/>
          </w:tcPr>
          <w:p w14:paraId="47B59802" w14:textId="77777777" w:rsidR="00E77A30" w:rsidRPr="00433445" w:rsidRDefault="00E77A30" w:rsidP="00EE2A3A">
            <w:pPr>
              <w:pStyle w:val="BodyText"/>
              <w:rPr>
                <w:sz w:val="18"/>
              </w:rPr>
            </w:pPr>
            <w:r w:rsidRPr="00433445">
              <w:rPr>
                <w:sz w:val="18"/>
              </w:rPr>
              <w:t>Table</w:t>
            </w:r>
          </w:p>
        </w:tc>
        <w:tc>
          <w:tcPr>
            <w:tcW w:w="1232" w:type="dxa"/>
          </w:tcPr>
          <w:p w14:paraId="1C956756" w14:textId="77777777" w:rsidR="00E77A30" w:rsidRPr="00433445" w:rsidRDefault="00E77A30" w:rsidP="00EE2A3A">
            <w:pPr>
              <w:pStyle w:val="BodyText"/>
              <w:rPr>
                <w:sz w:val="18"/>
              </w:rPr>
            </w:pPr>
            <w:r w:rsidRPr="00433445">
              <w:rPr>
                <w:sz w:val="18"/>
              </w:rPr>
              <w:t>232,230</w:t>
            </w:r>
          </w:p>
        </w:tc>
        <w:tc>
          <w:tcPr>
            <w:tcW w:w="1214" w:type="dxa"/>
          </w:tcPr>
          <w:p w14:paraId="2AAA0338" w14:textId="77777777" w:rsidR="00E77A30" w:rsidRPr="00433445" w:rsidRDefault="00E77A30" w:rsidP="00EE2A3A">
            <w:pPr>
              <w:pStyle w:val="BodyText"/>
              <w:rPr>
                <w:sz w:val="18"/>
              </w:rPr>
            </w:pPr>
            <w:r w:rsidRPr="00433445">
              <w:rPr>
                <w:sz w:val="18"/>
              </w:rPr>
              <w:t>35</w:t>
            </w:r>
          </w:p>
        </w:tc>
        <w:tc>
          <w:tcPr>
            <w:tcW w:w="4860" w:type="dxa"/>
          </w:tcPr>
          <w:p w14:paraId="574A3EEE" w14:textId="77777777" w:rsidR="00E77A30" w:rsidRPr="00433445" w:rsidRDefault="00E77A30" w:rsidP="00EE2A3A">
            <w:pPr>
              <w:pStyle w:val="BodyText"/>
              <w:rPr>
                <w:sz w:val="18"/>
              </w:rPr>
            </w:pPr>
            <w:r w:rsidRPr="00433445">
              <w:rPr>
                <w:sz w:val="18"/>
              </w:rPr>
              <w:t>Part of Component</w:t>
            </w:r>
          </w:p>
        </w:tc>
      </w:tr>
      <w:tr w:rsidR="00E77A30" w:rsidRPr="00433445" w14:paraId="01A39BF7" w14:textId="77777777" w:rsidTr="00B21DD5">
        <w:trPr>
          <w:tblHeader/>
        </w:trPr>
        <w:tc>
          <w:tcPr>
            <w:tcW w:w="1442" w:type="dxa"/>
          </w:tcPr>
          <w:p w14:paraId="49754840" w14:textId="77777777" w:rsidR="00E77A30" w:rsidRPr="00433445" w:rsidRDefault="00E77A30" w:rsidP="00EE2A3A">
            <w:pPr>
              <w:pStyle w:val="BodyText"/>
              <w:rPr>
                <w:sz w:val="18"/>
              </w:rPr>
            </w:pPr>
            <w:r w:rsidRPr="00433445">
              <w:rPr>
                <w:sz w:val="18"/>
              </w:rPr>
              <w:t>Axis</w:t>
            </w:r>
          </w:p>
        </w:tc>
        <w:tc>
          <w:tcPr>
            <w:tcW w:w="1232" w:type="dxa"/>
          </w:tcPr>
          <w:p w14:paraId="3361914C" w14:textId="77777777" w:rsidR="00E77A30" w:rsidRPr="00433445" w:rsidRDefault="00E77A30" w:rsidP="00EE2A3A">
            <w:pPr>
              <w:pStyle w:val="BodyText"/>
              <w:rPr>
                <w:sz w:val="18"/>
              </w:rPr>
            </w:pPr>
            <w:r w:rsidRPr="00433445">
              <w:rPr>
                <w:sz w:val="18"/>
              </w:rPr>
              <w:t>386,912</w:t>
            </w:r>
          </w:p>
        </w:tc>
        <w:tc>
          <w:tcPr>
            <w:tcW w:w="1214" w:type="dxa"/>
          </w:tcPr>
          <w:p w14:paraId="410FE67A" w14:textId="77777777" w:rsidR="00E77A30" w:rsidRPr="00433445" w:rsidRDefault="00E77A30" w:rsidP="00EE2A3A">
            <w:pPr>
              <w:pStyle w:val="BodyText"/>
              <w:rPr>
                <w:sz w:val="18"/>
              </w:rPr>
            </w:pPr>
            <w:r w:rsidRPr="00433445">
              <w:rPr>
                <w:sz w:val="18"/>
              </w:rPr>
              <w:t>58</w:t>
            </w:r>
          </w:p>
        </w:tc>
        <w:tc>
          <w:tcPr>
            <w:tcW w:w="4860" w:type="dxa"/>
          </w:tcPr>
          <w:p w14:paraId="1A09B64E" w14:textId="77777777" w:rsidR="00E77A30" w:rsidRPr="00433445" w:rsidRDefault="00E77A30" w:rsidP="00EE2A3A">
            <w:pPr>
              <w:pStyle w:val="BodyText"/>
              <w:rPr>
                <w:sz w:val="18"/>
              </w:rPr>
            </w:pPr>
            <w:r w:rsidRPr="00433445">
              <w:rPr>
                <w:sz w:val="18"/>
              </w:rPr>
              <w:t>Part of Characteristic</w:t>
            </w:r>
          </w:p>
        </w:tc>
      </w:tr>
      <w:tr w:rsidR="00E77A30" w:rsidRPr="00433445" w14:paraId="0A34CC15" w14:textId="77777777" w:rsidTr="00B21DD5">
        <w:trPr>
          <w:tblHeader/>
        </w:trPr>
        <w:tc>
          <w:tcPr>
            <w:tcW w:w="1442" w:type="dxa"/>
          </w:tcPr>
          <w:p w14:paraId="7CA30D19" w14:textId="77777777" w:rsidR="00E77A30" w:rsidRPr="00433445" w:rsidRDefault="00E77A30" w:rsidP="00EE2A3A">
            <w:pPr>
              <w:pStyle w:val="BodyText"/>
              <w:rPr>
                <w:sz w:val="18"/>
              </w:rPr>
            </w:pPr>
            <w:r w:rsidRPr="00433445">
              <w:rPr>
                <w:sz w:val="18"/>
              </w:rPr>
              <w:t>Member</w:t>
            </w:r>
          </w:p>
        </w:tc>
        <w:tc>
          <w:tcPr>
            <w:tcW w:w="1232" w:type="dxa"/>
          </w:tcPr>
          <w:p w14:paraId="163A6508" w14:textId="77777777" w:rsidR="00E77A30" w:rsidRPr="00433445" w:rsidRDefault="00E77A30" w:rsidP="00EE2A3A">
            <w:pPr>
              <w:pStyle w:val="BodyText"/>
              <w:rPr>
                <w:sz w:val="18"/>
              </w:rPr>
            </w:pPr>
            <w:r w:rsidRPr="00433445">
              <w:rPr>
                <w:sz w:val="18"/>
              </w:rPr>
              <w:t>1,216,391</w:t>
            </w:r>
          </w:p>
        </w:tc>
        <w:tc>
          <w:tcPr>
            <w:tcW w:w="1214" w:type="dxa"/>
          </w:tcPr>
          <w:p w14:paraId="5942A6F7" w14:textId="77777777" w:rsidR="00E77A30" w:rsidRPr="00433445" w:rsidRDefault="00E77A30" w:rsidP="00EE2A3A">
            <w:pPr>
              <w:pStyle w:val="BodyText"/>
              <w:rPr>
                <w:sz w:val="18"/>
              </w:rPr>
            </w:pPr>
            <w:r w:rsidRPr="00433445">
              <w:rPr>
                <w:sz w:val="18"/>
              </w:rPr>
              <w:t>181</w:t>
            </w:r>
          </w:p>
        </w:tc>
        <w:tc>
          <w:tcPr>
            <w:tcW w:w="4860" w:type="dxa"/>
          </w:tcPr>
          <w:p w14:paraId="6D0C415F" w14:textId="77777777" w:rsidR="00E77A30" w:rsidRPr="00433445" w:rsidRDefault="00E77A30" w:rsidP="00EE2A3A">
            <w:pPr>
              <w:pStyle w:val="BodyText"/>
              <w:rPr>
                <w:sz w:val="18"/>
              </w:rPr>
            </w:pPr>
            <w:r w:rsidRPr="00433445">
              <w:rPr>
                <w:sz w:val="18"/>
              </w:rPr>
              <w:t>Part of Characteristic</w:t>
            </w:r>
          </w:p>
        </w:tc>
      </w:tr>
      <w:tr w:rsidR="00E77A30" w:rsidRPr="00433445" w14:paraId="1F7E0DC4" w14:textId="77777777" w:rsidTr="00B21DD5">
        <w:trPr>
          <w:tblHeader/>
        </w:trPr>
        <w:tc>
          <w:tcPr>
            <w:tcW w:w="1442" w:type="dxa"/>
          </w:tcPr>
          <w:p w14:paraId="2685EAC4" w14:textId="77777777" w:rsidR="00E77A30" w:rsidRPr="00433445" w:rsidRDefault="00E77A30" w:rsidP="00EE2A3A">
            <w:pPr>
              <w:pStyle w:val="BodyText"/>
              <w:rPr>
                <w:sz w:val="18"/>
              </w:rPr>
            </w:pPr>
            <w:r w:rsidRPr="00433445">
              <w:rPr>
                <w:sz w:val="18"/>
              </w:rPr>
              <w:lastRenderedPageBreak/>
              <w:t>Line Items</w:t>
            </w:r>
          </w:p>
        </w:tc>
        <w:tc>
          <w:tcPr>
            <w:tcW w:w="1232" w:type="dxa"/>
          </w:tcPr>
          <w:p w14:paraId="7A8C3053" w14:textId="77777777" w:rsidR="00E77A30" w:rsidRPr="00433445" w:rsidRDefault="00E77A30" w:rsidP="00EE2A3A">
            <w:pPr>
              <w:pStyle w:val="BodyText"/>
              <w:rPr>
                <w:sz w:val="18"/>
              </w:rPr>
            </w:pPr>
            <w:r w:rsidRPr="00433445">
              <w:rPr>
                <w:sz w:val="18"/>
              </w:rPr>
              <w:t>232,690</w:t>
            </w:r>
          </w:p>
        </w:tc>
        <w:tc>
          <w:tcPr>
            <w:tcW w:w="1214" w:type="dxa"/>
          </w:tcPr>
          <w:p w14:paraId="6F26D929" w14:textId="77777777" w:rsidR="00E77A30" w:rsidRPr="00433445" w:rsidRDefault="00E77A30" w:rsidP="00EE2A3A">
            <w:pPr>
              <w:pStyle w:val="BodyText"/>
              <w:rPr>
                <w:sz w:val="18"/>
              </w:rPr>
            </w:pPr>
            <w:r w:rsidRPr="00433445">
              <w:rPr>
                <w:sz w:val="18"/>
              </w:rPr>
              <w:t>35</w:t>
            </w:r>
          </w:p>
        </w:tc>
        <w:tc>
          <w:tcPr>
            <w:tcW w:w="4860" w:type="dxa"/>
          </w:tcPr>
          <w:p w14:paraId="4065E139" w14:textId="77777777" w:rsidR="00E77A30" w:rsidRPr="00433445" w:rsidRDefault="00E77A30" w:rsidP="00EE2A3A">
            <w:pPr>
              <w:pStyle w:val="BodyText"/>
              <w:rPr>
                <w:sz w:val="18"/>
              </w:rPr>
            </w:pPr>
            <w:r w:rsidRPr="00433445">
              <w:rPr>
                <w:sz w:val="18"/>
              </w:rPr>
              <w:t>Type of [Axis], subclass of Characteristic</w:t>
            </w:r>
          </w:p>
        </w:tc>
      </w:tr>
      <w:tr w:rsidR="00E77A30" w:rsidRPr="00433445" w14:paraId="5576D450" w14:textId="77777777" w:rsidTr="00B21DD5">
        <w:trPr>
          <w:tblHeader/>
        </w:trPr>
        <w:tc>
          <w:tcPr>
            <w:tcW w:w="1442" w:type="dxa"/>
          </w:tcPr>
          <w:p w14:paraId="41E2EBAC" w14:textId="77777777" w:rsidR="00E77A30" w:rsidRPr="00433445" w:rsidRDefault="00E77A30" w:rsidP="00EE2A3A">
            <w:pPr>
              <w:pStyle w:val="BodyText"/>
              <w:rPr>
                <w:sz w:val="18"/>
              </w:rPr>
            </w:pPr>
            <w:r w:rsidRPr="00433445">
              <w:rPr>
                <w:sz w:val="18"/>
              </w:rPr>
              <w:t>Abstract</w:t>
            </w:r>
          </w:p>
        </w:tc>
        <w:tc>
          <w:tcPr>
            <w:tcW w:w="1232" w:type="dxa"/>
          </w:tcPr>
          <w:p w14:paraId="39780CA9" w14:textId="77777777" w:rsidR="00E77A30" w:rsidRPr="00433445" w:rsidRDefault="00E77A30" w:rsidP="00EE2A3A">
            <w:pPr>
              <w:pStyle w:val="BodyText"/>
              <w:rPr>
                <w:sz w:val="18"/>
              </w:rPr>
            </w:pPr>
            <w:r w:rsidRPr="00433445">
              <w:rPr>
                <w:sz w:val="18"/>
              </w:rPr>
              <w:t>732,409</w:t>
            </w:r>
          </w:p>
        </w:tc>
        <w:tc>
          <w:tcPr>
            <w:tcW w:w="1214" w:type="dxa"/>
          </w:tcPr>
          <w:p w14:paraId="4D8A8DCE" w14:textId="77777777" w:rsidR="00E77A30" w:rsidRPr="00433445" w:rsidRDefault="00E77A30" w:rsidP="00EE2A3A">
            <w:pPr>
              <w:pStyle w:val="BodyText"/>
              <w:rPr>
                <w:sz w:val="18"/>
              </w:rPr>
            </w:pPr>
            <w:r w:rsidRPr="00433445">
              <w:rPr>
                <w:sz w:val="18"/>
              </w:rPr>
              <w:t>111</w:t>
            </w:r>
          </w:p>
        </w:tc>
        <w:tc>
          <w:tcPr>
            <w:tcW w:w="4860" w:type="dxa"/>
          </w:tcPr>
          <w:p w14:paraId="576EEC94" w14:textId="77777777" w:rsidR="00E77A30" w:rsidRPr="00433445" w:rsidRDefault="00E77A30" w:rsidP="00EE2A3A">
            <w:pPr>
              <w:pStyle w:val="BodyText"/>
              <w:rPr>
                <w:sz w:val="18"/>
              </w:rPr>
            </w:pPr>
            <w:r w:rsidRPr="00433445">
              <w:rPr>
                <w:sz w:val="18"/>
              </w:rPr>
              <w:t>No meaning, only used for organization</w:t>
            </w:r>
          </w:p>
        </w:tc>
      </w:tr>
      <w:tr w:rsidR="00E77A30" w:rsidRPr="00433445" w14:paraId="136327A4" w14:textId="77777777" w:rsidTr="00B21DD5">
        <w:trPr>
          <w:tblHeader/>
        </w:trPr>
        <w:tc>
          <w:tcPr>
            <w:tcW w:w="1442" w:type="dxa"/>
          </w:tcPr>
          <w:p w14:paraId="4ABBE624" w14:textId="77777777" w:rsidR="00E77A30" w:rsidRPr="00433445" w:rsidRDefault="00E77A30" w:rsidP="00EE2A3A">
            <w:pPr>
              <w:pStyle w:val="BodyText"/>
              <w:rPr>
                <w:sz w:val="18"/>
              </w:rPr>
            </w:pPr>
            <w:r w:rsidRPr="00433445">
              <w:rPr>
                <w:sz w:val="18"/>
              </w:rPr>
              <w:t>Concept</w:t>
            </w:r>
          </w:p>
        </w:tc>
        <w:tc>
          <w:tcPr>
            <w:tcW w:w="1232" w:type="dxa"/>
          </w:tcPr>
          <w:p w14:paraId="2578CE31" w14:textId="77777777" w:rsidR="00E77A30" w:rsidRPr="00433445" w:rsidRDefault="00E77A30" w:rsidP="00EE2A3A">
            <w:pPr>
              <w:pStyle w:val="BodyText"/>
              <w:rPr>
                <w:sz w:val="18"/>
              </w:rPr>
            </w:pPr>
            <w:r w:rsidRPr="00433445">
              <w:rPr>
                <w:sz w:val="18"/>
              </w:rPr>
              <w:t>3,165,249</w:t>
            </w:r>
          </w:p>
        </w:tc>
        <w:tc>
          <w:tcPr>
            <w:tcW w:w="1214" w:type="dxa"/>
          </w:tcPr>
          <w:p w14:paraId="268B02D9" w14:textId="77777777" w:rsidR="00E77A30" w:rsidRPr="00433445" w:rsidRDefault="00E77A30" w:rsidP="00EE2A3A">
            <w:pPr>
              <w:pStyle w:val="BodyText"/>
              <w:rPr>
                <w:sz w:val="18"/>
              </w:rPr>
            </w:pPr>
            <w:r w:rsidRPr="00433445">
              <w:rPr>
                <w:sz w:val="18"/>
              </w:rPr>
              <w:t>474</w:t>
            </w:r>
          </w:p>
        </w:tc>
        <w:tc>
          <w:tcPr>
            <w:tcW w:w="4860" w:type="dxa"/>
          </w:tcPr>
          <w:p w14:paraId="3DF8F887" w14:textId="77777777" w:rsidR="00E77A30" w:rsidRPr="00433445" w:rsidRDefault="00E77A30" w:rsidP="00EE2A3A">
            <w:pPr>
              <w:pStyle w:val="BodyText"/>
              <w:rPr>
                <w:sz w:val="18"/>
              </w:rPr>
            </w:pPr>
            <w:r w:rsidRPr="00433445">
              <w:rPr>
                <w:sz w:val="18"/>
              </w:rPr>
              <w:t>Part of Characteristic</w:t>
            </w:r>
          </w:p>
        </w:tc>
      </w:tr>
      <w:tr w:rsidR="00E77A30" w:rsidRPr="00433445" w14:paraId="3CC82EC8" w14:textId="77777777" w:rsidTr="00B21DD5">
        <w:trPr>
          <w:tblHeader/>
        </w:trPr>
        <w:tc>
          <w:tcPr>
            <w:tcW w:w="1442" w:type="dxa"/>
          </w:tcPr>
          <w:p w14:paraId="5DF474D3" w14:textId="77777777" w:rsidR="00E77A30" w:rsidRPr="00433445" w:rsidRDefault="00E77A30" w:rsidP="00EE2A3A">
            <w:pPr>
              <w:pStyle w:val="BodyText"/>
              <w:rPr>
                <w:sz w:val="18"/>
              </w:rPr>
            </w:pPr>
            <w:r w:rsidRPr="00433445">
              <w:rPr>
                <w:sz w:val="18"/>
              </w:rPr>
              <w:t>Properties</w:t>
            </w:r>
          </w:p>
        </w:tc>
        <w:tc>
          <w:tcPr>
            <w:tcW w:w="1232" w:type="dxa"/>
          </w:tcPr>
          <w:p w14:paraId="0632AFFA" w14:textId="77777777" w:rsidR="00E77A30" w:rsidRPr="00433445" w:rsidRDefault="00E77A30" w:rsidP="00EE2A3A">
            <w:pPr>
              <w:pStyle w:val="BodyText"/>
              <w:rPr>
                <w:sz w:val="18"/>
              </w:rPr>
            </w:pPr>
            <w:r w:rsidRPr="00433445">
              <w:rPr>
                <w:sz w:val="18"/>
              </w:rPr>
              <w:t>Not counted</w:t>
            </w:r>
          </w:p>
        </w:tc>
        <w:tc>
          <w:tcPr>
            <w:tcW w:w="1214" w:type="dxa"/>
          </w:tcPr>
          <w:p w14:paraId="6195BDD2" w14:textId="77777777" w:rsidR="00E77A30" w:rsidRPr="00433445" w:rsidRDefault="00E77A30" w:rsidP="00EE2A3A">
            <w:pPr>
              <w:pStyle w:val="BodyText"/>
              <w:rPr>
                <w:sz w:val="18"/>
              </w:rPr>
            </w:pPr>
          </w:p>
        </w:tc>
        <w:tc>
          <w:tcPr>
            <w:tcW w:w="4860" w:type="dxa"/>
          </w:tcPr>
          <w:p w14:paraId="489FFD60" w14:textId="77777777" w:rsidR="00E77A30" w:rsidRPr="00433445" w:rsidRDefault="00E77A30" w:rsidP="00EE2A3A">
            <w:pPr>
              <w:pStyle w:val="BodyText"/>
              <w:rPr>
                <w:sz w:val="18"/>
              </w:rPr>
            </w:pPr>
            <w:r w:rsidRPr="00433445">
              <w:rPr>
                <w:sz w:val="18"/>
              </w:rPr>
              <w:t>Each class has different but finite properties</w:t>
            </w:r>
          </w:p>
        </w:tc>
      </w:tr>
      <w:tr w:rsidR="00E77A30" w:rsidRPr="00433445" w14:paraId="7010E319" w14:textId="77777777" w:rsidTr="00B21DD5">
        <w:trPr>
          <w:tblHeader/>
        </w:trPr>
        <w:tc>
          <w:tcPr>
            <w:tcW w:w="1442" w:type="dxa"/>
          </w:tcPr>
          <w:p w14:paraId="66B77F80" w14:textId="77777777" w:rsidR="00E77A30" w:rsidRPr="00433445" w:rsidRDefault="00E77A30" w:rsidP="00EE2A3A">
            <w:pPr>
              <w:pStyle w:val="BodyText"/>
              <w:rPr>
                <w:sz w:val="18"/>
              </w:rPr>
            </w:pPr>
            <w:r w:rsidRPr="00433445">
              <w:rPr>
                <w:sz w:val="18"/>
              </w:rPr>
              <w:t>Fact</w:t>
            </w:r>
          </w:p>
        </w:tc>
        <w:tc>
          <w:tcPr>
            <w:tcW w:w="1232" w:type="dxa"/>
          </w:tcPr>
          <w:p w14:paraId="28A35154" w14:textId="77777777" w:rsidR="00E77A30" w:rsidRPr="00433445" w:rsidRDefault="00E77A30" w:rsidP="00EE2A3A">
            <w:pPr>
              <w:pStyle w:val="BodyText"/>
              <w:rPr>
                <w:sz w:val="18"/>
              </w:rPr>
            </w:pPr>
            <w:r w:rsidRPr="00433445">
              <w:rPr>
                <w:sz w:val="18"/>
              </w:rPr>
              <w:t>8,532,275</w:t>
            </w:r>
          </w:p>
        </w:tc>
        <w:tc>
          <w:tcPr>
            <w:tcW w:w="1214" w:type="dxa"/>
          </w:tcPr>
          <w:p w14:paraId="1C73D8B6" w14:textId="77777777" w:rsidR="00E77A30" w:rsidRPr="00433445" w:rsidRDefault="00E77A30" w:rsidP="00EE2A3A">
            <w:pPr>
              <w:pStyle w:val="BodyText"/>
              <w:rPr>
                <w:sz w:val="18"/>
              </w:rPr>
            </w:pPr>
            <w:r w:rsidRPr="00433445">
              <w:rPr>
                <w:sz w:val="18"/>
              </w:rPr>
              <w:t>1,278</w:t>
            </w:r>
          </w:p>
        </w:tc>
        <w:tc>
          <w:tcPr>
            <w:tcW w:w="4860" w:type="dxa"/>
          </w:tcPr>
          <w:p w14:paraId="234D85C0" w14:textId="77777777" w:rsidR="00E77A30" w:rsidRPr="00433445" w:rsidRDefault="00E77A30" w:rsidP="00EE2A3A">
            <w:pPr>
              <w:pStyle w:val="BodyText"/>
              <w:rPr>
                <w:sz w:val="18"/>
              </w:rPr>
            </w:pPr>
            <w:r w:rsidRPr="00433445">
              <w:rPr>
                <w:sz w:val="18"/>
              </w:rPr>
              <w:t>Described by Characteristic, Required to exist within Network, Required to exist within explicit or implied Table</w:t>
            </w:r>
          </w:p>
        </w:tc>
      </w:tr>
      <w:tr w:rsidR="00E77A30" w:rsidRPr="00433445" w14:paraId="0A0D2A0C" w14:textId="77777777" w:rsidTr="00B21DD5">
        <w:trPr>
          <w:tblHeader/>
        </w:trPr>
        <w:tc>
          <w:tcPr>
            <w:tcW w:w="1442" w:type="dxa"/>
          </w:tcPr>
          <w:p w14:paraId="52E539CE" w14:textId="77777777" w:rsidR="00E77A30" w:rsidRPr="00433445" w:rsidRDefault="00E77A30" w:rsidP="00EE2A3A">
            <w:pPr>
              <w:pStyle w:val="BodyText"/>
              <w:rPr>
                <w:sz w:val="18"/>
              </w:rPr>
            </w:pPr>
            <w:r w:rsidRPr="00433445">
              <w:rPr>
                <w:sz w:val="18"/>
              </w:rPr>
              <w:t>Text Block</w:t>
            </w:r>
          </w:p>
        </w:tc>
        <w:tc>
          <w:tcPr>
            <w:tcW w:w="1232" w:type="dxa"/>
          </w:tcPr>
          <w:p w14:paraId="3EE77A43" w14:textId="77777777" w:rsidR="00E77A30" w:rsidRPr="00433445" w:rsidRDefault="00E77A30" w:rsidP="00EE2A3A">
            <w:pPr>
              <w:pStyle w:val="BodyText"/>
              <w:rPr>
                <w:sz w:val="18"/>
              </w:rPr>
            </w:pPr>
            <w:r w:rsidRPr="00433445">
              <w:rPr>
                <w:sz w:val="18"/>
              </w:rPr>
              <w:t>398,492</w:t>
            </w:r>
          </w:p>
        </w:tc>
        <w:tc>
          <w:tcPr>
            <w:tcW w:w="1214" w:type="dxa"/>
          </w:tcPr>
          <w:p w14:paraId="514A41CB" w14:textId="77777777" w:rsidR="00E77A30" w:rsidRPr="00433445" w:rsidRDefault="00E77A30" w:rsidP="00EE2A3A">
            <w:pPr>
              <w:pStyle w:val="BodyText"/>
              <w:rPr>
                <w:sz w:val="18"/>
              </w:rPr>
            </w:pPr>
            <w:r w:rsidRPr="00433445">
              <w:rPr>
                <w:sz w:val="18"/>
              </w:rPr>
              <w:t>59</w:t>
            </w:r>
          </w:p>
        </w:tc>
        <w:tc>
          <w:tcPr>
            <w:tcW w:w="4860" w:type="dxa"/>
          </w:tcPr>
          <w:p w14:paraId="28CAE057" w14:textId="77777777" w:rsidR="00E77A30" w:rsidRPr="00433445" w:rsidRDefault="00E77A30" w:rsidP="00EE2A3A">
            <w:pPr>
              <w:pStyle w:val="BodyText"/>
              <w:rPr>
                <w:sz w:val="18"/>
              </w:rPr>
            </w:pPr>
            <w:r w:rsidRPr="00433445">
              <w:rPr>
                <w:sz w:val="18"/>
              </w:rPr>
              <w:t xml:space="preserve">Counted facts with data type of </w:t>
            </w:r>
            <w:proofErr w:type="spellStart"/>
            <w:r w:rsidRPr="00433445">
              <w:rPr>
                <w:sz w:val="18"/>
              </w:rPr>
              <w:t>nonnum:textBlockItemType</w:t>
            </w:r>
            <w:proofErr w:type="spellEnd"/>
          </w:p>
        </w:tc>
      </w:tr>
      <w:tr w:rsidR="00E77A30" w:rsidRPr="00433445" w14:paraId="533C8442" w14:textId="77777777" w:rsidTr="00B21DD5">
        <w:trPr>
          <w:tblHeader/>
        </w:trPr>
        <w:tc>
          <w:tcPr>
            <w:tcW w:w="1442" w:type="dxa"/>
          </w:tcPr>
          <w:p w14:paraId="3612C9EE" w14:textId="77777777" w:rsidR="00E77A30" w:rsidRPr="00433445" w:rsidRDefault="00E77A30" w:rsidP="00EE2A3A">
            <w:pPr>
              <w:pStyle w:val="BodyText"/>
              <w:rPr>
                <w:sz w:val="18"/>
              </w:rPr>
            </w:pPr>
            <w:r w:rsidRPr="00433445">
              <w:rPr>
                <w:sz w:val="18"/>
              </w:rPr>
              <w:t>Roll Forward</w:t>
            </w:r>
          </w:p>
        </w:tc>
        <w:tc>
          <w:tcPr>
            <w:tcW w:w="1232" w:type="dxa"/>
          </w:tcPr>
          <w:p w14:paraId="09D97273" w14:textId="77777777" w:rsidR="00E77A30" w:rsidRPr="00433445" w:rsidRDefault="00E77A30" w:rsidP="00EE2A3A">
            <w:pPr>
              <w:pStyle w:val="BodyText"/>
              <w:rPr>
                <w:sz w:val="18"/>
              </w:rPr>
            </w:pPr>
            <w:r w:rsidRPr="00433445">
              <w:rPr>
                <w:sz w:val="18"/>
              </w:rPr>
              <w:t>48,960</w:t>
            </w:r>
          </w:p>
        </w:tc>
        <w:tc>
          <w:tcPr>
            <w:tcW w:w="1214" w:type="dxa"/>
          </w:tcPr>
          <w:p w14:paraId="76086816" w14:textId="77777777" w:rsidR="00E77A30" w:rsidRPr="00433445" w:rsidRDefault="00E77A30" w:rsidP="00EE2A3A">
            <w:pPr>
              <w:pStyle w:val="BodyText"/>
              <w:rPr>
                <w:sz w:val="18"/>
              </w:rPr>
            </w:pPr>
          </w:p>
        </w:tc>
        <w:tc>
          <w:tcPr>
            <w:tcW w:w="4860" w:type="dxa"/>
          </w:tcPr>
          <w:p w14:paraId="3B8E0AAE" w14:textId="77777777" w:rsidR="00E77A30" w:rsidRPr="00433445" w:rsidRDefault="00E77A30" w:rsidP="00EE2A3A">
            <w:pPr>
              <w:pStyle w:val="BodyText"/>
              <w:rPr>
                <w:sz w:val="18"/>
              </w:rPr>
            </w:pPr>
            <w:r w:rsidRPr="00433445">
              <w:rPr>
                <w:sz w:val="18"/>
              </w:rPr>
              <w:t>Counted preferred label roles which had start date and end date (approximate)</w:t>
            </w:r>
          </w:p>
        </w:tc>
      </w:tr>
      <w:tr w:rsidR="00E77A30" w:rsidRPr="00433445" w14:paraId="33CA4D97" w14:textId="77777777" w:rsidTr="00B21DD5">
        <w:trPr>
          <w:tblHeader/>
        </w:trPr>
        <w:tc>
          <w:tcPr>
            <w:tcW w:w="1442" w:type="dxa"/>
          </w:tcPr>
          <w:p w14:paraId="53AACA04" w14:textId="77777777" w:rsidR="00E77A30" w:rsidRPr="00433445" w:rsidRDefault="00E77A30" w:rsidP="00EE2A3A">
            <w:pPr>
              <w:pStyle w:val="BodyText"/>
              <w:rPr>
                <w:sz w:val="18"/>
              </w:rPr>
            </w:pPr>
            <w:r w:rsidRPr="00433445">
              <w:rPr>
                <w:sz w:val="18"/>
              </w:rPr>
              <w:t>Roll Forward Info</w:t>
            </w:r>
          </w:p>
        </w:tc>
        <w:tc>
          <w:tcPr>
            <w:tcW w:w="1232" w:type="dxa"/>
          </w:tcPr>
          <w:p w14:paraId="5A14E6D3" w14:textId="77777777" w:rsidR="00E77A30" w:rsidRPr="00433445" w:rsidRDefault="00E77A30" w:rsidP="00EE2A3A">
            <w:pPr>
              <w:pStyle w:val="BodyText"/>
              <w:rPr>
                <w:sz w:val="18"/>
              </w:rPr>
            </w:pPr>
            <w:r w:rsidRPr="00433445">
              <w:rPr>
                <w:sz w:val="18"/>
              </w:rPr>
              <w:t>18,794</w:t>
            </w:r>
          </w:p>
        </w:tc>
        <w:tc>
          <w:tcPr>
            <w:tcW w:w="1214" w:type="dxa"/>
          </w:tcPr>
          <w:p w14:paraId="6EE811A7" w14:textId="77777777" w:rsidR="00E77A30" w:rsidRPr="00433445" w:rsidRDefault="00E77A30" w:rsidP="00EE2A3A">
            <w:pPr>
              <w:pStyle w:val="BodyText"/>
              <w:rPr>
                <w:sz w:val="18"/>
              </w:rPr>
            </w:pPr>
          </w:p>
        </w:tc>
        <w:tc>
          <w:tcPr>
            <w:tcW w:w="4860" w:type="dxa"/>
          </w:tcPr>
          <w:p w14:paraId="57FA2E2D" w14:textId="77777777" w:rsidR="00E77A30" w:rsidRPr="00433445" w:rsidRDefault="00E77A30" w:rsidP="00EE2A3A">
            <w:pPr>
              <w:pStyle w:val="BodyText"/>
              <w:rPr>
                <w:sz w:val="18"/>
              </w:rPr>
            </w:pPr>
            <w:r w:rsidRPr="00433445">
              <w:rPr>
                <w:sz w:val="18"/>
              </w:rPr>
              <w:t>Counted preferred label roles which had start date and end date but data type was not monetary (approximate)</w:t>
            </w:r>
          </w:p>
        </w:tc>
      </w:tr>
      <w:tr w:rsidR="00E77A30" w:rsidRPr="00433445" w14:paraId="60C5EA14" w14:textId="77777777" w:rsidTr="00B21DD5">
        <w:trPr>
          <w:tblHeader/>
        </w:trPr>
        <w:tc>
          <w:tcPr>
            <w:tcW w:w="1442" w:type="dxa"/>
          </w:tcPr>
          <w:p w14:paraId="730F5A24" w14:textId="77777777" w:rsidR="00E77A30" w:rsidRPr="00433445" w:rsidRDefault="00E77A30" w:rsidP="00EE2A3A">
            <w:pPr>
              <w:pStyle w:val="BodyText"/>
              <w:rPr>
                <w:sz w:val="18"/>
              </w:rPr>
            </w:pPr>
            <w:r w:rsidRPr="00433445">
              <w:rPr>
                <w:sz w:val="18"/>
              </w:rPr>
              <w:t>Roll Up</w:t>
            </w:r>
          </w:p>
        </w:tc>
        <w:tc>
          <w:tcPr>
            <w:tcW w:w="1232" w:type="dxa"/>
          </w:tcPr>
          <w:p w14:paraId="2F021170" w14:textId="77777777" w:rsidR="00E77A30" w:rsidRPr="00433445" w:rsidRDefault="00E77A30" w:rsidP="00EE2A3A">
            <w:pPr>
              <w:pStyle w:val="BodyText"/>
              <w:rPr>
                <w:sz w:val="18"/>
              </w:rPr>
            </w:pPr>
            <w:r w:rsidRPr="00433445">
              <w:rPr>
                <w:sz w:val="18"/>
              </w:rPr>
              <w:t>114,584</w:t>
            </w:r>
          </w:p>
        </w:tc>
        <w:tc>
          <w:tcPr>
            <w:tcW w:w="1214" w:type="dxa"/>
          </w:tcPr>
          <w:p w14:paraId="7D63C0FD" w14:textId="77777777" w:rsidR="00E77A30" w:rsidRPr="00433445" w:rsidRDefault="00E77A30" w:rsidP="00EE2A3A">
            <w:pPr>
              <w:pStyle w:val="BodyText"/>
              <w:rPr>
                <w:sz w:val="18"/>
              </w:rPr>
            </w:pPr>
          </w:p>
        </w:tc>
        <w:tc>
          <w:tcPr>
            <w:tcW w:w="4860" w:type="dxa"/>
          </w:tcPr>
          <w:p w14:paraId="76EF98CD" w14:textId="77777777" w:rsidR="00E77A30" w:rsidRPr="00433445" w:rsidRDefault="00E77A30" w:rsidP="00EE2A3A">
            <w:pPr>
              <w:pStyle w:val="BodyText"/>
              <w:rPr>
                <w:sz w:val="18"/>
              </w:rPr>
            </w:pPr>
            <w:r w:rsidRPr="00433445">
              <w:rPr>
                <w:sz w:val="18"/>
              </w:rPr>
              <w:t>Counted XBRL calculation relation roots</w:t>
            </w:r>
          </w:p>
        </w:tc>
      </w:tr>
      <w:tr w:rsidR="00E77A30" w:rsidRPr="00433445" w14:paraId="776D88A2" w14:textId="77777777" w:rsidTr="00B21DD5">
        <w:trPr>
          <w:tblHeader/>
        </w:trPr>
        <w:tc>
          <w:tcPr>
            <w:tcW w:w="1442" w:type="dxa"/>
          </w:tcPr>
          <w:p w14:paraId="23B1F9FA" w14:textId="77777777" w:rsidR="00E77A30" w:rsidRPr="00433445" w:rsidRDefault="00E77A30" w:rsidP="00EE2A3A">
            <w:pPr>
              <w:pStyle w:val="BodyText"/>
              <w:rPr>
                <w:sz w:val="18"/>
              </w:rPr>
            </w:pPr>
            <w:r w:rsidRPr="00433445">
              <w:rPr>
                <w:sz w:val="18"/>
              </w:rPr>
              <w:t>Hierarchy</w:t>
            </w:r>
          </w:p>
        </w:tc>
        <w:tc>
          <w:tcPr>
            <w:tcW w:w="1232" w:type="dxa"/>
          </w:tcPr>
          <w:p w14:paraId="7DCFB732" w14:textId="77777777" w:rsidR="00E77A30" w:rsidRPr="00433445" w:rsidRDefault="00E77A30" w:rsidP="00EE2A3A">
            <w:pPr>
              <w:pStyle w:val="BodyText"/>
              <w:rPr>
                <w:sz w:val="18"/>
              </w:rPr>
            </w:pPr>
          </w:p>
        </w:tc>
        <w:tc>
          <w:tcPr>
            <w:tcW w:w="1214" w:type="dxa"/>
          </w:tcPr>
          <w:p w14:paraId="24B3EF07" w14:textId="77777777" w:rsidR="00E77A30" w:rsidRPr="00433445" w:rsidRDefault="00E77A30" w:rsidP="00EE2A3A">
            <w:pPr>
              <w:pStyle w:val="BodyText"/>
              <w:rPr>
                <w:sz w:val="18"/>
              </w:rPr>
            </w:pPr>
          </w:p>
        </w:tc>
        <w:tc>
          <w:tcPr>
            <w:tcW w:w="4860" w:type="dxa"/>
          </w:tcPr>
          <w:p w14:paraId="25E5AEBE" w14:textId="77777777" w:rsidR="00E77A30" w:rsidRPr="00433445" w:rsidRDefault="00E77A30" w:rsidP="00EE2A3A">
            <w:pPr>
              <w:pStyle w:val="BodyText"/>
              <w:rPr>
                <w:sz w:val="18"/>
              </w:rPr>
            </w:pPr>
            <w:r w:rsidRPr="00433445">
              <w:rPr>
                <w:sz w:val="18"/>
              </w:rPr>
              <w:t>Counted Networks with no matching XBRL calculation and no start date/end date preferred label role (work in progress)</w:t>
            </w:r>
          </w:p>
        </w:tc>
      </w:tr>
      <w:tr w:rsidR="00E77A30" w:rsidRPr="00433445" w14:paraId="2B957D16" w14:textId="77777777" w:rsidTr="00B21DD5">
        <w:trPr>
          <w:tblHeader/>
        </w:trPr>
        <w:tc>
          <w:tcPr>
            <w:tcW w:w="1442" w:type="dxa"/>
          </w:tcPr>
          <w:p w14:paraId="401FB858" w14:textId="77777777" w:rsidR="00E77A30" w:rsidRPr="00433445" w:rsidRDefault="00E77A30" w:rsidP="00EE2A3A">
            <w:pPr>
              <w:pStyle w:val="BodyText"/>
              <w:rPr>
                <w:sz w:val="18"/>
              </w:rPr>
            </w:pPr>
            <w:r w:rsidRPr="00433445">
              <w:rPr>
                <w:sz w:val="18"/>
              </w:rPr>
              <w:t>Whole-part</w:t>
            </w:r>
          </w:p>
        </w:tc>
        <w:tc>
          <w:tcPr>
            <w:tcW w:w="1232" w:type="dxa"/>
          </w:tcPr>
          <w:p w14:paraId="1BEFEDCC" w14:textId="77777777" w:rsidR="00E77A30" w:rsidRPr="00433445" w:rsidRDefault="00E77A30" w:rsidP="00EE2A3A">
            <w:pPr>
              <w:pStyle w:val="BodyText"/>
              <w:rPr>
                <w:sz w:val="18"/>
              </w:rPr>
            </w:pPr>
          </w:p>
        </w:tc>
        <w:tc>
          <w:tcPr>
            <w:tcW w:w="1214" w:type="dxa"/>
          </w:tcPr>
          <w:p w14:paraId="5E827F2D" w14:textId="77777777" w:rsidR="00E77A30" w:rsidRPr="00433445" w:rsidRDefault="00E77A30" w:rsidP="00EE2A3A">
            <w:pPr>
              <w:pStyle w:val="BodyText"/>
              <w:rPr>
                <w:sz w:val="18"/>
              </w:rPr>
            </w:pPr>
          </w:p>
        </w:tc>
        <w:tc>
          <w:tcPr>
            <w:tcW w:w="4860" w:type="dxa"/>
          </w:tcPr>
          <w:p w14:paraId="4F55D9E8" w14:textId="77777777" w:rsidR="00E77A30" w:rsidRPr="00433445" w:rsidRDefault="00E77A30" w:rsidP="00EE2A3A">
            <w:pPr>
              <w:pStyle w:val="BodyText"/>
              <w:rPr>
                <w:sz w:val="18"/>
              </w:rPr>
            </w:pPr>
            <w:r w:rsidRPr="00433445">
              <w:rPr>
                <w:sz w:val="18"/>
              </w:rPr>
              <w:t>Count specific [Axis] types (work in progress)</w:t>
            </w:r>
          </w:p>
        </w:tc>
      </w:tr>
      <w:tr w:rsidR="00E77A30" w:rsidRPr="00433445" w14:paraId="32750F43" w14:textId="77777777" w:rsidTr="00B21DD5">
        <w:trPr>
          <w:tblHeader/>
        </w:trPr>
        <w:tc>
          <w:tcPr>
            <w:tcW w:w="1442" w:type="dxa"/>
          </w:tcPr>
          <w:p w14:paraId="20EC8CBC" w14:textId="77777777" w:rsidR="00E77A30" w:rsidRPr="00433445" w:rsidRDefault="00E77A30" w:rsidP="00EE2A3A">
            <w:pPr>
              <w:pStyle w:val="BodyText"/>
              <w:rPr>
                <w:sz w:val="18"/>
              </w:rPr>
            </w:pPr>
            <w:r w:rsidRPr="00433445">
              <w:rPr>
                <w:sz w:val="18"/>
              </w:rPr>
              <w:t>Is-a</w:t>
            </w:r>
          </w:p>
        </w:tc>
        <w:tc>
          <w:tcPr>
            <w:tcW w:w="1232" w:type="dxa"/>
          </w:tcPr>
          <w:p w14:paraId="2DDFD6AC" w14:textId="77777777" w:rsidR="00E77A30" w:rsidRPr="00433445" w:rsidRDefault="00E77A30" w:rsidP="00EE2A3A">
            <w:pPr>
              <w:pStyle w:val="BodyText"/>
              <w:rPr>
                <w:sz w:val="18"/>
              </w:rPr>
            </w:pPr>
          </w:p>
        </w:tc>
        <w:tc>
          <w:tcPr>
            <w:tcW w:w="1214" w:type="dxa"/>
          </w:tcPr>
          <w:p w14:paraId="7F3B5E2C" w14:textId="77777777" w:rsidR="00E77A30" w:rsidRPr="00433445" w:rsidRDefault="00E77A30" w:rsidP="00EE2A3A">
            <w:pPr>
              <w:pStyle w:val="BodyText"/>
              <w:rPr>
                <w:sz w:val="18"/>
              </w:rPr>
            </w:pPr>
          </w:p>
        </w:tc>
        <w:tc>
          <w:tcPr>
            <w:tcW w:w="4860" w:type="dxa"/>
          </w:tcPr>
          <w:p w14:paraId="2398A816" w14:textId="77777777" w:rsidR="00E77A30" w:rsidRPr="00433445" w:rsidRDefault="00E77A30" w:rsidP="00EE2A3A">
            <w:pPr>
              <w:pStyle w:val="BodyText"/>
              <w:rPr>
                <w:sz w:val="18"/>
              </w:rPr>
            </w:pPr>
            <w:r w:rsidRPr="00433445">
              <w:rPr>
                <w:sz w:val="18"/>
              </w:rPr>
              <w:t>Count specific [Axis] types (work in progress)</w:t>
            </w:r>
          </w:p>
        </w:tc>
      </w:tr>
    </w:tbl>
    <w:p w14:paraId="4FD74AD1" w14:textId="77777777" w:rsidR="00E77A30" w:rsidRPr="00AC3B31" w:rsidRDefault="00E77A30" w:rsidP="00B76023">
      <w:pPr>
        <w:pStyle w:val="BodyText"/>
      </w:pPr>
    </w:p>
    <w:p w14:paraId="115E06BA" w14:textId="77777777" w:rsidR="00E77A30" w:rsidRPr="00AC3B31" w:rsidRDefault="00E77A30" w:rsidP="00B76023">
      <w:pPr>
        <w:pStyle w:val="BodyText"/>
      </w:pPr>
      <w:r w:rsidRPr="00AC3B31">
        <w:t xml:space="preserve">Taking this one step further, this provides lists of the next level of the digital financial report, the classes of text blocks, disclosures, characteristics, </w:t>
      </w:r>
      <w:proofErr w:type="spellStart"/>
      <w:r w:rsidRPr="00AC3B31">
        <w:t>etc</w:t>
      </w:r>
      <w:proofErr w:type="spellEnd"/>
      <w:r w:rsidRPr="00AC3B31">
        <w:t>:</w:t>
      </w:r>
    </w:p>
    <w:tbl>
      <w:tblPr>
        <w:tblStyle w:val="TableGrid"/>
        <w:tblW w:w="0" w:type="auto"/>
        <w:tblLayout w:type="fixed"/>
        <w:tblLook w:val="04A0" w:firstRow="1" w:lastRow="0" w:firstColumn="1" w:lastColumn="0" w:noHBand="0" w:noVBand="1"/>
      </w:tblPr>
      <w:tblGrid>
        <w:gridCol w:w="2178"/>
        <w:gridCol w:w="6570"/>
      </w:tblGrid>
      <w:tr w:rsidR="00E77A30" w:rsidRPr="00AC3B31" w14:paraId="716BB59A" w14:textId="77777777" w:rsidTr="00B21DD5">
        <w:trPr>
          <w:tblHeader/>
        </w:trPr>
        <w:tc>
          <w:tcPr>
            <w:tcW w:w="2178" w:type="dxa"/>
          </w:tcPr>
          <w:p w14:paraId="5F34B608" w14:textId="77777777" w:rsidR="00E77A30" w:rsidRPr="00AC3B31" w:rsidRDefault="00E77A30" w:rsidP="00EE2A3A">
            <w:pPr>
              <w:pStyle w:val="BodyText"/>
              <w:rPr>
                <w:b/>
              </w:rPr>
            </w:pPr>
          </w:p>
          <w:p w14:paraId="04382E0C" w14:textId="77777777" w:rsidR="00E77A30" w:rsidRPr="00AC3B31" w:rsidRDefault="00E77A30" w:rsidP="00EE2A3A">
            <w:pPr>
              <w:pStyle w:val="BodyText"/>
              <w:rPr>
                <w:b/>
              </w:rPr>
            </w:pPr>
          </w:p>
          <w:p w14:paraId="7A4B2D5D" w14:textId="77777777" w:rsidR="00E77A30" w:rsidRPr="00AC3B31" w:rsidRDefault="00E77A30" w:rsidP="00EE2A3A">
            <w:pPr>
              <w:pStyle w:val="BodyText"/>
              <w:rPr>
                <w:b/>
              </w:rPr>
            </w:pPr>
            <w:r w:rsidRPr="00AC3B31">
              <w:rPr>
                <w:b/>
              </w:rPr>
              <w:t>Class</w:t>
            </w:r>
          </w:p>
        </w:tc>
        <w:tc>
          <w:tcPr>
            <w:tcW w:w="6570" w:type="dxa"/>
          </w:tcPr>
          <w:p w14:paraId="31185307" w14:textId="77777777" w:rsidR="00E77A30" w:rsidRPr="00AC3B31" w:rsidRDefault="00E77A30" w:rsidP="00EE2A3A">
            <w:pPr>
              <w:pStyle w:val="BodyText"/>
              <w:rPr>
                <w:b/>
              </w:rPr>
            </w:pPr>
          </w:p>
          <w:p w14:paraId="0D361255" w14:textId="77777777" w:rsidR="00E77A30" w:rsidRPr="00AC3B31" w:rsidRDefault="00E77A30" w:rsidP="00EE2A3A">
            <w:pPr>
              <w:pStyle w:val="BodyText"/>
              <w:rPr>
                <w:b/>
              </w:rPr>
            </w:pPr>
          </w:p>
          <w:p w14:paraId="6E69F1BC" w14:textId="77777777" w:rsidR="00E77A30" w:rsidRPr="00AC3B31" w:rsidRDefault="00E77A30" w:rsidP="00EE2A3A">
            <w:pPr>
              <w:pStyle w:val="BodyText"/>
              <w:rPr>
                <w:b/>
              </w:rPr>
            </w:pPr>
            <w:r w:rsidRPr="00AC3B31">
              <w:rPr>
                <w:b/>
              </w:rPr>
              <w:t>Comment</w:t>
            </w:r>
          </w:p>
        </w:tc>
      </w:tr>
      <w:tr w:rsidR="00E77A30" w:rsidRPr="00AC3B31" w14:paraId="5D7CDA51" w14:textId="77777777" w:rsidTr="00B21DD5">
        <w:trPr>
          <w:tblHeader/>
        </w:trPr>
        <w:tc>
          <w:tcPr>
            <w:tcW w:w="2178" w:type="dxa"/>
          </w:tcPr>
          <w:p w14:paraId="4C22BBF9" w14:textId="77777777" w:rsidR="00E77A30" w:rsidRPr="00AC3B31" w:rsidRDefault="00E77A30" w:rsidP="00EE2A3A">
            <w:pPr>
              <w:pStyle w:val="BodyText"/>
            </w:pPr>
            <w:r w:rsidRPr="00AC3B31">
              <w:t>Axis (need to break this out by whole-part and is-a type relations)</w:t>
            </w:r>
          </w:p>
        </w:tc>
        <w:tc>
          <w:tcPr>
            <w:tcW w:w="6570" w:type="dxa"/>
          </w:tcPr>
          <w:p w14:paraId="6B921001" w14:textId="77777777" w:rsidR="00E77A30" w:rsidRPr="00AC3B31" w:rsidRDefault="00942953" w:rsidP="00EE2A3A">
            <w:pPr>
              <w:pStyle w:val="BodyText"/>
            </w:pPr>
            <w:hyperlink r:id="rId24" w:history="1">
              <w:r w:rsidR="00E77A30" w:rsidRPr="00AC3B31">
                <w:rPr>
                  <w:rStyle w:val="Hyperlink"/>
                </w:rPr>
                <w:t>http://www.xbrlsite.com/2015/fro/us-gaap/html/Classes/Axes_Tree.html</w:t>
              </w:r>
            </w:hyperlink>
            <w:r w:rsidR="00E77A30" w:rsidRPr="00AC3B31">
              <w:t xml:space="preserve"> </w:t>
            </w:r>
          </w:p>
        </w:tc>
      </w:tr>
      <w:tr w:rsidR="00E77A30" w:rsidRPr="00AC3B31" w14:paraId="50ED0BC5" w14:textId="77777777" w:rsidTr="00B21DD5">
        <w:trPr>
          <w:tblHeader/>
        </w:trPr>
        <w:tc>
          <w:tcPr>
            <w:tcW w:w="2178" w:type="dxa"/>
          </w:tcPr>
          <w:p w14:paraId="19D03B42" w14:textId="77777777" w:rsidR="00E77A30" w:rsidRPr="00AC3B31" w:rsidRDefault="00E77A30" w:rsidP="00EE2A3A">
            <w:pPr>
              <w:pStyle w:val="BodyText"/>
            </w:pPr>
            <w:r w:rsidRPr="00AC3B31">
              <w:t>Level 1 Note Level Text Blocks</w:t>
            </w:r>
          </w:p>
        </w:tc>
        <w:tc>
          <w:tcPr>
            <w:tcW w:w="6570" w:type="dxa"/>
          </w:tcPr>
          <w:p w14:paraId="647E00AE" w14:textId="77777777" w:rsidR="00E77A30" w:rsidRPr="00AC3B31" w:rsidRDefault="00942953" w:rsidP="00EE2A3A">
            <w:pPr>
              <w:pStyle w:val="BodyText"/>
            </w:pPr>
            <w:hyperlink r:id="rId25" w:history="1">
              <w:r w:rsidR="00E77A30" w:rsidRPr="00AC3B31">
                <w:rPr>
                  <w:rStyle w:val="Hyperlink"/>
                </w:rPr>
                <w:t>http://www.xbrlsite.com/2015/fro/us-gaap/html/Classes/Level1TextBlock_Tree.html</w:t>
              </w:r>
            </w:hyperlink>
            <w:r w:rsidR="00E77A30" w:rsidRPr="00AC3B31">
              <w:t xml:space="preserve"> </w:t>
            </w:r>
          </w:p>
        </w:tc>
      </w:tr>
      <w:tr w:rsidR="00E77A30" w:rsidRPr="00AC3B31" w14:paraId="49EF77FD" w14:textId="77777777" w:rsidTr="00B21DD5">
        <w:trPr>
          <w:tblHeader/>
        </w:trPr>
        <w:tc>
          <w:tcPr>
            <w:tcW w:w="2178" w:type="dxa"/>
          </w:tcPr>
          <w:p w14:paraId="30E9685F" w14:textId="77777777" w:rsidR="00E77A30" w:rsidRPr="00AC3B31" w:rsidRDefault="00E77A30" w:rsidP="00EE2A3A">
            <w:pPr>
              <w:pStyle w:val="BodyText"/>
            </w:pPr>
            <w:r w:rsidRPr="00AC3B31">
              <w:t>Level 2 Policy Level Text Blocks</w:t>
            </w:r>
          </w:p>
        </w:tc>
        <w:tc>
          <w:tcPr>
            <w:tcW w:w="6570" w:type="dxa"/>
          </w:tcPr>
          <w:p w14:paraId="0555DC42" w14:textId="77777777" w:rsidR="00E77A30" w:rsidRPr="00AC3B31" w:rsidRDefault="00942953" w:rsidP="00EE2A3A">
            <w:pPr>
              <w:pStyle w:val="BodyText"/>
            </w:pPr>
            <w:hyperlink r:id="rId26" w:history="1">
              <w:r w:rsidR="00E77A30" w:rsidRPr="00AC3B31">
                <w:rPr>
                  <w:rStyle w:val="Hyperlink"/>
                </w:rPr>
                <w:t>http://www.xbrlsite.com/2015/fro/us-gaap/html/Classes/Level2TextBlock_Tree.html</w:t>
              </w:r>
            </w:hyperlink>
            <w:r w:rsidR="00E77A30" w:rsidRPr="00AC3B31">
              <w:t xml:space="preserve"> </w:t>
            </w:r>
          </w:p>
        </w:tc>
      </w:tr>
      <w:tr w:rsidR="00E77A30" w:rsidRPr="00AC3B31" w14:paraId="368D7DD9" w14:textId="77777777" w:rsidTr="00B21DD5">
        <w:trPr>
          <w:tblHeader/>
        </w:trPr>
        <w:tc>
          <w:tcPr>
            <w:tcW w:w="2178" w:type="dxa"/>
          </w:tcPr>
          <w:p w14:paraId="02DAFE9A" w14:textId="77777777" w:rsidR="00E77A30" w:rsidRPr="00AC3B31" w:rsidRDefault="00E77A30" w:rsidP="00EE2A3A">
            <w:pPr>
              <w:pStyle w:val="BodyText"/>
            </w:pPr>
            <w:r w:rsidRPr="00AC3B31">
              <w:lastRenderedPageBreak/>
              <w:t>Level 3 Disclosure Level Text Blocks</w:t>
            </w:r>
          </w:p>
        </w:tc>
        <w:tc>
          <w:tcPr>
            <w:tcW w:w="6570" w:type="dxa"/>
          </w:tcPr>
          <w:p w14:paraId="26661DAF" w14:textId="77777777" w:rsidR="00E77A30" w:rsidRPr="00AC3B31" w:rsidRDefault="00942953" w:rsidP="00EE2A3A">
            <w:pPr>
              <w:pStyle w:val="BodyText"/>
            </w:pPr>
            <w:hyperlink r:id="rId27" w:history="1">
              <w:r w:rsidR="00E77A30" w:rsidRPr="00AC3B31">
                <w:rPr>
                  <w:rStyle w:val="Hyperlink"/>
                </w:rPr>
                <w:t>http://www.xbrlsite.com/2015/fro/us-gaap/html/Classes/Level3TextBlock_Tree.html</w:t>
              </w:r>
            </w:hyperlink>
            <w:r w:rsidR="00E77A30" w:rsidRPr="00AC3B31">
              <w:t xml:space="preserve"> </w:t>
            </w:r>
          </w:p>
        </w:tc>
      </w:tr>
      <w:tr w:rsidR="00E77A30" w:rsidRPr="00AC3B31" w14:paraId="69534360" w14:textId="77777777" w:rsidTr="00B21DD5">
        <w:trPr>
          <w:tblHeader/>
        </w:trPr>
        <w:tc>
          <w:tcPr>
            <w:tcW w:w="2178" w:type="dxa"/>
          </w:tcPr>
          <w:p w14:paraId="6D21ABF2" w14:textId="77777777" w:rsidR="00E77A30" w:rsidRPr="00AC3B31" w:rsidRDefault="00E77A30" w:rsidP="00EE2A3A">
            <w:pPr>
              <w:pStyle w:val="BodyText"/>
            </w:pPr>
            <w:r w:rsidRPr="00AC3B31">
              <w:t>Hierarchy</w:t>
            </w:r>
          </w:p>
        </w:tc>
        <w:tc>
          <w:tcPr>
            <w:tcW w:w="6570" w:type="dxa"/>
          </w:tcPr>
          <w:p w14:paraId="3FCE5302" w14:textId="77777777" w:rsidR="00E77A30" w:rsidRPr="00AC3B31" w:rsidRDefault="00942953" w:rsidP="00EE2A3A">
            <w:pPr>
              <w:pStyle w:val="BodyText"/>
            </w:pPr>
            <w:hyperlink r:id="rId28" w:history="1">
              <w:r w:rsidR="00E77A30" w:rsidRPr="00AC3B31">
                <w:rPr>
                  <w:rStyle w:val="Hyperlink"/>
                </w:rPr>
                <w:t>http://www.xbrlsite.com/LinkedData/Exemplars/Disclosures.aspx?InformationModel=[Hierarchy</w:t>
              </w:r>
            </w:hyperlink>
            <w:r w:rsidR="00E77A30" w:rsidRPr="00AC3B31">
              <w:t xml:space="preserve">] </w:t>
            </w:r>
          </w:p>
        </w:tc>
      </w:tr>
      <w:tr w:rsidR="00E77A30" w:rsidRPr="00AC3B31" w14:paraId="735F6BDA" w14:textId="77777777" w:rsidTr="00B21DD5">
        <w:trPr>
          <w:tblHeader/>
        </w:trPr>
        <w:tc>
          <w:tcPr>
            <w:tcW w:w="2178" w:type="dxa"/>
          </w:tcPr>
          <w:p w14:paraId="3A4C96F0" w14:textId="77777777" w:rsidR="00E77A30" w:rsidRPr="00AC3B31" w:rsidRDefault="00E77A30" w:rsidP="00EE2A3A">
            <w:pPr>
              <w:pStyle w:val="BodyText"/>
            </w:pPr>
            <w:r w:rsidRPr="00AC3B31">
              <w:t>Roll Up</w:t>
            </w:r>
          </w:p>
        </w:tc>
        <w:tc>
          <w:tcPr>
            <w:tcW w:w="6570" w:type="dxa"/>
          </w:tcPr>
          <w:p w14:paraId="27473F98" w14:textId="77777777" w:rsidR="00E77A30" w:rsidRPr="00AC3B31" w:rsidRDefault="00942953" w:rsidP="00EE2A3A">
            <w:pPr>
              <w:pStyle w:val="BodyText"/>
            </w:pPr>
            <w:hyperlink r:id="rId29" w:history="1">
              <w:r w:rsidR="00E77A30" w:rsidRPr="00AC3B31">
                <w:rPr>
                  <w:rStyle w:val="Hyperlink"/>
                </w:rPr>
                <w:t>http://www.xbrlsite.com/LinkedData/Exemplars/Disclosures.aspx?InformationModel=[Roll Up]</w:t>
              </w:r>
            </w:hyperlink>
            <w:r w:rsidR="00E77A30" w:rsidRPr="00AC3B31">
              <w:t xml:space="preserve"> </w:t>
            </w:r>
          </w:p>
        </w:tc>
      </w:tr>
      <w:tr w:rsidR="00E77A30" w:rsidRPr="00AC3B31" w14:paraId="194D3646" w14:textId="77777777" w:rsidTr="00B21DD5">
        <w:trPr>
          <w:tblHeader/>
        </w:trPr>
        <w:tc>
          <w:tcPr>
            <w:tcW w:w="2178" w:type="dxa"/>
          </w:tcPr>
          <w:p w14:paraId="2EB98EE5" w14:textId="77777777" w:rsidR="00E77A30" w:rsidRPr="00AC3B31" w:rsidRDefault="00E77A30" w:rsidP="00EE2A3A">
            <w:pPr>
              <w:pStyle w:val="BodyText"/>
            </w:pPr>
            <w:r w:rsidRPr="00AC3B31">
              <w:t>Roll Forward</w:t>
            </w:r>
          </w:p>
        </w:tc>
        <w:tc>
          <w:tcPr>
            <w:tcW w:w="6570" w:type="dxa"/>
          </w:tcPr>
          <w:p w14:paraId="1FABB50B" w14:textId="77777777" w:rsidR="00E77A30" w:rsidRPr="00AC3B31" w:rsidRDefault="00942953" w:rsidP="00EE2A3A">
            <w:pPr>
              <w:pStyle w:val="BodyText"/>
            </w:pPr>
            <w:hyperlink r:id="rId30" w:history="1">
              <w:r w:rsidR="00E77A30" w:rsidRPr="00AC3B31">
                <w:rPr>
                  <w:rStyle w:val="Hyperlink"/>
                </w:rPr>
                <w:t>http://www.xbrlsite.com/LinkedData/Exemplars/Disclosures.aspx?InformationModel=[Roll Forward]</w:t>
              </w:r>
            </w:hyperlink>
            <w:r w:rsidR="00E77A30" w:rsidRPr="00AC3B31">
              <w:t xml:space="preserve"> </w:t>
            </w:r>
          </w:p>
        </w:tc>
      </w:tr>
      <w:tr w:rsidR="00E77A30" w:rsidRPr="00AC3B31" w14:paraId="56B08330" w14:textId="77777777" w:rsidTr="00B21DD5">
        <w:trPr>
          <w:tblHeader/>
        </w:trPr>
        <w:tc>
          <w:tcPr>
            <w:tcW w:w="2178" w:type="dxa"/>
          </w:tcPr>
          <w:p w14:paraId="4227D5A6" w14:textId="77777777" w:rsidR="00E77A30" w:rsidRPr="00AC3B31" w:rsidRDefault="00E77A30" w:rsidP="00EE2A3A">
            <w:pPr>
              <w:pStyle w:val="BodyText"/>
            </w:pPr>
            <w:r w:rsidRPr="00AC3B31">
              <w:t>Report</w:t>
            </w:r>
          </w:p>
        </w:tc>
        <w:tc>
          <w:tcPr>
            <w:tcW w:w="6570" w:type="dxa"/>
          </w:tcPr>
          <w:p w14:paraId="0D3C2051" w14:textId="77777777" w:rsidR="00E77A30" w:rsidRPr="00AC3B31" w:rsidRDefault="00942953" w:rsidP="00EE2A3A">
            <w:pPr>
              <w:pStyle w:val="BodyText"/>
            </w:pPr>
            <w:hyperlink r:id="rId31" w:history="1">
              <w:r w:rsidR="00E77A30" w:rsidRPr="00AC3B31">
                <w:rPr>
                  <w:rStyle w:val="Hyperlink"/>
                </w:rPr>
                <w:t>http://www.sec.gov/Archives/edgar/monthly/xbrlrss-2014-12.xml</w:t>
              </w:r>
            </w:hyperlink>
            <w:r w:rsidR="00E77A30" w:rsidRPr="00AC3B31">
              <w:t xml:space="preserve"> </w:t>
            </w:r>
          </w:p>
        </w:tc>
      </w:tr>
    </w:tbl>
    <w:p w14:paraId="4CA5B861" w14:textId="77777777" w:rsidR="00E77A30" w:rsidRPr="00AC3B31" w:rsidRDefault="00E77A30" w:rsidP="00B76023">
      <w:pPr>
        <w:pStyle w:val="BodyText"/>
      </w:pPr>
    </w:p>
    <w:p w14:paraId="0C9F4951" w14:textId="77777777" w:rsidR="00E77A30" w:rsidRPr="00EE4E96" w:rsidRDefault="00E77A30" w:rsidP="00531E3B">
      <w:pPr>
        <w:pStyle w:val="Heading2"/>
      </w:pPr>
      <w:bookmarkStart w:id="14" w:name="_Toc418919793"/>
      <w:r>
        <w:t>Summary of p</w:t>
      </w:r>
      <w:r w:rsidRPr="00EE4E96">
        <w:t>roperties</w:t>
      </w:r>
      <w:bookmarkEnd w:id="14"/>
      <w:r>
        <w:t xml:space="preserve"> of high-level types/classes</w:t>
      </w:r>
    </w:p>
    <w:p w14:paraId="55CC675D" w14:textId="77777777" w:rsidR="00E77A30" w:rsidRPr="00AC3B31" w:rsidRDefault="00E77A30" w:rsidP="00531E3B">
      <w:pPr>
        <w:pStyle w:val="BodyText"/>
        <w:rPr>
          <w:lang w:val="en"/>
        </w:rPr>
      </w:pPr>
      <w:r w:rsidRPr="00AC3B31">
        <w:rPr>
          <w:lang w:val="en"/>
        </w:rPr>
        <w:t xml:space="preserve">The following is a summary of the relevant properties for each </w:t>
      </w:r>
      <w:r>
        <w:rPr>
          <w:lang w:val="en"/>
        </w:rPr>
        <w:t>high-level type/</w:t>
      </w:r>
      <w:r w:rsidRPr="00AC3B31">
        <w:rPr>
          <w:lang w:val="en"/>
        </w:rPr>
        <w:t>class of report element:</w:t>
      </w:r>
    </w:p>
    <w:p w14:paraId="1DA64ACE" w14:textId="77777777" w:rsidR="00E77A30" w:rsidRPr="00AC3B31" w:rsidRDefault="00E77A30" w:rsidP="00E77A30">
      <w:pPr>
        <w:pStyle w:val="BodyText"/>
        <w:numPr>
          <w:ilvl w:val="0"/>
          <w:numId w:val="11"/>
        </w:numPr>
        <w:spacing w:before="0" w:after="0"/>
        <w:rPr>
          <w:lang w:val="en"/>
        </w:rPr>
      </w:pPr>
      <w:r w:rsidRPr="00AC3B31">
        <w:rPr>
          <w:lang w:val="en"/>
        </w:rPr>
        <w:t>Report</w:t>
      </w:r>
    </w:p>
    <w:p w14:paraId="0F908985" w14:textId="77777777" w:rsidR="00E77A30" w:rsidRDefault="00E77A30" w:rsidP="00E77A30">
      <w:pPr>
        <w:pStyle w:val="BodyText"/>
        <w:numPr>
          <w:ilvl w:val="1"/>
          <w:numId w:val="11"/>
        </w:numPr>
        <w:spacing w:before="0" w:after="0"/>
        <w:rPr>
          <w:lang w:val="en"/>
        </w:rPr>
      </w:pPr>
      <w:r>
        <w:rPr>
          <w:lang w:val="en"/>
        </w:rPr>
        <w:t>Collection of networks</w:t>
      </w:r>
    </w:p>
    <w:p w14:paraId="36F86E23" w14:textId="77777777" w:rsidR="00E77A30" w:rsidRPr="00AC3B31" w:rsidRDefault="00E77A30" w:rsidP="00E77A30">
      <w:pPr>
        <w:pStyle w:val="BodyText"/>
        <w:numPr>
          <w:ilvl w:val="1"/>
          <w:numId w:val="11"/>
        </w:numPr>
        <w:spacing w:before="0" w:after="0"/>
        <w:rPr>
          <w:lang w:val="en"/>
        </w:rPr>
      </w:pPr>
      <w:r w:rsidRPr="00AC3B31">
        <w:rPr>
          <w:lang w:val="en"/>
        </w:rPr>
        <w:t>Collection of components</w:t>
      </w:r>
    </w:p>
    <w:p w14:paraId="73A5FEBE" w14:textId="77777777" w:rsidR="00E77A30" w:rsidRPr="00AC3B31" w:rsidRDefault="00E77A30" w:rsidP="00E77A30">
      <w:pPr>
        <w:pStyle w:val="BodyText"/>
        <w:numPr>
          <w:ilvl w:val="0"/>
          <w:numId w:val="11"/>
        </w:numPr>
        <w:spacing w:before="0" w:after="0"/>
        <w:rPr>
          <w:lang w:val="en"/>
        </w:rPr>
      </w:pPr>
      <w:r w:rsidRPr="00AC3B31">
        <w:rPr>
          <w:lang w:val="en"/>
        </w:rPr>
        <w:t>Component</w:t>
      </w:r>
    </w:p>
    <w:p w14:paraId="422AAA8C" w14:textId="77777777" w:rsidR="00E77A30" w:rsidRDefault="00E77A30" w:rsidP="00E77A30">
      <w:pPr>
        <w:pStyle w:val="BodyText"/>
        <w:numPr>
          <w:ilvl w:val="1"/>
          <w:numId w:val="11"/>
        </w:numPr>
        <w:spacing w:before="0" w:after="0"/>
        <w:rPr>
          <w:lang w:val="en"/>
        </w:rPr>
      </w:pPr>
      <w:r w:rsidRPr="00AC3B31">
        <w:rPr>
          <w:lang w:val="en"/>
        </w:rPr>
        <w:t>Collection of report elements</w:t>
      </w:r>
    </w:p>
    <w:p w14:paraId="79DD8982" w14:textId="77777777" w:rsidR="00E77A30" w:rsidRPr="00AC3B31" w:rsidRDefault="00E77A30" w:rsidP="00E77A30">
      <w:pPr>
        <w:pStyle w:val="BodyText"/>
        <w:numPr>
          <w:ilvl w:val="1"/>
          <w:numId w:val="11"/>
        </w:numPr>
        <w:spacing w:before="0" w:after="0"/>
        <w:rPr>
          <w:lang w:val="en"/>
        </w:rPr>
      </w:pPr>
      <w:r>
        <w:rPr>
          <w:lang w:val="en"/>
        </w:rPr>
        <w:t>Collection of blocks</w:t>
      </w:r>
    </w:p>
    <w:p w14:paraId="42F13976" w14:textId="77777777" w:rsidR="00E77A30" w:rsidRPr="00AC3B31" w:rsidRDefault="00E77A30" w:rsidP="00E77A30">
      <w:pPr>
        <w:pStyle w:val="BodyText"/>
        <w:numPr>
          <w:ilvl w:val="0"/>
          <w:numId w:val="11"/>
        </w:numPr>
        <w:spacing w:before="0" w:after="0"/>
        <w:rPr>
          <w:lang w:val="en"/>
        </w:rPr>
      </w:pPr>
      <w:r w:rsidRPr="00AC3B31">
        <w:rPr>
          <w:lang w:val="en"/>
        </w:rPr>
        <w:t>Network</w:t>
      </w:r>
    </w:p>
    <w:p w14:paraId="3B3639D0" w14:textId="77777777" w:rsidR="00E77A30" w:rsidRPr="00AC3B31" w:rsidRDefault="00E77A30" w:rsidP="00E77A30">
      <w:pPr>
        <w:pStyle w:val="BodyText"/>
        <w:numPr>
          <w:ilvl w:val="1"/>
          <w:numId w:val="11"/>
        </w:numPr>
        <w:spacing w:before="0" w:after="0"/>
        <w:rPr>
          <w:lang w:val="en"/>
        </w:rPr>
      </w:pPr>
      <w:r w:rsidRPr="00AC3B31">
        <w:rPr>
          <w:lang w:val="en"/>
        </w:rPr>
        <w:t>Name</w:t>
      </w:r>
    </w:p>
    <w:p w14:paraId="2A54A127" w14:textId="77777777" w:rsidR="00E77A30" w:rsidRPr="00AC3B31" w:rsidRDefault="00E77A30" w:rsidP="00E77A30">
      <w:pPr>
        <w:pStyle w:val="BodyText"/>
        <w:numPr>
          <w:ilvl w:val="1"/>
          <w:numId w:val="11"/>
        </w:numPr>
        <w:spacing w:before="0" w:after="0"/>
        <w:rPr>
          <w:lang w:val="en"/>
        </w:rPr>
      </w:pPr>
      <w:r w:rsidRPr="00AC3B31">
        <w:rPr>
          <w:lang w:val="en"/>
        </w:rPr>
        <w:t>Label (</w:t>
      </w:r>
      <w:proofErr w:type="spellStart"/>
      <w:r w:rsidRPr="00AC3B31">
        <w:rPr>
          <w:lang w:val="en"/>
        </w:rPr>
        <w:t>SortCode</w:t>
      </w:r>
      <w:proofErr w:type="spellEnd"/>
      <w:r w:rsidRPr="00AC3B31">
        <w:rPr>
          <w:lang w:val="en"/>
        </w:rPr>
        <w:t xml:space="preserve"> + Type + Title)</w:t>
      </w:r>
    </w:p>
    <w:p w14:paraId="0BB71EAD" w14:textId="77777777" w:rsidR="00E77A30" w:rsidRPr="00AC3B31" w:rsidRDefault="00E77A30" w:rsidP="00E77A30">
      <w:pPr>
        <w:pStyle w:val="BodyText"/>
        <w:numPr>
          <w:ilvl w:val="0"/>
          <w:numId w:val="11"/>
        </w:numPr>
        <w:spacing w:before="0" w:after="0"/>
        <w:rPr>
          <w:lang w:val="en"/>
        </w:rPr>
      </w:pPr>
      <w:r w:rsidRPr="00AC3B31">
        <w:rPr>
          <w:lang w:val="en"/>
        </w:rPr>
        <w:t>Table</w:t>
      </w:r>
    </w:p>
    <w:p w14:paraId="0B208D98" w14:textId="77777777" w:rsidR="00E77A30" w:rsidRPr="00AC3B31" w:rsidRDefault="00E77A30" w:rsidP="00E77A30">
      <w:pPr>
        <w:pStyle w:val="BodyText"/>
        <w:numPr>
          <w:ilvl w:val="1"/>
          <w:numId w:val="11"/>
        </w:numPr>
        <w:spacing w:before="0" w:after="0"/>
        <w:rPr>
          <w:lang w:val="en"/>
        </w:rPr>
      </w:pPr>
      <w:r w:rsidRPr="00AC3B31">
        <w:rPr>
          <w:lang w:val="en"/>
        </w:rPr>
        <w:t>Name</w:t>
      </w:r>
    </w:p>
    <w:p w14:paraId="7AE4C347" w14:textId="77777777" w:rsidR="00E77A30" w:rsidRPr="00AC3B31" w:rsidRDefault="00E77A30" w:rsidP="00E77A30">
      <w:pPr>
        <w:pStyle w:val="BodyText"/>
        <w:numPr>
          <w:ilvl w:val="1"/>
          <w:numId w:val="11"/>
        </w:numPr>
        <w:spacing w:before="0" w:after="0"/>
        <w:rPr>
          <w:lang w:val="en"/>
        </w:rPr>
      </w:pPr>
      <w:r w:rsidRPr="00AC3B31">
        <w:rPr>
          <w:lang w:val="en"/>
        </w:rPr>
        <w:t>Label</w:t>
      </w:r>
    </w:p>
    <w:p w14:paraId="35246A70" w14:textId="77777777" w:rsidR="00E77A30" w:rsidRPr="00AC3B31" w:rsidRDefault="00E77A30" w:rsidP="00E77A30">
      <w:pPr>
        <w:pStyle w:val="BodyText"/>
        <w:numPr>
          <w:ilvl w:val="0"/>
          <w:numId w:val="11"/>
        </w:numPr>
        <w:spacing w:before="0" w:after="0"/>
        <w:rPr>
          <w:lang w:val="en"/>
        </w:rPr>
      </w:pPr>
      <w:r w:rsidRPr="00AC3B31">
        <w:rPr>
          <w:lang w:val="en"/>
        </w:rPr>
        <w:t>Axis</w:t>
      </w:r>
    </w:p>
    <w:p w14:paraId="5114170A" w14:textId="77777777" w:rsidR="00E77A30" w:rsidRPr="00AC3B31" w:rsidRDefault="00E77A30" w:rsidP="00E77A30">
      <w:pPr>
        <w:pStyle w:val="BodyText"/>
        <w:numPr>
          <w:ilvl w:val="1"/>
          <w:numId w:val="11"/>
        </w:numPr>
        <w:spacing w:before="0" w:after="0"/>
        <w:rPr>
          <w:lang w:val="en"/>
        </w:rPr>
      </w:pPr>
      <w:r w:rsidRPr="00AC3B31">
        <w:rPr>
          <w:lang w:val="en"/>
        </w:rPr>
        <w:t>Name</w:t>
      </w:r>
    </w:p>
    <w:p w14:paraId="0AC4B7FF" w14:textId="77777777" w:rsidR="00E77A30" w:rsidRPr="00AC3B31" w:rsidRDefault="00E77A30" w:rsidP="00E77A30">
      <w:pPr>
        <w:pStyle w:val="BodyText"/>
        <w:numPr>
          <w:ilvl w:val="1"/>
          <w:numId w:val="11"/>
        </w:numPr>
        <w:spacing w:before="0" w:after="0"/>
        <w:rPr>
          <w:lang w:val="en"/>
        </w:rPr>
      </w:pPr>
      <w:r w:rsidRPr="00AC3B31">
        <w:rPr>
          <w:lang w:val="en"/>
        </w:rPr>
        <w:t>Label</w:t>
      </w:r>
    </w:p>
    <w:p w14:paraId="37D3718D" w14:textId="77777777" w:rsidR="00E77A30" w:rsidRPr="00AC3B31" w:rsidRDefault="00E77A30" w:rsidP="00E77A30">
      <w:pPr>
        <w:pStyle w:val="BodyText"/>
        <w:numPr>
          <w:ilvl w:val="0"/>
          <w:numId w:val="11"/>
        </w:numPr>
        <w:spacing w:before="0" w:after="0"/>
        <w:rPr>
          <w:lang w:val="en"/>
        </w:rPr>
      </w:pPr>
      <w:r w:rsidRPr="00AC3B31">
        <w:rPr>
          <w:lang w:val="en"/>
        </w:rPr>
        <w:t>Member</w:t>
      </w:r>
    </w:p>
    <w:p w14:paraId="45B805BD" w14:textId="77777777" w:rsidR="00E77A30" w:rsidRPr="00AC3B31" w:rsidRDefault="00E77A30" w:rsidP="00E77A30">
      <w:pPr>
        <w:pStyle w:val="BodyText"/>
        <w:numPr>
          <w:ilvl w:val="1"/>
          <w:numId w:val="11"/>
        </w:numPr>
        <w:spacing w:before="0" w:after="0"/>
        <w:rPr>
          <w:lang w:val="en"/>
        </w:rPr>
      </w:pPr>
      <w:r w:rsidRPr="00AC3B31">
        <w:rPr>
          <w:lang w:val="en"/>
        </w:rPr>
        <w:t>Name</w:t>
      </w:r>
    </w:p>
    <w:p w14:paraId="3FC1037E" w14:textId="77777777" w:rsidR="00E77A30" w:rsidRPr="00AC3B31" w:rsidRDefault="00E77A30" w:rsidP="00E77A30">
      <w:pPr>
        <w:pStyle w:val="BodyText"/>
        <w:numPr>
          <w:ilvl w:val="1"/>
          <w:numId w:val="11"/>
        </w:numPr>
        <w:spacing w:before="0" w:after="0"/>
        <w:rPr>
          <w:lang w:val="en"/>
        </w:rPr>
      </w:pPr>
      <w:r w:rsidRPr="00AC3B31">
        <w:rPr>
          <w:lang w:val="en"/>
        </w:rPr>
        <w:t>Label</w:t>
      </w:r>
    </w:p>
    <w:p w14:paraId="6AAFDED3" w14:textId="77777777" w:rsidR="00E77A30" w:rsidRPr="00AC3B31" w:rsidRDefault="00E77A30" w:rsidP="00E77A30">
      <w:pPr>
        <w:pStyle w:val="BodyText"/>
        <w:numPr>
          <w:ilvl w:val="0"/>
          <w:numId w:val="11"/>
        </w:numPr>
        <w:spacing w:before="0" w:after="0"/>
        <w:rPr>
          <w:lang w:val="en"/>
        </w:rPr>
      </w:pPr>
      <w:r w:rsidRPr="00AC3B31">
        <w:rPr>
          <w:lang w:val="en"/>
        </w:rPr>
        <w:t>Line Items</w:t>
      </w:r>
    </w:p>
    <w:p w14:paraId="78042DA0" w14:textId="77777777" w:rsidR="00E77A30" w:rsidRPr="00AC3B31" w:rsidRDefault="00E77A30" w:rsidP="00E77A30">
      <w:pPr>
        <w:pStyle w:val="BodyText"/>
        <w:numPr>
          <w:ilvl w:val="1"/>
          <w:numId w:val="11"/>
        </w:numPr>
        <w:spacing w:before="0" w:after="0"/>
        <w:rPr>
          <w:lang w:val="en"/>
        </w:rPr>
      </w:pPr>
      <w:r w:rsidRPr="00AC3B31">
        <w:rPr>
          <w:lang w:val="en"/>
        </w:rPr>
        <w:t>Name</w:t>
      </w:r>
    </w:p>
    <w:p w14:paraId="53573F52" w14:textId="77777777" w:rsidR="00E77A30" w:rsidRPr="00AC3B31" w:rsidRDefault="00E77A30" w:rsidP="00E77A30">
      <w:pPr>
        <w:pStyle w:val="BodyText"/>
        <w:numPr>
          <w:ilvl w:val="1"/>
          <w:numId w:val="11"/>
        </w:numPr>
        <w:spacing w:before="0" w:after="0"/>
        <w:rPr>
          <w:lang w:val="en"/>
        </w:rPr>
      </w:pPr>
      <w:r w:rsidRPr="00AC3B31">
        <w:rPr>
          <w:lang w:val="en"/>
        </w:rPr>
        <w:t>Label</w:t>
      </w:r>
    </w:p>
    <w:p w14:paraId="552511B7" w14:textId="77777777" w:rsidR="00E77A30" w:rsidRPr="00AC3B31" w:rsidRDefault="00E77A30" w:rsidP="00E77A30">
      <w:pPr>
        <w:pStyle w:val="BodyText"/>
        <w:numPr>
          <w:ilvl w:val="0"/>
          <w:numId w:val="11"/>
        </w:numPr>
        <w:spacing w:before="0" w:after="0"/>
        <w:rPr>
          <w:lang w:val="en"/>
        </w:rPr>
      </w:pPr>
      <w:r w:rsidRPr="00AC3B31">
        <w:rPr>
          <w:lang w:val="en"/>
        </w:rPr>
        <w:t>Abstract</w:t>
      </w:r>
    </w:p>
    <w:p w14:paraId="0A258D06" w14:textId="77777777" w:rsidR="00E77A30" w:rsidRPr="00AC3B31" w:rsidRDefault="00E77A30" w:rsidP="00E77A30">
      <w:pPr>
        <w:pStyle w:val="BodyText"/>
        <w:numPr>
          <w:ilvl w:val="1"/>
          <w:numId w:val="11"/>
        </w:numPr>
        <w:spacing w:before="0" w:after="0"/>
        <w:rPr>
          <w:lang w:val="en"/>
        </w:rPr>
      </w:pPr>
      <w:r w:rsidRPr="00AC3B31">
        <w:rPr>
          <w:lang w:val="en"/>
        </w:rPr>
        <w:t>Name</w:t>
      </w:r>
    </w:p>
    <w:p w14:paraId="5D9FD61A" w14:textId="77777777" w:rsidR="00E77A30" w:rsidRPr="00AC3B31" w:rsidRDefault="00E77A30" w:rsidP="00E77A30">
      <w:pPr>
        <w:pStyle w:val="BodyText"/>
        <w:numPr>
          <w:ilvl w:val="1"/>
          <w:numId w:val="11"/>
        </w:numPr>
        <w:spacing w:before="0" w:after="0"/>
        <w:rPr>
          <w:lang w:val="en"/>
        </w:rPr>
      </w:pPr>
      <w:r w:rsidRPr="00AC3B31">
        <w:rPr>
          <w:lang w:val="en"/>
        </w:rPr>
        <w:t>Label</w:t>
      </w:r>
    </w:p>
    <w:p w14:paraId="57E582C1" w14:textId="77777777" w:rsidR="00E77A30" w:rsidRPr="00AC3B31" w:rsidRDefault="00E77A30" w:rsidP="00E77A30">
      <w:pPr>
        <w:pStyle w:val="BodyText"/>
        <w:numPr>
          <w:ilvl w:val="0"/>
          <w:numId w:val="11"/>
        </w:numPr>
        <w:spacing w:before="0" w:after="0"/>
        <w:rPr>
          <w:lang w:val="en"/>
        </w:rPr>
      </w:pPr>
      <w:r w:rsidRPr="00AC3B31">
        <w:rPr>
          <w:lang w:val="en"/>
        </w:rPr>
        <w:t>Concept</w:t>
      </w:r>
    </w:p>
    <w:p w14:paraId="1AD601C1" w14:textId="77777777" w:rsidR="00E77A30" w:rsidRPr="00AC3B31" w:rsidRDefault="00E77A30" w:rsidP="00E77A30">
      <w:pPr>
        <w:pStyle w:val="BodyText"/>
        <w:numPr>
          <w:ilvl w:val="1"/>
          <w:numId w:val="11"/>
        </w:numPr>
        <w:spacing w:before="0" w:after="0"/>
        <w:rPr>
          <w:lang w:val="en"/>
        </w:rPr>
      </w:pPr>
      <w:r w:rsidRPr="00AC3B31">
        <w:rPr>
          <w:lang w:val="en"/>
        </w:rPr>
        <w:t>Name</w:t>
      </w:r>
    </w:p>
    <w:p w14:paraId="1F0E0236" w14:textId="77777777" w:rsidR="00E77A30" w:rsidRPr="00AC3B31" w:rsidRDefault="00E77A30" w:rsidP="00E77A30">
      <w:pPr>
        <w:pStyle w:val="BodyText"/>
        <w:numPr>
          <w:ilvl w:val="1"/>
          <w:numId w:val="11"/>
        </w:numPr>
        <w:spacing w:before="0" w:after="0"/>
        <w:rPr>
          <w:lang w:val="en"/>
        </w:rPr>
      </w:pPr>
      <w:r w:rsidRPr="00AC3B31">
        <w:rPr>
          <w:lang w:val="en"/>
        </w:rPr>
        <w:t>Label</w:t>
      </w:r>
    </w:p>
    <w:p w14:paraId="777794D3" w14:textId="77777777" w:rsidR="00E77A30" w:rsidRPr="00AC3B31" w:rsidRDefault="00E77A30" w:rsidP="00E77A30">
      <w:pPr>
        <w:pStyle w:val="BodyText"/>
        <w:numPr>
          <w:ilvl w:val="1"/>
          <w:numId w:val="11"/>
        </w:numPr>
        <w:spacing w:before="0" w:after="0"/>
        <w:rPr>
          <w:lang w:val="en"/>
        </w:rPr>
      </w:pPr>
      <w:r w:rsidRPr="00AC3B31">
        <w:rPr>
          <w:lang w:val="en"/>
        </w:rPr>
        <w:t>Data Type</w:t>
      </w:r>
    </w:p>
    <w:p w14:paraId="4195603B" w14:textId="77777777" w:rsidR="00E77A30" w:rsidRPr="00AC3B31" w:rsidRDefault="00E77A30" w:rsidP="00E77A30">
      <w:pPr>
        <w:pStyle w:val="BodyText"/>
        <w:numPr>
          <w:ilvl w:val="1"/>
          <w:numId w:val="11"/>
        </w:numPr>
        <w:spacing w:before="0" w:after="0"/>
        <w:rPr>
          <w:lang w:val="en"/>
        </w:rPr>
      </w:pPr>
      <w:r w:rsidRPr="00AC3B31">
        <w:rPr>
          <w:lang w:val="en"/>
        </w:rPr>
        <w:t>Period Type</w:t>
      </w:r>
    </w:p>
    <w:p w14:paraId="1A99A1C2" w14:textId="77777777" w:rsidR="00E77A30" w:rsidRPr="00AC3B31" w:rsidRDefault="00E77A30" w:rsidP="00E77A30">
      <w:pPr>
        <w:pStyle w:val="BodyText"/>
        <w:numPr>
          <w:ilvl w:val="1"/>
          <w:numId w:val="11"/>
        </w:numPr>
        <w:spacing w:before="0" w:after="0"/>
        <w:rPr>
          <w:lang w:val="en"/>
        </w:rPr>
      </w:pPr>
      <w:r w:rsidRPr="00AC3B31">
        <w:rPr>
          <w:lang w:val="en"/>
        </w:rPr>
        <w:t>Balance Type</w:t>
      </w:r>
    </w:p>
    <w:p w14:paraId="12DF5FA7" w14:textId="77777777" w:rsidR="00E77A30" w:rsidRPr="00AC3B31" w:rsidRDefault="00E77A30" w:rsidP="00E77A30">
      <w:pPr>
        <w:pStyle w:val="BodyText"/>
        <w:numPr>
          <w:ilvl w:val="0"/>
          <w:numId w:val="11"/>
        </w:numPr>
        <w:spacing w:before="0" w:after="0"/>
        <w:rPr>
          <w:lang w:val="en"/>
        </w:rPr>
      </w:pPr>
      <w:r w:rsidRPr="00AC3B31">
        <w:rPr>
          <w:lang w:val="en"/>
        </w:rPr>
        <w:lastRenderedPageBreak/>
        <w:t>Fact</w:t>
      </w:r>
    </w:p>
    <w:p w14:paraId="1E654AC8" w14:textId="77777777" w:rsidR="00E77A30" w:rsidRPr="00AC3B31" w:rsidRDefault="00E77A30" w:rsidP="00E77A30">
      <w:pPr>
        <w:pStyle w:val="BodyText"/>
        <w:numPr>
          <w:ilvl w:val="1"/>
          <w:numId w:val="11"/>
        </w:numPr>
        <w:spacing w:before="0" w:after="0"/>
        <w:rPr>
          <w:lang w:val="en"/>
        </w:rPr>
      </w:pPr>
      <w:r w:rsidRPr="00AC3B31">
        <w:rPr>
          <w:lang w:val="en"/>
        </w:rPr>
        <w:t>Collection of characteristics</w:t>
      </w:r>
    </w:p>
    <w:p w14:paraId="2EF2AE94" w14:textId="77777777" w:rsidR="00E77A30" w:rsidRPr="00AC3B31" w:rsidRDefault="00E77A30" w:rsidP="00E77A30">
      <w:pPr>
        <w:pStyle w:val="BodyText"/>
        <w:numPr>
          <w:ilvl w:val="1"/>
          <w:numId w:val="11"/>
        </w:numPr>
        <w:spacing w:before="0" w:after="0"/>
        <w:rPr>
          <w:lang w:val="en"/>
        </w:rPr>
      </w:pPr>
      <w:r w:rsidRPr="00AC3B31">
        <w:rPr>
          <w:lang w:val="en"/>
        </w:rPr>
        <w:t>Fact value</w:t>
      </w:r>
    </w:p>
    <w:p w14:paraId="2F202807" w14:textId="77777777" w:rsidR="00E77A30" w:rsidRPr="00AC3B31" w:rsidRDefault="00E77A30" w:rsidP="00E77A30">
      <w:pPr>
        <w:pStyle w:val="BodyText"/>
        <w:numPr>
          <w:ilvl w:val="1"/>
          <w:numId w:val="11"/>
        </w:numPr>
        <w:spacing w:before="0" w:after="0"/>
        <w:rPr>
          <w:lang w:val="en"/>
        </w:rPr>
      </w:pPr>
      <w:r w:rsidRPr="00AC3B31">
        <w:rPr>
          <w:lang w:val="en"/>
        </w:rPr>
        <w:t>Collection of parenthetical explanations</w:t>
      </w:r>
    </w:p>
    <w:p w14:paraId="7FAC5A39" w14:textId="77777777" w:rsidR="00E77A30" w:rsidRPr="00AC3B31" w:rsidRDefault="00E77A30" w:rsidP="00E77A30">
      <w:pPr>
        <w:pStyle w:val="BodyText"/>
        <w:numPr>
          <w:ilvl w:val="1"/>
          <w:numId w:val="11"/>
        </w:numPr>
        <w:spacing w:before="0" w:after="0"/>
        <w:rPr>
          <w:lang w:val="en"/>
        </w:rPr>
      </w:pPr>
      <w:r w:rsidRPr="00AC3B31">
        <w:rPr>
          <w:lang w:val="en"/>
        </w:rPr>
        <w:t>Units (numeric facts only)</w:t>
      </w:r>
    </w:p>
    <w:p w14:paraId="120E3A11" w14:textId="77777777" w:rsidR="00E77A30" w:rsidRPr="00AC3B31" w:rsidRDefault="00E77A30" w:rsidP="00E77A30">
      <w:pPr>
        <w:pStyle w:val="BodyText"/>
        <w:numPr>
          <w:ilvl w:val="1"/>
          <w:numId w:val="11"/>
        </w:numPr>
        <w:spacing w:before="0" w:after="0"/>
        <w:rPr>
          <w:lang w:val="en"/>
        </w:rPr>
      </w:pPr>
      <w:r w:rsidRPr="00AC3B31">
        <w:rPr>
          <w:lang w:val="en"/>
        </w:rPr>
        <w:t>Decimals (numeric facts only)</w:t>
      </w:r>
    </w:p>
    <w:p w14:paraId="46D64D4E" w14:textId="77777777" w:rsidR="00E77A30" w:rsidRPr="00AC3B31" w:rsidRDefault="00E77A30" w:rsidP="00531E3B">
      <w:pPr>
        <w:pStyle w:val="BodyText"/>
        <w:rPr>
          <w:lang w:val="en"/>
        </w:rPr>
      </w:pPr>
      <w:r w:rsidRPr="00AC3B31">
        <w:rPr>
          <w:lang w:val="en"/>
        </w:rPr>
        <w:t>Note that while the XBRL technical syntax might require other properties (implemented as an attribute of an element), the properties are meaningless in terms of semantics.  For example, a Table is required to have a data type of string, a period type of duration, and an abstract value of true; but that information is not relevant to the meaning of a Table.</w:t>
      </w:r>
    </w:p>
    <w:p w14:paraId="0982201B" w14:textId="1F09C424" w:rsidR="00E77A30" w:rsidRDefault="00E77A30" w:rsidP="005B479E">
      <w:pPr>
        <w:pStyle w:val="BodyText"/>
        <w:rPr>
          <w:rFonts w:ascii="Arial" w:hAnsi="Arial" w:cs="Arial"/>
          <w:b/>
          <w:bCs/>
          <w:color w:val="000080"/>
          <w:kern w:val="32"/>
          <w:sz w:val="40"/>
          <w:szCs w:val="40"/>
        </w:rPr>
      </w:pPr>
      <w:r w:rsidRPr="00AC3B31">
        <w:rPr>
          <w:lang w:val="en"/>
        </w:rPr>
        <w:t>While all report elements are required to have an ID attribute, that ID attribute is always identical to the namespace prefix plus “_” plus the name of the report element.  Machines can automatically manage the ID.</w:t>
      </w:r>
    </w:p>
    <w:p w14:paraId="60165DA2" w14:textId="77777777" w:rsidR="00E77A30" w:rsidRDefault="00E77A30" w:rsidP="00B21DD5">
      <w:pPr>
        <w:pStyle w:val="Heading1"/>
      </w:pPr>
      <w:r>
        <w:t>Deconstructing the Mechanics of an SEC Style XBRL-based Digital Financial Report Disclosure</w:t>
      </w:r>
    </w:p>
    <w:p w14:paraId="55130809" w14:textId="77777777" w:rsidR="00E77A30" w:rsidRDefault="00E77A30" w:rsidP="00B21DD5">
      <w:pPr>
        <w:pStyle w:val="BodyText"/>
      </w:pPr>
      <w:r>
        <w:t>The U.S. Securities Commission’s Edgar Filer Manual</w:t>
      </w:r>
      <w:r>
        <w:rPr>
          <w:rStyle w:val="FootnoteReference"/>
        </w:rPr>
        <w:footnoteReference w:id="11"/>
      </w:r>
      <w:r>
        <w:t xml:space="preserve"> (EFM) specifies rules for creating XBRL-based digital financial reports.  Another source for understanding how to create these reports comes from the empirical evidence offered by the reports themselves.</w:t>
      </w:r>
    </w:p>
    <w:p w14:paraId="56282898" w14:textId="77777777" w:rsidR="00E77A30" w:rsidRDefault="00E77A30" w:rsidP="00B21DD5">
      <w:pPr>
        <w:pStyle w:val="BodyText"/>
      </w:pPr>
      <w:r>
        <w:t>First I will deconstruct the pieces which make up an XBRL-based digital financial report and then put the pieces back together and in doing so describe the logical, mechanical, and mathematical relations of these report fragments which make up such reports.</w:t>
      </w:r>
    </w:p>
    <w:p w14:paraId="5DAA3B90" w14:textId="77777777" w:rsidR="00E77A30" w:rsidRDefault="00E77A30" w:rsidP="00B21DD5">
      <w:pPr>
        <w:pStyle w:val="Heading2"/>
      </w:pPr>
      <w:r>
        <w:t>Understanding the notion of type</w:t>
      </w:r>
    </w:p>
    <w:p w14:paraId="66BBF62D" w14:textId="77777777" w:rsidR="00E77A30" w:rsidRDefault="00E77A30" w:rsidP="00B21DD5">
      <w:pPr>
        <w:pStyle w:val="BodyText"/>
        <w:tabs>
          <w:tab w:val="left" w:pos="3375"/>
        </w:tabs>
      </w:pPr>
      <w:r>
        <w:t>The EFM defines the “Type” in section 6.7.12:</w:t>
      </w:r>
    </w:p>
    <w:p w14:paraId="53E007A5" w14:textId="77777777" w:rsidR="00E77A30" w:rsidRDefault="00E77A30" w:rsidP="00B21DD5">
      <w:pPr>
        <w:pStyle w:val="BodyText"/>
        <w:tabs>
          <w:tab w:val="left" w:pos="3375"/>
        </w:tabs>
        <w:jc w:val="center"/>
      </w:pPr>
      <w:r>
        <w:rPr>
          <w:noProof/>
        </w:rPr>
        <w:lastRenderedPageBreak/>
        <w:drawing>
          <wp:inline distT="0" distB="0" distL="0" distR="0" wp14:anchorId="1EB096ED" wp14:editId="779AB1E6">
            <wp:extent cx="5054803" cy="2376198"/>
            <wp:effectExtent l="0" t="0" r="0" b="0"/>
            <wp:docPr id="1046" name="Picture 1046" descr="C:\Users\Charlie\AppData\Local\Temp\SNAGHTML15a63f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5a63fcf.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4947" cy="2376266"/>
                    </a:xfrm>
                    <a:prstGeom prst="rect">
                      <a:avLst/>
                    </a:prstGeom>
                    <a:noFill/>
                    <a:ln>
                      <a:noFill/>
                    </a:ln>
                  </pic:spPr>
                </pic:pic>
              </a:graphicData>
            </a:graphic>
          </wp:inline>
        </w:drawing>
      </w:r>
    </w:p>
    <w:p w14:paraId="549222FA" w14:textId="77777777" w:rsidR="00E77A30" w:rsidRDefault="00E77A30" w:rsidP="00B21DD5">
      <w:pPr>
        <w:pStyle w:val="BodyText"/>
        <w:tabs>
          <w:tab w:val="left" w:pos="3375"/>
        </w:tabs>
        <w:jc w:val="left"/>
      </w:pPr>
      <w:r>
        <w:t>Put simply, each Network label</w:t>
      </w:r>
      <w:r>
        <w:rPr>
          <w:rStyle w:val="FootnoteReference"/>
        </w:rPr>
        <w:footnoteReference w:id="12"/>
      </w:r>
      <w:r>
        <w:t xml:space="preserve"> MUST contain one of the following terms to identify the “Type” of the Network:</w:t>
      </w:r>
    </w:p>
    <w:p w14:paraId="0554A917" w14:textId="77777777" w:rsidR="00E77A30" w:rsidRPr="00DD1E68" w:rsidRDefault="00E77A30" w:rsidP="00E77A30">
      <w:pPr>
        <w:pStyle w:val="BodyText"/>
        <w:numPr>
          <w:ilvl w:val="0"/>
          <w:numId w:val="12"/>
        </w:numPr>
        <w:tabs>
          <w:tab w:val="left" w:pos="3375"/>
        </w:tabs>
        <w:jc w:val="left"/>
        <w:rPr>
          <w:b/>
        </w:rPr>
      </w:pPr>
      <w:r w:rsidRPr="00DD1E68">
        <w:rPr>
          <w:b/>
        </w:rPr>
        <w:t>Document</w:t>
      </w:r>
    </w:p>
    <w:p w14:paraId="1BE789C9" w14:textId="77777777" w:rsidR="00E77A30" w:rsidRPr="00DD1E68" w:rsidRDefault="00E77A30" w:rsidP="00E77A30">
      <w:pPr>
        <w:pStyle w:val="BodyText"/>
        <w:numPr>
          <w:ilvl w:val="0"/>
          <w:numId w:val="12"/>
        </w:numPr>
        <w:tabs>
          <w:tab w:val="left" w:pos="3375"/>
        </w:tabs>
        <w:jc w:val="left"/>
        <w:rPr>
          <w:b/>
        </w:rPr>
      </w:pPr>
      <w:r w:rsidRPr="00DD1E68">
        <w:rPr>
          <w:b/>
        </w:rPr>
        <w:t>Statement</w:t>
      </w:r>
    </w:p>
    <w:p w14:paraId="1C9DA0DD" w14:textId="77777777" w:rsidR="00E77A30" w:rsidRPr="00DD1E68" w:rsidRDefault="00E77A30" w:rsidP="00E77A30">
      <w:pPr>
        <w:pStyle w:val="BodyText"/>
        <w:numPr>
          <w:ilvl w:val="0"/>
          <w:numId w:val="12"/>
        </w:numPr>
        <w:tabs>
          <w:tab w:val="left" w:pos="3375"/>
        </w:tabs>
        <w:jc w:val="left"/>
        <w:rPr>
          <w:b/>
        </w:rPr>
      </w:pPr>
      <w:r w:rsidRPr="00DD1E68">
        <w:rPr>
          <w:b/>
        </w:rPr>
        <w:t>Disclosure</w:t>
      </w:r>
    </w:p>
    <w:p w14:paraId="663104A4" w14:textId="77777777" w:rsidR="00E77A30" w:rsidRPr="00DD1E68" w:rsidRDefault="00E77A30" w:rsidP="00E77A30">
      <w:pPr>
        <w:pStyle w:val="BodyText"/>
        <w:numPr>
          <w:ilvl w:val="0"/>
          <w:numId w:val="12"/>
        </w:numPr>
        <w:tabs>
          <w:tab w:val="left" w:pos="3375"/>
        </w:tabs>
        <w:jc w:val="left"/>
        <w:rPr>
          <w:b/>
        </w:rPr>
      </w:pPr>
      <w:r w:rsidRPr="00DD1E68">
        <w:rPr>
          <w:b/>
        </w:rPr>
        <w:t>Schedule</w:t>
      </w:r>
    </w:p>
    <w:p w14:paraId="018BF6ED" w14:textId="77777777" w:rsidR="00E77A30" w:rsidRDefault="00E77A30" w:rsidP="00B21DD5">
      <w:pPr>
        <w:pStyle w:val="BodyText"/>
        <w:tabs>
          <w:tab w:val="left" w:pos="3375"/>
        </w:tabs>
        <w:jc w:val="left"/>
      </w:pPr>
      <w:r>
        <w:t>The type is used to organize the report fragments in software applications such as the SEC Interactive Data Viewer</w:t>
      </w:r>
      <w:r>
        <w:rPr>
          <w:rStyle w:val="FootnoteReference"/>
        </w:rPr>
        <w:footnoteReference w:id="13"/>
      </w:r>
      <w:r>
        <w:t>.</w:t>
      </w:r>
    </w:p>
    <w:p w14:paraId="718C926C" w14:textId="77777777" w:rsidR="00E77A30" w:rsidRDefault="00E77A30" w:rsidP="00B21DD5">
      <w:pPr>
        <w:pStyle w:val="BodyText"/>
        <w:tabs>
          <w:tab w:val="left" w:pos="3375"/>
        </w:tabs>
        <w:jc w:val="left"/>
      </w:pPr>
    </w:p>
    <w:p w14:paraId="38DA3F82" w14:textId="77777777" w:rsidR="00E77A30" w:rsidRDefault="00E77A30" w:rsidP="00B21DD5">
      <w:pPr>
        <w:pStyle w:val="Heading2"/>
      </w:pPr>
      <w:r>
        <w:t>Understanding the notion of level</w:t>
      </w:r>
    </w:p>
    <w:p w14:paraId="27C3306D" w14:textId="77777777" w:rsidR="00E77A30" w:rsidRDefault="00E77A30" w:rsidP="00B21DD5">
      <w:pPr>
        <w:pStyle w:val="BodyText"/>
        <w:tabs>
          <w:tab w:val="left" w:pos="3375"/>
        </w:tabs>
      </w:pPr>
      <w:r>
        <w:t>That same EFM section conveys the meaning of the term “Level” of a disclosure based on its usage in that section and in previous sections.</w:t>
      </w:r>
    </w:p>
    <w:p w14:paraId="0625830B" w14:textId="77777777" w:rsidR="00E77A30" w:rsidRDefault="00E77A30" w:rsidP="00B21DD5">
      <w:pPr>
        <w:pStyle w:val="BodyText"/>
        <w:tabs>
          <w:tab w:val="left" w:pos="3375"/>
        </w:tabs>
        <w:jc w:val="center"/>
      </w:pPr>
      <w:r>
        <w:rPr>
          <w:noProof/>
        </w:rPr>
        <w:drawing>
          <wp:inline distT="0" distB="0" distL="0" distR="0" wp14:anchorId="04A7C06A" wp14:editId="328D5FBA">
            <wp:extent cx="3591764" cy="776137"/>
            <wp:effectExtent l="0" t="0" r="0" b="0"/>
            <wp:docPr id="1047" name="Picture 1047" descr="C:\Users\Charlie\AppData\Local\Temp\SNAGHTML15aecc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15aecca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91918" cy="776170"/>
                    </a:xfrm>
                    <a:prstGeom prst="rect">
                      <a:avLst/>
                    </a:prstGeom>
                    <a:noFill/>
                    <a:ln>
                      <a:noFill/>
                    </a:ln>
                  </pic:spPr>
                </pic:pic>
              </a:graphicData>
            </a:graphic>
          </wp:inline>
        </w:drawing>
      </w:r>
    </w:p>
    <w:p w14:paraId="6820EE5F" w14:textId="77777777" w:rsidR="00E77A30" w:rsidRDefault="00E77A30" w:rsidP="00B21DD5">
      <w:pPr>
        <w:pStyle w:val="BodyText"/>
        <w:tabs>
          <w:tab w:val="left" w:pos="3375"/>
        </w:tabs>
        <w:jc w:val="left"/>
      </w:pPr>
      <w:r>
        <w:t>Again, put simply, a</w:t>
      </w:r>
      <w:r w:rsidRPr="003310F6">
        <w:t xml:space="preserve"> level </w:t>
      </w:r>
      <w:r>
        <w:t>relates to the “tagging level” of facts that are included within an XBRL-based financial report.  Levels are always one of the following:</w:t>
      </w:r>
      <w:r w:rsidRPr="003310F6">
        <w:t xml:space="preserve"> </w:t>
      </w:r>
    </w:p>
    <w:p w14:paraId="5265A740" w14:textId="77777777" w:rsidR="00E77A30" w:rsidRDefault="00E77A30" w:rsidP="00E77A30">
      <w:pPr>
        <w:pStyle w:val="BodyText"/>
        <w:numPr>
          <w:ilvl w:val="0"/>
          <w:numId w:val="13"/>
        </w:numPr>
        <w:tabs>
          <w:tab w:val="left" w:pos="3375"/>
        </w:tabs>
        <w:jc w:val="left"/>
      </w:pPr>
      <w:r w:rsidRPr="00DD1E68">
        <w:rPr>
          <w:b/>
        </w:rPr>
        <w:t>Level 1 Note Text Block</w:t>
      </w:r>
      <w:r>
        <w:t>: an entire note of the financial report.</w:t>
      </w:r>
    </w:p>
    <w:p w14:paraId="20CE1BF1" w14:textId="77777777" w:rsidR="00E77A30" w:rsidRDefault="00E77A30" w:rsidP="00E77A30">
      <w:pPr>
        <w:pStyle w:val="BodyText"/>
        <w:numPr>
          <w:ilvl w:val="0"/>
          <w:numId w:val="13"/>
        </w:numPr>
        <w:tabs>
          <w:tab w:val="left" w:pos="3375"/>
        </w:tabs>
        <w:jc w:val="left"/>
      </w:pPr>
      <w:r w:rsidRPr="00DD1E68">
        <w:rPr>
          <w:b/>
        </w:rPr>
        <w:t>Level 2 Policy Text Block</w:t>
      </w:r>
      <w:r>
        <w:t>: an individual policy within a financial report.</w:t>
      </w:r>
    </w:p>
    <w:p w14:paraId="1E12B04A" w14:textId="77777777" w:rsidR="00E77A30" w:rsidRDefault="00E77A30" w:rsidP="00E77A30">
      <w:pPr>
        <w:pStyle w:val="BodyText"/>
        <w:numPr>
          <w:ilvl w:val="0"/>
          <w:numId w:val="13"/>
        </w:numPr>
        <w:tabs>
          <w:tab w:val="left" w:pos="3375"/>
        </w:tabs>
        <w:jc w:val="left"/>
      </w:pPr>
      <w:r w:rsidRPr="00DD1E68">
        <w:rPr>
          <w:b/>
        </w:rPr>
        <w:t>Level 3 Disclosure Text Block</w:t>
      </w:r>
      <w:r>
        <w:t>: an entire individual disclosure that is contained within a note.</w:t>
      </w:r>
    </w:p>
    <w:p w14:paraId="4E01C227" w14:textId="77777777" w:rsidR="00E77A30" w:rsidRDefault="00E77A30" w:rsidP="00E77A30">
      <w:pPr>
        <w:pStyle w:val="BodyText"/>
        <w:numPr>
          <w:ilvl w:val="0"/>
          <w:numId w:val="13"/>
        </w:numPr>
        <w:tabs>
          <w:tab w:val="left" w:pos="3375"/>
        </w:tabs>
        <w:jc w:val="left"/>
      </w:pPr>
      <w:r w:rsidRPr="00DD1E68">
        <w:rPr>
          <w:b/>
        </w:rPr>
        <w:lastRenderedPageBreak/>
        <w:t>Level 4 Disclosure Detail</w:t>
      </w:r>
      <w:r>
        <w:t>: a set of individual facts that make up an entire individual disclosure.</w:t>
      </w:r>
    </w:p>
    <w:p w14:paraId="34821FA5" w14:textId="77777777" w:rsidR="00E77A30" w:rsidRDefault="00E77A30" w:rsidP="00B21DD5">
      <w:pPr>
        <w:pStyle w:val="BodyText"/>
        <w:tabs>
          <w:tab w:val="left" w:pos="3375"/>
        </w:tabs>
        <w:jc w:val="left"/>
      </w:pPr>
      <w:r>
        <w:t>The focus of this document is Level 3 Disclosure Text Blocks and Level 4 Disclosure Detail.  Here is an example of each:</w:t>
      </w:r>
    </w:p>
    <w:p w14:paraId="7F04CFBC" w14:textId="77777777" w:rsidR="00E77A30" w:rsidRDefault="00E77A30" w:rsidP="00B21DD5">
      <w:pPr>
        <w:pStyle w:val="BodyText"/>
        <w:tabs>
          <w:tab w:val="left" w:pos="3375"/>
        </w:tabs>
        <w:jc w:val="left"/>
      </w:pPr>
      <w:r>
        <w:t>Level 3 Disclosure Text Block:</w:t>
      </w:r>
    </w:p>
    <w:p w14:paraId="76A2547B" w14:textId="77777777" w:rsidR="00E77A30" w:rsidRDefault="00E77A30" w:rsidP="00B21DD5">
      <w:pPr>
        <w:pStyle w:val="BodyText"/>
        <w:tabs>
          <w:tab w:val="left" w:pos="3375"/>
        </w:tabs>
        <w:jc w:val="center"/>
      </w:pPr>
      <w:r>
        <w:rPr>
          <w:noProof/>
        </w:rPr>
        <w:drawing>
          <wp:inline distT="0" distB="0" distL="0" distR="0" wp14:anchorId="749E2567" wp14:editId="720DE184">
            <wp:extent cx="3708806" cy="1389217"/>
            <wp:effectExtent l="0" t="0" r="6350" b="1905"/>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708806" cy="1389217"/>
                    </a:xfrm>
                    <a:prstGeom prst="rect">
                      <a:avLst/>
                    </a:prstGeom>
                  </pic:spPr>
                </pic:pic>
              </a:graphicData>
            </a:graphic>
          </wp:inline>
        </w:drawing>
      </w:r>
    </w:p>
    <w:p w14:paraId="4C8FF62F" w14:textId="77777777" w:rsidR="00E77A30" w:rsidRDefault="00E77A30" w:rsidP="00B21DD5">
      <w:pPr>
        <w:pStyle w:val="BodyText"/>
        <w:tabs>
          <w:tab w:val="left" w:pos="3375"/>
        </w:tabs>
        <w:jc w:val="left"/>
      </w:pPr>
      <w:r>
        <w:t>Level 4 Disclosure Detail:</w:t>
      </w:r>
    </w:p>
    <w:p w14:paraId="49E43A85" w14:textId="77777777" w:rsidR="00E77A30" w:rsidRDefault="00E77A30" w:rsidP="00B21DD5">
      <w:pPr>
        <w:pStyle w:val="BodyText"/>
        <w:tabs>
          <w:tab w:val="left" w:pos="3375"/>
        </w:tabs>
        <w:jc w:val="center"/>
      </w:pPr>
      <w:r>
        <w:rPr>
          <w:noProof/>
        </w:rPr>
        <w:drawing>
          <wp:inline distT="0" distB="0" distL="0" distR="0" wp14:anchorId="199183F6" wp14:editId="7E802358">
            <wp:extent cx="3708806" cy="2413891"/>
            <wp:effectExtent l="0" t="0" r="6350" b="571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708807" cy="2413892"/>
                    </a:xfrm>
                    <a:prstGeom prst="rect">
                      <a:avLst/>
                    </a:prstGeom>
                  </pic:spPr>
                </pic:pic>
              </a:graphicData>
            </a:graphic>
          </wp:inline>
        </w:drawing>
      </w:r>
    </w:p>
    <w:p w14:paraId="53A5EB2A" w14:textId="77777777" w:rsidR="00E77A30" w:rsidRDefault="00E77A30" w:rsidP="00B21DD5">
      <w:pPr>
        <w:pStyle w:val="Heading2"/>
      </w:pPr>
      <w:r>
        <w:t>Understanding the difference between a note and a disclosure</w:t>
      </w:r>
    </w:p>
    <w:p w14:paraId="1F3B84D9" w14:textId="77777777" w:rsidR="00E77A30" w:rsidRDefault="00E77A30" w:rsidP="00B21DD5">
      <w:pPr>
        <w:pStyle w:val="BodyText"/>
        <w:tabs>
          <w:tab w:val="left" w:pos="3375"/>
        </w:tabs>
        <w:jc w:val="left"/>
      </w:pPr>
      <w:r>
        <w:t>For this discussion, understanding the difference between a note and a disclosure is important.  There is a significant difference between a note and a disclosure.  A note is a presentation related artifact.  A disclosure is an informational artifact. Disclosures are presented with a note or a statement.  In this discussion a balance sheet, income statement, statement of comprehensive income, cash flow statement, and statement of changes in equity are all considered disclosures.  So the term “statement” is similar to the term “note” in that a statement is a presentation artifact into which a disclosure, such as the balance sheet information, goes.</w:t>
      </w:r>
    </w:p>
    <w:p w14:paraId="49644376" w14:textId="77777777" w:rsidR="00E77A30" w:rsidRDefault="00E77A30" w:rsidP="00B21DD5">
      <w:pPr>
        <w:pStyle w:val="Heading2"/>
      </w:pPr>
      <w:r>
        <w:t>Ordering of report fragments</w:t>
      </w:r>
    </w:p>
    <w:p w14:paraId="267CDC69" w14:textId="77777777" w:rsidR="00E77A30" w:rsidRPr="00441616" w:rsidRDefault="00E77A30" w:rsidP="00B21DD5">
      <w:pPr>
        <w:pStyle w:val="BodyText"/>
      </w:pPr>
      <w:r w:rsidRPr="00441616">
        <w:t xml:space="preserve">The EFM specifies the </w:t>
      </w:r>
      <w:r>
        <w:t>ordering of the fragments of an XBRL-based financial report.  XBRL uses what it calls a Network to organize fragments of a report.  Each Network has two traits: Type and Level.</w:t>
      </w:r>
      <w:r w:rsidRPr="00441616">
        <w:t xml:space="preserve">  Networks must be in the following order per the EFM:</w:t>
      </w:r>
    </w:p>
    <w:p w14:paraId="1F207A1E" w14:textId="77777777" w:rsidR="00E77A30" w:rsidRPr="00441616" w:rsidRDefault="00E77A30" w:rsidP="00E77A30">
      <w:pPr>
        <w:pStyle w:val="BodyText"/>
        <w:numPr>
          <w:ilvl w:val="0"/>
          <w:numId w:val="14"/>
        </w:numPr>
      </w:pPr>
      <w:r w:rsidRPr="00441616">
        <w:lastRenderedPageBreak/>
        <w:t>Document types (all of which are Level 4 detail)</w:t>
      </w:r>
    </w:p>
    <w:p w14:paraId="3BF99FCC" w14:textId="77777777" w:rsidR="00E77A30" w:rsidRPr="00441616" w:rsidRDefault="00E77A30" w:rsidP="00E77A30">
      <w:pPr>
        <w:pStyle w:val="BodyText"/>
        <w:numPr>
          <w:ilvl w:val="0"/>
          <w:numId w:val="14"/>
        </w:numPr>
      </w:pPr>
      <w:r w:rsidRPr="00441616">
        <w:t>Statement types (all of which are Level 4 detail)</w:t>
      </w:r>
    </w:p>
    <w:p w14:paraId="72743936" w14:textId="77777777" w:rsidR="00E77A30" w:rsidRPr="00441616" w:rsidRDefault="00E77A30" w:rsidP="00E77A30">
      <w:pPr>
        <w:pStyle w:val="BodyText"/>
        <w:numPr>
          <w:ilvl w:val="0"/>
          <w:numId w:val="14"/>
        </w:numPr>
      </w:pPr>
      <w:r w:rsidRPr="00441616">
        <w:t>Disclosure types which are Level 1 (note level) text blocks</w:t>
      </w:r>
    </w:p>
    <w:p w14:paraId="6FC3C03B" w14:textId="77777777" w:rsidR="00E77A30" w:rsidRPr="00441616" w:rsidRDefault="00E77A30" w:rsidP="00E77A30">
      <w:pPr>
        <w:pStyle w:val="BodyText"/>
        <w:numPr>
          <w:ilvl w:val="0"/>
          <w:numId w:val="14"/>
        </w:numPr>
      </w:pPr>
      <w:r w:rsidRPr="00441616">
        <w:t>Disclosure types which are Level 2 (policy) text blocks</w:t>
      </w:r>
    </w:p>
    <w:p w14:paraId="43B27BC3" w14:textId="77777777" w:rsidR="00E77A30" w:rsidRPr="00441616" w:rsidRDefault="00E77A30" w:rsidP="00E77A30">
      <w:pPr>
        <w:pStyle w:val="BodyText"/>
        <w:numPr>
          <w:ilvl w:val="0"/>
          <w:numId w:val="14"/>
        </w:numPr>
      </w:pPr>
      <w:r w:rsidRPr="00441616">
        <w:t>Disclosure types which are Level 3 (disclosure) text blocks.</w:t>
      </w:r>
    </w:p>
    <w:p w14:paraId="3142CA12" w14:textId="77777777" w:rsidR="00E77A30" w:rsidRPr="00441616" w:rsidRDefault="00E77A30" w:rsidP="00E77A30">
      <w:pPr>
        <w:pStyle w:val="BodyText"/>
        <w:numPr>
          <w:ilvl w:val="0"/>
          <w:numId w:val="14"/>
        </w:numPr>
      </w:pPr>
      <w:r w:rsidRPr="00441616">
        <w:t>Disclosure types which are Level 4 (disclosure) details.</w:t>
      </w:r>
    </w:p>
    <w:p w14:paraId="6A4EF365" w14:textId="77777777" w:rsidR="00E77A30" w:rsidRDefault="00E77A30" w:rsidP="00B21DD5">
      <w:pPr>
        <w:pStyle w:val="BodyText"/>
      </w:pPr>
      <w:r w:rsidRPr="00441616">
        <w:t xml:space="preserve">The EFM is vague when it comes to the </w:t>
      </w:r>
      <w:r>
        <w:t>“</w:t>
      </w:r>
      <w:r w:rsidRPr="00441616">
        <w:t>Schedule</w:t>
      </w:r>
      <w:r>
        <w:t>”</w:t>
      </w:r>
      <w:r w:rsidRPr="00441616">
        <w:t xml:space="preserve"> types.  It seems to me that the </w:t>
      </w:r>
      <w:r>
        <w:t>type “</w:t>
      </w:r>
      <w:r w:rsidRPr="00441616">
        <w:t>Schedule</w:t>
      </w:r>
      <w:r>
        <w:t>”</w:t>
      </w:r>
      <w:r w:rsidRPr="00441616">
        <w:t xml:space="preserve"> is interchangeable with the type </w:t>
      </w:r>
      <w:r>
        <w:t>“</w:t>
      </w:r>
      <w:r w:rsidRPr="00441616">
        <w:t>Disclosure</w:t>
      </w:r>
      <w:r>
        <w:t>”</w:t>
      </w:r>
      <w:r w:rsidRPr="00441616">
        <w:t xml:space="preserve">.  However, the </w:t>
      </w:r>
      <w:r>
        <w:t>type “</w:t>
      </w:r>
      <w:r w:rsidRPr="00441616">
        <w:t>Schedule</w:t>
      </w:r>
      <w:r>
        <w:t>” is</w:t>
      </w:r>
      <w:r w:rsidRPr="00441616">
        <w:t xml:space="preserve"> not explained well, not used that often, generally interchangeable with Disclosure type, and in my opinion are best avoided until how they should be used is more clear.</w:t>
      </w:r>
    </w:p>
    <w:p w14:paraId="71DC683E" w14:textId="77777777" w:rsidR="00E77A30" w:rsidRDefault="00E77A30" w:rsidP="00B21DD5">
      <w:pPr>
        <w:pStyle w:val="Heading2"/>
      </w:pPr>
      <w:r>
        <w:t>Basic mechanical rule: don’t use Level 3 Disclosure Text Blocks to represent Level 4 Note Text Block information</w:t>
      </w:r>
    </w:p>
    <w:p w14:paraId="2F980AB6" w14:textId="77777777" w:rsidR="00E77A30" w:rsidRDefault="00E77A30" w:rsidP="00B21DD5">
      <w:pPr>
        <w:pStyle w:val="BodyText"/>
      </w:pPr>
      <w:r>
        <w:t>An easy to understand idea is that XBRL-based reports need to use Level 1 Note Text Blocks to represent information that goes into slot #3 from the ordering of report fragments above.  Occasionally, a public company filings uses what is defined as a Level 3 Disclosure Text Block</w:t>
      </w:r>
      <w:r>
        <w:rPr>
          <w:rStyle w:val="FootnoteReference"/>
        </w:rPr>
        <w:footnoteReference w:id="14"/>
      </w:r>
      <w:r>
        <w:t xml:space="preserve"> to represent a Level 1 Note Text Block.  That is an example of a mechanical rule.</w:t>
      </w:r>
    </w:p>
    <w:p w14:paraId="76DFA914" w14:textId="77777777" w:rsidR="00E77A30" w:rsidRDefault="00E77A30" w:rsidP="00B21DD5">
      <w:pPr>
        <w:pStyle w:val="BodyText"/>
        <w:jc w:val="center"/>
      </w:pPr>
      <w:r>
        <w:rPr>
          <w:noProof/>
        </w:rPr>
        <w:drawing>
          <wp:inline distT="0" distB="0" distL="0" distR="0" wp14:anchorId="14D8E2E7" wp14:editId="5F857C2D">
            <wp:extent cx="3167482" cy="1215869"/>
            <wp:effectExtent l="0" t="0" r="0" b="0"/>
            <wp:docPr id="1050" name="Picture 1050" descr="C:\Users\Charlie\AppData\Local\Temp\SNAGHTML193d8c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193d8c4b.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68008" cy="1216071"/>
                    </a:xfrm>
                    <a:prstGeom prst="rect">
                      <a:avLst/>
                    </a:prstGeom>
                    <a:noFill/>
                    <a:ln>
                      <a:noFill/>
                    </a:ln>
                  </pic:spPr>
                </pic:pic>
              </a:graphicData>
            </a:graphic>
          </wp:inline>
        </w:drawing>
      </w:r>
    </w:p>
    <w:p w14:paraId="7D66509C" w14:textId="77777777" w:rsidR="00E77A30" w:rsidRDefault="00E77A30" w:rsidP="00B21DD5">
      <w:pPr>
        <w:pStyle w:val="Heading2"/>
      </w:pPr>
      <w:r>
        <w:t>Basic mechanical rule: put Level 1 Note Text Blocks in networks of the time “Disclosure”</w:t>
      </w:r>
    </w:p>
    <w:p w14:paraId="592F63B0" w14:textId="77777777" w:rsidR="00E77A30" w:rsidRDefault="00E77A30" w:rsidP="00B21DD5">
      <w:pPr>
        <w:pStyle w:val="BodyText"/>
      </w:pPr>
      <w:r>
        <w:t>Another basic mechanical rule is that a Level 1 Note Text Block must go into an XBRL Network that has the type of “Disclosure”.  They don’t go into Networks of type “Document” or “Statement”.</w:t>
      </w:r>
    </w:p>
    <w:p w14:paraId="0A1029E3" w14:textId="77777777" w:rsidR="00E77A30" w:rsidRDefault="00E77A30" w:rsidP="00B21DD5">
      <w:pPr>
        <w:pStyle w:val="BodyText"/>
      </w:pPr>
      <w:r>
        <w:t>Very few public companies violate this rule.  Those two basic examples helps you understand the idea of disclosure mechanics.  Now we will get into some disclosure mechanics which are less understood but true none-the-less.</w:t>
      </w:r>
    </w:p>
    <w:p w14:paraId="29239FDD" w14:textId="77777777" w:rsidR="00E77A30" w:rsidRDefault="00E77A30" w:rsidP="00B21DD5">
      <w:pPr>
        <w:pStyle w:val="Heading2"/>
      </w:pPr>
      <w:r>
        <w:lastRenderedPageBreak/>
        <w:t>Understanding the relation between Level 1 Note Text Blocks and Level 3 Disclosure Text Blocks</w:t>
      </w:r>
    </w:p>
    <w:p w14:paraId="56B8B62E" w14:textId="77777777" w:rsidR="00E77A30" w:rsidRDefault="00E77A30" w:rsidP="00B21DD5">
      <w:pPr>
        <w:pStyle w:val="BodyText"/>
      </w:pPr>
      <w:r>
        <w:t>Every financial report is broken into the presentation artifacts “statements” and “notes”.  A note is a presentation related artifact.  Disclosures go into notes.  Which note a disclosure is presented in varies widely between reporting entities, although there can be some common patterns public companies use.  However, these rules are not really enforceable because there is nothing in the accounting literature that states precisely where a disclosure must be presented.  For example, the estimated useful lives of classes of property, plant, and equipment disclosure could be presented in the note “significant accounting policies” or “property, plant and equipment”.  Both make sense.  Future minimum lease payments might go into “leases” note or “commitments and contingencies” note some other note.</w:t>
      </w:r>
    </w:p>
    <w:p w14:paraId="0731D4D6" w14:textId="77777777" w:rsidR="00E77A30" w:rsidRDefault="00E77A30" w:rsidP="00B21DD5">
      <w:pPr>
        <w:pStyle w:val="BodyText"/>
      </w:pPr>
      <w:r>
        <w:t>Different reporting entities could have policies for which specific note a disclosure is placed.  And so a business rule can be created which is unique to a reporting entity or reporting entities that have the same policies as to how they construct their financial report.</w:t>
      </w:r>
    </w:p>
    <w:p w14:paraId="1DBECC38" w14:textId="77777777" w:rsidR="00E77A30" w:rsidRDefault="00E77A30" w:rsidP="00B21DD5">
      <w:pPr>
        <w:pStyle w:val="BodyText"/>
      </w:pPr>
      <w:r>
        <w:t>All the above said, every Level 3 Disclosure Text Block is also reported within some Level 1 Note Text Block.  But there is not necessarily a specific relation between which Level 1 Note Text Block contains which specific Level 3 Disclosure Text Block.</w:t>
      </w:r>
    </w:p>
    <w:p w14:paraId="3BAD35D8" w14:textId="77777777" w:rsidR="00E77A30" w:rsidRDefault="00E77A30" w:rsidP="00B21DD5">
      <w:pPr>
        <w:pStyle w:val="BodyText"/>
      </w:pPr>
      <w:r>
        <w:t>Further, while it is true that every Level 3 Disclosure Text Block report fragment is also within some Level 1 Note Text Block; it is NOT THE CASE that every part of a Level 1 Note Text Block also has a Level 3 Disclosure Text Block.</w:t>
      </w:r>
    </w:p>
    <w:p w14:paraId="7EF76D77" w14:textId="77777777" w:rsidR="00E77A30" w:rsidRDefault="00E77A30" w:rsidP="00B21DD5">
      <w:pPr>
        <w:pStyle w:val="BodyText"/>
      </w:pPr>
      <w:r>
        <w:t>For example, the Level 1 Note Text Block “Nature of Operations” and “Basis of Reporting” do not have a corresponding Level 3 Disclosure Text Block.</w:t>
      </w:r>
    </w:p>
    <w:p w14:paraId="752F71CD" w14:textId="77777777" w:rsidR="00E77A30" w:rsidRDefault="00E77A30" w:rsidP="00B21DD5">
      <w:pPr>
        <w:pStyle w:val="BodyText"/>
      </w:pPr>
      <w:r>
        <w:t>So for now, I am pretty much ignoring which Level 1 Note Text Block filers use, I may leverage these mechanics and logic later in specific ways.</w:t>
      </w:r>
    </w:p>
    <w:p w14:paraId="382DC42D" w14:textId="77777777" w:rsidR="00E77A30" w:rsidRDefault="00E77A30" w:rsidP="00B21DD5">
      <w:pPr>
        <w:pStyle w:val="Heading2"/>
      </w:pPr>
      <w:r>
        <w:t>Understanding the relation between Level 3 Disclosure Text Blocks and Level 4 Disclosure Detail</w:t>
      </w:r>
    </w:p>
    <w:p w14:paraId="4ECBD22E" w14:textId="77777777" w:rsidR="00E77A30" w:rsidRDefault="00E77A30" w:rsidP="00B21DD5">
      <w:pPr>
        <w:pStyle w:val="BodyText"/>
        <w:tabs>
          <w:tab w:val="left" w:pos="3375"/>
        </w:tabs>
        <w:jc w:val="left"/>
      </w:pPr>
      <w:r>
        <w:t>There is generally an extremely high correlation, if not a one-to-one correlation, between a Level 3 Disclosure Text Block report fragment and a Level 4 Disclosure Detail report fragment.  It is likewise true that there is a high correlation between a Level 4 Disclosure Detail and a Level 3 Disclosure Text Block.  The relations go both ways.  Exceptions will be covered in another section.  This section examines the relationship between Level 3 Disclosure Text Blocks and Level 4 Disclosure Details.</w:t>
      </w:r>
    </w:p>
    <w:p w14:paraId="7C4B14C3" w14:textId="77777777" w:rsidR="00E77A30" w:rsidRDefault="00E77A30" w:rsidP="00B21DD5">
      <w:pPr>
        <w:pStyle w:val="BodyText"/>
        <w:tabs>
          <w:tab w:val="left" w:pos="3375"/>
        </w:tabs>
        <w:jc w:val="left"/>
      </w:pPr>
      <w:r>
        <w:t xml:space="preserve">Below you see a Level 3 Disclosure Text Block provided by a public company.  The Level 3 Text Block provides the disclosure components of inventory and it uses the US GAAP XBRL Taxonomy concept: </w:t>
      </w:r>
      <w:proofErr w:type="spellStart"/>
      <w:r w:rsidRPr="00094E20">
        <w:rPr>
          <w:b/>
        </w:rPr>
        <w:t>us-gaap:ScheduleOfInventoryCurrentTableTextBlock</w:t>
      </w:r>
      <w:proofErr w:type="spellEnd"/>
      <w:r>
        <w:t>.</w:t>
      </w:r>
    </w:p>
    <w:p w14:paraId="676865D0" w14:textId="77777777" w:rsidR="00E77A30" w:rsidRDefault="00E77A30" w:rsidP="00B21DD5">
      <w:pPr>
        <w:pStyle w:val="BodyText"/>
        <w:tabs>
          <w:tab w:val="left" w:pos="3375"/>
        </w:tabs>
        <w:jc w:val="left"/>
      </w:pPr>
      <w:r>
        <w:t>Further, note the type of the network which is “Disclosure”.  As mentioned, every Level 3 Disclosure Text Block is always contained in a Network that has a type “Disclosure” or “Schedule”.</w:t>
      </w:r>
    </w:p>
    <w:p w14:paraId="2B16C8D6" w14:textId="77777777" w:rsidR="00E77A30" w:rsidRDefault="00E77A30" w:rsidP="00B21DD5">
      <w:pPr>
        <w:pStyle w:val="BodyText"/>
      </w:pPr>
      <w:r>
        <w:rPr>
          <w:noProof/>
        </w:rPr>
        <w:lastRenderedPageBreak/>
        <w:drawing>
          <wp:inline distT="0" distB="0" distL="0" distR="0" wp14:anchorId="1EF9B666" wp14:editId="6CD717AE">
            <wp:extent cx="5457825" cy="2544069"/>
            <wp:effectExtent l="0" t="0" r="0" b="889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62429" cy="2546215"/>
                    </a:xfrm>
                    <a:prstGeom prst="rect">
                      <a:avLst/>
                    </a:prstGeom>
                  </pic:spPr>
                </pic:pic>
              </a:graphicData>
            </a:graphic>
          </wp:inline>
        </w:drawing>
      </w:r>
    </w:p>
    <w:p w14:paraId="24237F47" w14:textId="77777777" w:rsidR="00E77A30" w:rsidRDefault="00E77A30" w:rsidP="00B21DD5">
      <w:pPr>
        <w:pStyle w:val="BodyText"/>
      </w:pPr>
      <w:r>
        <w:t>In the next graphic below you can see the Level 4 Disclosure Detail for the exact same information contained in the Level 3 Disclosure Text Block shown above.  While there are some presentation related differences such as the text block is shown “in millions” (e.g. $2,902) and the detail is shown as the actual reported value (2,902,000,000); the information is exactly the same.</w:t>
      </w:r>
    </w:p>
    <w:p w14:paraId="00D68FDA" w14:textId="77777777" w:rsidR="00E77A30" w:rsidRDefault="00E77A30" w:rsidP="00B21DD5">
      <w:pPr>
        <w:pStyle w:val="BodyText"/>
      </w:pPr>
      <w:r>
        <w:t>Further, note the concept used as the total of the components of inventory which is “</w:t>
      </w:r>
      <w:proofErr w:type="spellStart"/>
      <w:r w:rsidRPr="003E5A97">
        <w:rPr>
          <w:b/>
        </w:rPr>
        <w:t>us-gaap:InventoryNet</w:t>
      </w:r>
      <w:proofErr w:type="spellEnd"/>
      <w:r>
        <w:t>”.</w:t>
      </w:r>
    </w:p>
    <w:p w14:paraId="4259557E" w14:textId="77777777" w:rsidR="00E77A30" w:rsidRDefault="00E77A30" w:rsidP="00B21DD5">
      <w:pPr>
        <w:pStyle w:val="BodyText"/>
        <w:jc w:val="center"/>
      </w:pPr>
      <w:r>
        <w:rPr>
          <w:noProof/>
        </w:rPr>
        <w:drawing>
          <wp:inline distT="0" distB="0" distL="0" distR="0" wp14:anchorId="12B469FF" wp14:editId="2E5311D0">
            <wp:extent cx="5588813" cy="2660656"/>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588025" cy="2660281"/>
                    </a:xfrm>
                    <a:prstGeom prst="rect">
                      <a:avLst/>
                    </a:prstGeom>
                  </pic:spPr>
                </pic:pic>
              </a:graphicData>
            </a:graphic>
          </wp:inline>
        </w:drawing>
      </w:r>
    </w:p>
    <w:p w14:paraId="78319E8F" w14:textId="77777777" w:rsidR="00E77A30" w:rsidRDefault="00E77A30" w:rsidP="00B21DD5">
      <w:pPr>
        <w:pStyle w:val="BodyText"/>
      </w:pPr>
      <w:r>
        <w:t>And so, the Level 3 Disclosure Text Block and the Level 4 Disclosure Detail report exactly the same information.  The information reported is the components of inventory roll up.</w:t>
      </w:r>
    </w:p>
    <w:p w14:paraId="229CCCD0" w14:textId="77777777" w:rsidR="00E77A30" w:rsidRDefault="00E77A30" w:rsidP="00B21DD5">
      <w:pPr>
        <w:pStyle w:val="BodyText"/>
      </w:pPr>
      <w:r>
        <w:t>There is a correlation between the Level 3 Disclosure Text Block concept (</w:t>
      </w:r>
      <w:proofErr w:type="spellStart"/>
      <w:r w:rsidRPr="003E5A97">
        <w:rPr>
          <w:b/>
        </w:rPr>
        <w:t>us-gaap:ScheduleOfInventoryCurrentTableTextBlock</w:t>
      </w:r>
      <w:proofErr w:type="spellEnd"/>
      <w:r>
        <w:t>) and the Level 4 Disclosure Detail concept (</w:t>
      </w:r>
      <w:proofErr w:type="spellStart"/>
      <w:r w:rsidRPr="003E5A97">
        <w:rPr>
          <w:b/>
        </w:rPr>
        <w:t>us-gaap:InventoryNet</w:t>
      </w:r>
      <w:proofErr w:type="spellEnd"/>
      <w:r>
        <w:t>).</w:t>
      </w:r>
    </w:p>
    <w:p w14:paraId="7469FA96" w14:textId="77777777" w:rsidR="00E77A30" w:rsidRDefault="00E77A30" w:rsidP="00B21DD5">
      <w:pPr>
        <w:pStyle w:val="BodyText"/>
      </w:pPr>
      <w:r>
        <w:t>Examining 100% of the 10-Ks of public companies as of March 1, 2016 (basically, the 2015 10-K filing) the following results were obtained:</w:t>
      </w:r>
    </w:p>
    <w:p w14:paraId="20BF4115" w14:textId="77777777" w:rsidR="00E77A30" w:rsidRDefault="00E77A30" w:rsidP="00B21DD5">
      <w:pPr>
        <w:pStyle w:val="BodyText"/>
      </w:pPr>
      <w:r>
        <w:rPr>
          <w:noProof/>
        </w:rPr>
        <w:lastRenderedPageBreak/>
        <w:drawing>
          <wp:inline distT="0" distB="0" distL="0" distR="0" wp14:anchorId="43DF188D" wp14:editId="60BDB7B5">
            <wp:extent cx="5467350" cy="1588218"/>
            <wp:effectExtent l="0" t="0" r="0" b="0"/>
            <wp:docPr id="1053" name="Picture 1053" descr="C:\Users\Charlie\AppData\Local\Temp\SNAGHTML227f0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227f027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78301" cy="1591399"/>
                    </a:xfrm>
                    <a:prstGeom prst="rect">
                      <a:avLst/>
                    </a:prstGeom>
                    <a:noFill/>
                    <a:ln>
                      <a:noFill/>
                    </a:ln>
                  </pic:spPr>
                </pic:pic>
              </a:graphicData>
            </a:graphic>
          </wp:inline>
        </w:drawing>
      </w:r>
    </w:p>
    <w:p w14:paraId="64308E61" w14:textId="77777777" w:rsidR="00E77A30" w:rsidRDefault="00E77A30" w:rsidP="00B21DD5">
      <w:pPr>
        <w:pStyle w:val="BodyText"/>
      </w:pPr>
      <w:r>
        <w:t>This analysis reiterates the correlation between the Level 3 Disclosure Text Block and the Level 4 Disclosure Detail.  There are 5,352 reporting entities, 83% of all entities, that either report no remnants of the components of inventory roll up because they don’t have inventory; or they report both the Level 3 and Level 4 concepts that are expected.</w:t>
      </w:r>
    </w:p>
    <w:p w14:paraId="35D31194" w14:textId="77777777" w:rsidR="00E77A30" w:rsidRPr="005B7D89" w:rsidRDefault="00E77A30" w:rsidP="00B21DD5">
      <w:pPr>
        <w:pStyle w:val="BodyText"/>
      </w:pPr>
      <w:r w:rsidRPr="005B7D89">
        <w:t>Interpreting each line (indicated by the RED circles to the right):</w:t>
      </w:r>
    </w:p>
    <w:p w14:paraId="7D563BA5" w14:textId="77777777" w:rsidR="00E77A30" w:rsidRPr="005B7D89" w:rsidRDefault="00E77A30" w:rsidP="00E77A30">
      <w:pPr>
        <w:pStyle w:val="BodyText"/>
        <w:numPr>
          <w:ilvl w:val="0"/>
          <w:numId w:val="15"/>
        </w:numPr>
      </w:pPr>
      <w:r w:rsidRPr="005B7D89">
        <w:rPr>
          <w:b/>
        </w:rPr>
        <w:t>Line #1</w:t>
      </w:r>
      <w:r w:rsidRPr="005B7D89">
        <w:t xml:space="preserve"> indicates that NEITHER the Level 3 Disclosure Text Block nor the Level 4 Disclosure Details were found, meaning this disclosure is not present and is consistent with expectations should the disclosure not exist in the report. Basically, 56% of public companies do not report inventory.</w:t>
      </w:r>
    </w:p>
    <w:p w14:paraId="703B23D2" w14:textId="77777777" w:rsidR="00E77A30" w:rsidRPr="005B7D89" w:rsidRDefault="00E77A30" w:rsidP="00E77A30">
      <w:pPr>
        <w:pStyle w:val="BodyText"/>
        <w:numPr>
          <w:ilvl w:val="0"/>
          <w:numId w:val="15"/>
        </w:numPr>
      </w:pPr>
      <w:r w:rsidRPr="005B7D89">
        <w:rPr>
          <w:b/>
        </w:rPr>
        <w:t xml:space="preserve">Line #2 </w:t>
      </w:r>
      <w:r w:rsidRPr="005B7D89">
        <w:t xml:space="preserve">indicates that BOTH the Level 3 Disclosure Text Block AND the Level 4 Disclosure Detail line items WERE found.  This is as expected. A total of 27% of public companies report using these </w:t>
      </w:r>
      <w:r>
        <w:t xml:space="preserve">two specific </w:t>
      </w:r>
      <w:r w:rsidRPr="005B7D89">
        <w:t>concepts.</w:t>
      </w:r>
    </w:p>
    <w:p w14:paraId="27DA2B4C" w14:textId="77777777" w:rsidR="00E77A30" w:rsidRPr="005B7D89" w:rsidRDefault="00E77A30" w:rsidP="00E77A30">
      <w:pPr>
        <w:pStyle w:val="BodyText"/>
        <w:numPr>
          <w:ilvl w:val="0"/>
          <w:numId w:val="15"/>
        </w:numPr>
      </w:pPr>
      <w:r w:rsidRPr="005B7D89">
        <w:rPr>
          <w:b/>
        </w:rPr>
        <w:t>Line #3, Line #4, and Line #7</w:t>
      </w:r>
      <w:r w:rsidRPr="005B7D89">
        <w:t xml:space="preserve"> indicates an inconsistency because either the Level 3 Disclosure Text Block was found OR the Level 4 Disclosure Detail was found but NOT BOTH.</w:t>
      </w:r>
    </w:p>
    <w:p w14:paraId="77BBCDC2" w14:textId="77777777" w:rsidR="00E77A30" w:rsidRPr="005B7D89" w:rsidRDefault="00E77A30" w:rsidP="00E77A30">
      <w:pPr>
        <w:pStyle w:val="BodyText"/>
        <w:numPr>
          <w:ilvl w:val="0"/>
          <w:numId w:val="15"/>
        </w:numPr>
      </w:pPr>
      <w:r w:rsidRPr="005B7D89">
        <w:rPr>
          <w:b/>
        </w:rPr>
        <w:t xml:space="preserve">Line #5 </w:t>
      </w:r>
      <w:r w:rsidRPr="005B7D89">
        <w:t>indicates that 19 companies used an ALTERNATIVE Level 3 Disclosure Text Block to report the inventory components roll up</w:t>
      </w:r>
      <w:r>
        <w:t xml:space="preserve"> (</w:t>
      </w:r>
      <w:proofErr w:type="spellStart"/>
      <w:r>
        <w:t>us-gaap:ScheduleOfUtilitiesInventoryTextBlock</w:t>
      </w:r>
      <w:proofErr w:type="spellEnd"/>
      <w:r>
        <w:t>)</w:t>
      </w:r>
      <w:r w:rsidRPr="005B7D89">
        <w:t>, but the same Level 4 Disclosure Detail concept.</w:t>
      </w:r>
    </w:p>
    <w:p w14:paraId="7AD192CB" w14:textId="77777777" w:rsidR="00E77A30" w:rsidRPr="005B7D89" w:rsidRDefault="00E77A30" w:rsidP="00E77A30">
      <w:pPr>
        <w:pStyle w:val="BodyText"/>
        <w:numPr>
          <w:ilvl w:val="0"/>
          <w:numId w:val="15"/>
        </w:numPr>
      </w:pPr>
      <w:r w:rsidRPr="005B7D89">
        <w:rPr>
          <w:b/>
        </w:rPr>
        <w:t>Line #7</w:t>
      </w:r>
      <w:r w:rsidRPr="005B7D89">
        <w:t xml:space="preserve"> indicates the total population of public company financial reports analyzed, which is 6,466 10-K filings as of March 31, 2016.</w:t>
      </w:r>
    </w:p>
    <w:p w14:paraId="54F977BF" w14:textId="77777777" w:rsidR="00E77A30" w:rsidRDefault="00E77A30" w:rsidP="00B21DD5">
      <w:pPr>
        <w:pStyle w:val="BodyText"/>
      </w:pPr>
      <w:r w:rsidRPr="005B7D89">
        <w:t xml:space="preserve">Further analysis of this example </w:t>
      </w:r>
      <w:r>
        <w:t>revealed</w:t>
      </w:r>
      <w:r w:rsidRPr="005B7D89">
        <w:t xml:space="preserve"> that as per </w:t>
      </w:r>
      <w:r w:rsidRPr="005B7D89">
        <w:rPr>
          <w:b/>
        </w:rPr>
        <w:t>Line #3</w:t>
      </w:r>
      <w:r w:rsidRPr="005B7D89">
        <w:t xml:space="preserve"> in the above table; 1,061 or 16% of public companies reported the </w:t>
      </w:r>
      <w:r>
        <w:t xml:space="preserve">detailed </w:t>
      </w:r>
      <w:r w:rsidRPr="005B7D89">
        <w:t xml:space="preserve">line item “inventory” and reported the components breakdown ON THE BALANCE SHEET.  </w:t>
      </w:r>
      <w:r>
        <w:t>I</w:t>
      </w:r>
      <w:r w:rsidRPr="005B7D89">
        <w:t>t seems that the SEC does not require the Level 3 Disclosure Text Block to be reported if the inventory components breakdown is reported within the balance sheet.</w:t>
      </w:r>
      <w:r>
        <w:t xml:space="preserve">  The specific number of economic entities which report the components of inventory on the balance sheet is not currently known.</w:t>
      </w:r>
    </w:p>
    <w:p w14:paraId="0173B9ED" w14:textId="77777777" w:rsidR="00E77A30" w:rsidRDefault="00E77A30" w:rsidP="00B21DD5">
      <w:pPr>
        <w:pStyle w:val="BodyText"/>
      </w:pPr>
      <w:r>
        <w:t>A second reason public companies might report “</w:t>
      </w:r>
      <w:proofErr w:type="spellStart"/>
      <w:r>
        <w:t>us-gaap:InventoryNet</w:t>
      </w:r>
      <w:proofErr w:type="spellEnd"/>
      <w:r>
        <w:t>” but not provide a Level 3 Disclosure Text Block is because the breakdown of the components of inventory is done in narrative form within the inventory policy.  For example, this is how Apple indicates that the components of inventory are “finished goods”:</w:t>
      </w:r>
    </w:p>
    <w:p w14:paraId="4FB05CEA" w14:textId="77777777" w:rsidR="00E77A30" w:rsidRDefault="00E77A30" w:rsidP="00B21DD5">
      <w:pPr>
        <w:pStyle w:val="BodyText"/>
      </w:pPr>
      <w:r>
        <w:rPr>
          <w:noProof/>
        </w:rPr>
        <w:lastRenderedPageBreak/>
        <w:drawing>
          <wp:inline distT="0" distB="0" distL="0" distR="0" wp14:anchorId="693D7677" wp14:editId="75F699A8">
            <wp:extent cx="6027725" cy="1145944"/>
            <wp:effectExtent l="0" t="0" r="0" b="0"/>
            <wp:docPr id="1054" name="Picture 1054" descr="C:\Users\Charlie\AppData\Local\Temp\SNAGHTML15d969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15d969fb.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45971" cy="1149413"/>
                    </a:xfrm>
                    <a:prstGeom prst="rect">
                      <a:avLst/>
                    </a:prstGeom>
                    <a:noFill/>
                    <a:ln>
                      <a:noFill/>
                    </a:ln>
                  </pic:spPr>
                </pic:pic>
              </a:graphicData>
            </a:graphic>
          </wp:inline>
        </w:drawing>
      </w:r>
    </w:p>
    <w:p w14:paraId="3BE9501B" w14:textId="77777777" w:rsidR="00E77A30" w:rsidRDefault="00E77A30" w:rsidP="00B21DD5">
      <w:pPr>
        <w:pStyle w:val="BodyText"/>
      </w:pPr>
      <w:r>
        <w:t>Note that Apple could have reported the components of inventory as below and a machine can safely and reliably understand the components of inventory:</w:t>
      </w:r>
    </w:p>
    <w:p w14:paraId="00B2EB9D" w14:textId="77777777" w:rsidR="00E77A30" w:rsidRDefault="00E77A30" w:rsidP="00B21DD5">
      <w:pPr>
        <w:pStyle w:val="BodyText"/>
        <w:jc w:val="center"/>
      </w:pPr>
      <w:r>
        <w:rPr>
          <w:noProof/>
        </w:rPr>
        <w:drawing>
          <wp:inline distT="0" distB="0" distL="0" distR="0" wp14:anchorId="1071A77D" wp14:editId="733317C9">
            <wp:extent cx="3255264" cy="1379607"/>
            <wp:effectExtent l="0" t="0" r="2540" b="0"/>
            <wp:docPr id="1055" name="Picture 1055" descr="cid:image004.png@01D239BF.B9F87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4.png@01D239BF.B9F873D0"/>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3261069" cy="1382067"/>
                    </a:xfrm>
                    <a:prstGeom prst="rect">
                      <a:avLst/>
                    </a:prstGeom>
                    <a:noFill/>
                    <a:ln>
                      <a:noFill/>
                    </a:ln>
                  </pic:spPr>
                </pic:pic>
              </a:graphicData>
            </a:graphic>
          </wp:inline>
        </w:drawing>
      </w:r>
    </w:p>
    <w:p w14:paraId="6B05844E" w14:textId="77777777" w:rsidR="00E77A30" w:rsidRDefault="00E77A30" w:rsidP="00B21DD5">
      <w:pPr>
        <w:pStyle w:val="Heading2"/>
      </w:pPr>
      <w:r>
        <w:t>Mathematical relations of a Level 4 Disclosure Detail</w:t>
      </w:r>
    </w:p>
    <w:p w14:paraId="4DB18CDD" w14:textId="77777777" w:rsidR="00E77A30" w:rsidRDefault="00E77A30" w:rsidP="00B21DD5">
      <w:pPr>
        <w:pStyle w:val="BodyText"/>
        <w:jc w:val="left"/>
      </w:pPr>
      <w:r>
        <w:t>Note that the Level 4 Disclosure Detail for the disclosure in the prior section, components of inventory, is a roll up and contrast to a roll forward.  A specific disclosure is either a roll up or a roll forward, not both.  Be careful not to misinterpret what I am saying.  What I am saying is that a specific instantiation of a disclosure cannot be a roll up and a roll forward at the same time; it has to be one or the other.  Now, a reporting entity in many cases can choose to disclosure detailed information in the form of a roll up or in the form of a roll forward.  I consider those two different disclosures.  A public company might have one, it might have the other, or it might provide both the roll up and the roll forward.</w:t>
      </w:r>
    </w:p>
    <w:p w14:paraId="2F75C849" w14:textId="77777777" w:rsidR="00E77A30" w:rsidRDefault="00E77A30" w:rsidP="00B21DD5">
      <w:pPr>
        <w:pStyle w:val="BodyText"/>
        <w:jc w:val="left"/>
      </w:pPr>
      <w:r>
        <w:t>The point is, a disclosure might have mathematical relations.  For example, the disclosure above is a roll up.  If it is a roll up, that roll ups is expected to have (a) a set of XBRL calculation relations provided by the public company and (b) that set of XBRL calculations is expected to roll up correctly per the rules of how XBRL conveys information.  To not provide the XBRL calculation relations is an error.  To not have the XBRL calculations show that the mathematical relations actually roll up is likewise an error.</w:t>
      </w:r>
    </w:p>
    <w:p w14:paraId="549175BB" w14:textId="77777777" w:rsidR="00E77A30" w:rsidRDefault="00E77A30" w:rsidP="00B21DD5">
      <w:pPr>
        <w:pStyle w:val="BodyText"/>
        <w:jc w:val="left"/>
      </w:pPr>
      <w:r>
        <w:t>The exact same thing is true about the mathematical relations of a roll forward or any other mathematical relation in a Level 4 Disclosure Detail.  It is NOT OK if the math does not work.  While it is true that the SEC does not require that, say, XBRL Formulas be provided within a report; it does not mean that a roll forward in a report is OK if it doesn’t roll forward correctly.  Again, the mathematical relations and enforcement of the rule by the SEC are two completely different things.</w:t>
      </w:r>
    </w:p>
    <w:p w14:paraId="6B5E5F46" w14:textId="77777777" w:rsidR="00E77A30" w:rsidRDefault="00E77A30" w:rsidP="00B21DD5">
      <w:pPr>
        <w:pStyle w:val="BodyText"/>
        <w:jc w:val="left"/>
      </w:pPr>
      <w:r>
        <w:t>There tend to be three very common patterns of mathematical relations in disclosures and all must work correctly: roll ups, roll forwards, adjustments, and member aggregations.  While it might be convenient to not test these mathematical relations to make sure the numbers in a report “cross cast” and “foot”, and otherwise “tick” and “tie”; it is likewise sloppy accounting.</w:t>
      </w:r>
    </w:p>
    <w:p w14:paraId="1E79E031" w14:textId="77777777" w:rsidR="00E77A30" w:rsidRDefault="00E77A30" w:rsidP="00B21DD5">
      <w:pPr>
        <w:pStyle w:val="Heading2"/>
      </w:pPr>
      <w:r>
        <w:lastRenderedPageBreak/>
        <w:t>Property, plant and equipment example</w:t>
      </w:r>
    </w:p>
    <w:p w14:paraId="449A70AC" w14:textId="77777777" w:rsidR="00E77A30" w:rsidRDefault="00E77A30" w:rsidP="00B21DD5">
      <w:pPr>
        <w:pStyle w:val="BodyText"/>
      </w:pPr>
      <w:r>
        <w:t>Similarly, the Level 3 Disclosure Text Block and the Level 4 Disclosure Detail correspond to one another whether the Level 4 Disclosure Detail is represented using [Line Items] or represented using [Axis]/[Member]s to represent the disclosure.</w:t>
      </w:r>
    </w:p>
    <w:p w14:paraId="73E14B27" w14:textId="77777777" w:rsidR="00E77A30" w:rsidRDefault="00E77A30" w:rsidP="00B21DD5">
      <w:pPr>
        <w:pStyle w:val="BodyText"/>
      </w:pPr>
      <w:r>
        <w:t>Level 3 Disclosure Text Block:</w:t>
      </w:r>
    </w:p>
    <w:p w14:paraId="250CFAC0" w14:textId="77777777" w:rsidR="00E77A30" w:rsidRDefault="00E77A30" w:rsidP="00B21DD5">
      <w:pPr>
        <w:pStyle w:val="BodyText"/>
      </w:pPr>
      <w:r>
        <w:rPr>
          <w:noProof/>
        </w:rPr>
        <w:drawing>
          <wp:inline distT="0" distB="0" distL="0" distR="0" wp14:anchorId="0A246EC3" wp14:editId="32B9E251">
            <wp:extent cx="5124450" cy="1919479"/>
            <wp:effectExtent l="0" t="0" r="0" b="508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135837" cy="1923744"/>
                    </a:xfrm>
                    <a:prstGeom prst="rect">
                      <a:avLst/>
                    </a:prstGeom>
                  </pic:spPr>
                </pic:pic>
              </a:graphicData>
            </a:graphic>
          </wp:inline>
        </w:drawing>
      </w:r>
    </w:p>
    <w:p w14:paraId="7DFC5AA8" w14:textId="77777777" w:rsidR="00E77A30" w:rsidRDefault="00E77A30" w:rsidP="00B21DD5">
      <w:pPr>
        <w:pStyle w:val="BodyText"/>
      </w:pPr>
      <w:r>
        <w:t>Level 4 Disclosure Detail (using Line Items):</w:t>
      </w:r>
    </w:p>
    <w:p w14:paraId="552EE71A" w14:textId="77777777" w:rsidR="00E77A30" w:rsidRDefault="00E77A30" w:rsidP="00B21DD5">
      <w:pPr>
        <w:pStyle w:val="BodyText"/>
      </w:pPr>
      <w:r>
        <w:rPr>
          <w:noProof/>
        </w:rPr>
        <w:drawing>
          <wp:inline distT="0" distB="0" distL="0" distR="0" wp14:anchorId="202C0F1A" wp14:editId="554C0B78">
            <wp:extent cx="5067300" cy="329807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068892" cy="3299111"/>
                    </a:xfrm>
                    <a:prstGeom prst="rect">
                      <a:avLst/>
                    </a:prstGeom>
                  </pic:spPr>
                </pic:pic>
              </a:graphicData>
            </a:graphic>
          </wp:inline>
        </w:drawing>
      </w:r>
    </w:p>
    <w:p w14:paraId="0364A4E5" w14:textId="77777777" w:rsidR="00E77A30" w:rsidRDefault="00E77A30" w:rsidP="00B21DD5">
      <w:pPr>
        <w:pStyle w:val="BodyText"/>
      </w:pPr>
    </w:p>
    <w:p w14:paraId="47168D81" w14:textId="77777777" w:rsidR="00E77A30" w:rsidRDefault="00E77A30" w:rsidP="00B21DD5">
      <w:pPr>
        <w:pStyle w:val="BodyText"/>
      </w:pPr>
      <w:r>
        <w:t>Level 3 Disclosure Text Block:</w:t>
      </w:r>
    </w:p>
    <w:p w14:paraId="473F5D10" w14:textId="77777777" w:rsidR="00E77A30" w:rsidRDefault="00E77A30" w:rsidP="00B21DD5">
      <w:pPr>
        <w:pStyle w:val="BodyText"/>
      </w:pPr>
      <w:r>
        <w:rPr>
          <w:noProof/>
        </w:rPr>
        <w:lastRenderedPageBreak/>
        <w:drawing>
          <wp:inline distT="0" distB="0" distL="0" distR="0" wp14:anchorId="6160EF2E" wp14:editId="5EC4A9D3">
            <wp:extent cx="5943600" cy="232791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2327910"/>
                    </a:xfrm>
                    <a:prstGeom prst="rect">
                      <a:avLst/>
                    </a:prstGeom>
                  </pic:spPr>
                </pic:pic>
              </a:graphicData>
            </a:graphic>
          </wp:inline>
        </w:drawing>
      </w:r>
    </w:p>
    <w:p w14:paraId="64E2086D" w14:textId="77777777" w:rsidR="00E77A30" w:rsidRDefault="00E77A30" w:rsidP="00B21DD5">
      <w:pPr>
        <w:pStyle w:val="BodyText"/>
      </w:pPr>
      <w:r>
        <w:t>Level 4 Disclosure Detail (using [Axis]/[Member]s):</w:t>
      </w:r>
    </w:p>
    <w:p w14:paraId="4E6A20BA" w14:textId="77777777" w:rsidR="00E77A30" w:rsidRDefault="00E77A30" w:rsidP="00B21DD5">
      <w:pPr>
        <w:pStyle w:val="BodyText"/>
      </w:pPr>
      <w:r>
        <w:rPr>
          <w:noProof/>
        </w:rPr>
        <w:drawing>
          <wp:inline distT="0" distB="0" distL="0" distR="0" wp14:anchorId="39B3F5FE" wp14:editId="47F0F228">
            <wp:extent cx="5943600" cy="107315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1073150"/>
                    </a:xfrm>
                    <a:prstGeom prst="rect">
                      <a:avLst/>
                    </a:prstGeom>
                  </pic:spPr>
                </pic:pic>
              </a:graphicData>
            </a:graphic>
          </wp:inline>
        </w:drawing>
      </w:r>
    </w:p>
    <w:p w14:paraId="5119EE41" w14:textId="54B64A61" w:rsidR="00E77A30" w:rsidRPr="00F471C5" w:rsidRDefault="00E77A30" w:rsidP="00B21DD5">
      <w:pPr>
        <w:pStyle w:val="BodyText"/>
      </w:pPr>
      <w:r>
        <w:t>Again, note the mathematical relations.  In the Line Items (the first approach), the roll up of property, plant and equipment can be handled by XBRL calculation relations.  In the second [Axis]/[Member]s approach to representing this disclosure, XBRL calculations will not work.  However, XBRL Formulas can be used to test the roll up relationship which I refer to as a member aggregation because it is an aggregation of information across a set of members.  Clearly, picking one representation approach as contrast to another does not change the fact that a roll up rolls up.</w:t>
      </w:r>
    </w:p>
    <w:p w14:paraId="6AD609EE" w14:textId="77777777" w:rsidR="00E77A30" w:rsidRDefault="00E77A30" w:rsidP="00B21DD5">
      <w:pPr>
        <w:pStyle w:val="Heading2"/>
      </w:pPr>
      <w:r>
        <w:t>Missing US GAAP XBRL Taxonomy Text Blocks</w:t>
      </w:r>
    </w:p>
    <w:p w14:paraId="3047D2E4" w14:textId="77777777" w:rsidR="00E77A30" w:rsidRDefault="00E77A30" w:rsidP="00B21DD5">
      <w:pPr>
        <w:pStyle w:val="BodyText"/>
      </w:pPr>
      <w:r>
        <w:t>One situation which causes issues for the Level 3 Disclosure Text Block and Level 4 Disclosure Details relation is the many, many Level 3 Disclosure Text Blocks that are missing from the US GAAP XBRL Taxonomy.  A clear sign of a missing text block is finding many, many filer extension concepts for the same Level 3 Disclosure Text Block.  Another clear sign of missing text blocks is a significant amount of variability in concepts used by filers in an effort to find some Level 3 Disclosure Text Block so that they don’t have to create an extension concept.</w:t>
      </w:r>
    </w:p>
    <w:p w14:paraId="4E72502A" w14:textId="77777777" w:rsidR="00E77A30" w:rsidRDefault="00E77A30" w:rsidP="00B21DD5">
      <w:pPr>
        <w:pStyle w:val="BodyText"/>
      </w:pPr>
      <w:r>
        <w:t>One example of a missing Level 3 Disclosure Text Block is the disclosure of future minimum payments receivable from noncancelable operating leases</w:t>
      </w:r>
      <w:r>
        <w:rPr>
          <w:rStyle w:val="FootnoteReference"/>
        </w:rPr>
        <w:footnoteReference w:id="15"/>
      </w:r>
      <w:r>
        <w:t>. An analysis of 25 public company disclosures revealed:</w:t>
      </w:r>
    </w:p>
    <w:p w14:paraId="127A4536" w14:textId="77777777" w:rsidR="00E77A30" w:rsidRDefault="00E77A30" w:rsidP="00E77A30">
      <w:pPr>
        <w:pStyle w:val="BodyText"/>
        <w:numPr>
          <w:ilvl w:val="0"/>
          <w:numId w:val="16"/>
        </w:numPr>
        <w:jc w:val="left"/>
      </w:pPr>
      <w:r>
        <w:t xml:space="preserve">All 25 XBRL-based financial reports of public companies analyzed used this Level 4 Disclosure Detail concept to represent Future minimum payments </w:t>
      </w:r>
      <w:r>
        <w:lastRenderedPageBreak/>
        <w:t>receivable under non-cancelable operating leases: “</w:t>
      </w:r>
      <w:proofErr w:type="spellStart"/>
      <w:r w:rsidRPr="00DF1A74">
        <w:rPr>
          <w:sz w:val="16"/>
        </w:rPr>
        <w:t>us-gaap:OperatingLeasesFutureMinimumPaymentsReceivable</w:t>
      </w:r>
      <w:proofErr w:type="spellEnd"/>
      <w:r>
        <w:t>”</w:t>
      </w:r>
    </w:p>
    <w:p w14:paraId="77BDD5F2" w14:textId="77777777" w:rsidR="00E77A30" w:rsidRDefault="00E77A30" w:rsidP="00E77A30">
      <w:pPr>
        <w:pStyle w:val="BodyText"/>
        <w:numPr>
          <w:ilvl w:val="0"/>
          <w:numId w:val="16"/>
        </w:numPr>
        <w:jc w:val="left"/>
      </w:pPr>
      <w:r>
        <w:t>To represent the Level 3 Disclosure Text Block,</w:t>
      </w:r>
    </w:p>
    <w:p w14:paraId="48C5A0FF" w14:textId="77777777" w:rsidR="00E77A30" w:rsidRDefault="00E77A30" w:rsidP="00E77A30">
      <w:pPr>
        <w:pStyle w:val="BodyText"/>
        <w:numPr>
          <w:ilvl w:val="1"/>
          <w:numId w:val="16"/>
        </w:numPr>
        <w:jc w:val="left"/>
      </w:pPr>
      <w:r>
        <w:t>19 use extension concept which they created</w:t>
      </w:r>
    </w:p>
    <w:p w14:paraId="60BE28AE" w14:textId="77777777" w:rsidR="00E77A30" w:rsidRDefault="00E77A30" w:rsidP="00E77A30">
      <w:pPr>
        <w:pStyle w:val="BodyText"/>
        <w:numPr>
          <w:ilvl w:val="1"/>
          <w:numId w:val="16"/>
        </w:numPr>
        <w:jc w:val="left"/>
      </w:pPr>
      <w:r>
        <w:t>6 used an existing US GAAP XBRL Taxonomy concept. All 6 which used the existing concept used this concept: “us-gaap:ScheduleOfFutureMinimum</w:t>
      </w:r>
      <w:r w:rsidRPr="00DF1A74">
        <w:rPr>
          <w:b/>
          <w:i/>
        </w:rPr>
        <w:t>RentalPayments</w:t>
      </w:r>
      <w:r>
        <w:t>ForOperatingLeasesTableTextBlock”</w:t>
      </w:r>
    </w:p>
    <w:p w14:paraId="7A2B9770" w14:textId="77777777" w:rsidR="00E77A30" w:rsidRDefault="00E77A30" w:rsidP="00B21DD5">
      <w:pPr>
        <w:pStyle w:val="BodyText"/>
      </w:pPr>
      <w:r>
        <w:t>Note the “</w:t>
      </w:r>
      <w:proofErr w:type="spellStart"/>
      <w:r>
        <w:t>RentalPayments</w:t>
      </w:r>
      <w:proofErr w:type="spellEnd"/>
      <w:r>
        <w:t>” in the Level 3 Disclosure Text Block concept name as contrast to “</w:t>
      </w:r>
      <w:proofErr w:type="spellStart"/>
      <w:r>
        <w:t>PaymentsReceivable</w:t>
      </w:r>
      <w:proofErr w:type="spellEnd"/>
      <w:r>
        <w:t>” in the Level 4 Disclosure Detail concept.  The Level 4 Disclosure Detail concept relates to rental payments receivable, not payable.  And so one of two things must be true:</w:t>
      </w:r>
    </w:p>
    <w:p w14:paraId="755DAA08" w14:textId="77777777" w:rsidR="00E77A30" w:rsidRDefault="00E77A30" w:rsidP="00E77A30">
      <w:pPr>
        <w:pStyle w:val="BodyText"/>
        <w:numPr>
          <w:ilvl w:val="0"/>
          <w:numId w:val="17"/>
        </w:numPr>
      </w:pPr>
      <w:r>
        <w:t>The Level 3 Disclosure Text Block is supposed to be used for BOTH payments receivable and payments payable.</w:t>
      </w:r>
    </w:p>
    <w:p w14:paraId="2550E8F9" w14:textId="77777777" w:rsidR="00E77A30" w:rsidRDefault="00E77A30" w:rsidP="00E77A30">
      <w:pPr>
        <w:pStyle w:val="BodyText"/>
        <w:numPr>
          <w:ilvl w:val="0"/>
          <w:numId w:val="17"/>
        </w:numPr>
      </w:pPr>
      <w:r>
        <w:t>The Level 3 Disclosure Text Block for payments receivable is missing from the US GAAP XBRL Taxonomy.</w:t>
      </w:r>
    </w:p>
    <w:p w14:paraId="2C0659DF" w14:textId="77777777" w:rsidR="00E77A30" w:rsidRDefault="00E77A30" w:rsidP="00B21DD5">
      <w:pPr>
        <w:pStyle w:val="BodyText"/>
      </w:pPr>
      <w:r>
        <w:t>What is very clear is that an extension concept should not need to be created by filers for this very common disclosure.</w:t>
      </w:r>
    </w:p>
    <w:p w14:paraId="0AB28972" w14:textId="77777777" w:rsidR="00E77A30" w:rsidRDefault="00E77A30" w:rsidP="00B21DD5">
      <w:pPr>
        <w:pStyle w:val="BodyText"/>
      </w:pPr>
      <w:r>
        <w:t>Below is one comparison from the analysis.  See the PDF file for all the detailed information:</w:t>
      </w:r>
    </w:p>
    <w:p w14:paraId="7E4F8E30" w14:textId="77777777" w:rsidR="00E77A30" w:rsidRPr="00F471C5" w:rsidRDefault="00E77A30" w:rsidP="00B21DD5">
      <w:pPr>
        <w:pStyle w:val="BodyText"/>
      </w:pPr>
      <w:r>
        <w:rPr>
          <w:noProof/>
        </w:rPr>
        <w:drawing>
          <wp:inline distT="0" distB="0" distL="0" distR="0" wp14:anchorId="0186BD0E" wp14:editId="290F715E">
            <wp:extent cx="5495925" cy="2498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503240" cy="2501740"/>
                    </a:xfrm>
                    <a:prstGeom prst="rect">
                      <a:avLst/>
                    </a:prstGeom>
                  </pic:spPr>
                </pic:pic>
              </a:graphicData>
            </a:graphic>
          </wp:inline>
        </w:drawing>
      </w:r>
    </w:p>
    <w:p w14:paraId="4D0EB4FB" w14:textId="77777777" w:rsidR="00E77A30" w:rsidRDefault="00E77A30" w:rsidP="00B21DD5">
      <w:pPr>
        <w:spacing w:after="200" w:line="276" w:lineRule="auto"/>
        <w:rPr>
          <w:rFonts w:ascii="Arial" w:hAnsi="Arial" w:cs="Arial"/>
          <w:b/>
          <w:bCs/>
          <w:i/>
          <w:iCs/>
          <w:sz w:val="28"/>
          <w:szCs w:val="28"/>
        </w:rPr>
      </w:pPr>
      <w:r>
        <w:br w:type="page"/>
      </w:r>
    </w:p>
    <w:p w14:paraId="4841F09A" w14:textId="77777777" w:rsidR="00E77A30" w:rsidRDefault="00E77A30" w:rsidP="00B21DD5">
      <w:pPr>
        <w:pStyle w:val="Heading2"/>
      </w:pPr>
      <w:r>
        <w:lastRenderedPageBreak/>
        <w:t>Results of testing 55 different disclosures Level 3 Disclosure Text Block and Level 3 Disclosure Details relations</w:t>
      </w:r>
    </w:p>
    <w:p w14:paraId="24B8219C" w14:textId="77777777" w:rsidR="00E77A30" w:rsidRDefault="00E77A30" w:rsidP="00B21DD5">
      <w:pPr>
        <w:pStyle w:val="BodyText"/>
      </w:pPr>
      <w:r>
        <w:t xml:space="preserve">The examples thus far represent just that, examples of something that is applicable to the entire set of public company XBRL-based financial filings.  The previous examples are simply a few examples were shown to help understand the relation between Level 3 Disclosure Text Blocks and Level 3 Disclosure Detail.  </w:t>
      </w:r>
    </w:p>
    <w:p w14:paraId="46EE1318" w14:textId="77777777" w:rsidR="00E77A30" w:rsidRDefault="00E77A30" w:rsidP="00B21DD5">
      <w:pPr>
        <w:pStyle w:val="BodyText"/>
      </w:pPr>
      <w:r>
        <w:t>Below is a list of approximately 55 different disclosures where the relationship between the Level 3 and Level 4 information is analyzed</w:t>
      </w:r>
      <w:r>
        <w:rPr>
          <w:rStyle w:val="FootnoteReference"/>
        </w:rPr>
        <w:footnoteReference w:id="16"/>
      </w:r>
      <w:r>
        <w:t>.</w:t>
      </w:r>
    </w:p>
    <w:p w14:paraId="365F6D1D" w14:textId="77777777" w:rsidR="00E77A30" w:rsidRDefault="00E77A30" w:rsidP="00B21DD5">
      <w:pPr>
        <w:pStyle w:val="BodyText"/>
      </w:pPr>
      <w:r>
        <w:t>Note that this is only the first pass at this analysis but already the correlation is quite high.  The next step is to examine why inconsistencies exist and then to modify the business rules to better tune the rules.</w:t>
      </w:r>
    </w:p>
    <w:p w14:paraId="05E9D2DF" w14:textId="77777777" w:rsidR="00E77A30" w:rsidRDefault="00E77A30" w:rsidP="00B21DD5">
      <w:pPr>
        <w:pStyle w:val="BodyText"/>
      </w:pPr>
    </w:p>
    <w:tbl>
      <w:tblPr>
        <w:tblStyle w:val="TableGrid"/>
        <w:tblW w:w="8658" w:type="dxa"/>
        <w:tblLook w:val="04A0" w:firstRow="1" w:lastRow="0" w:firstColumn="1" w:lastColumn="0" w:noHBand="0" w:noVBand="1"/>
      </w:tblPr>
      <w:tblGrid>
        <w:gridCol w:w="4351"/>
        <w:gridCol w:w="1512"/>
        <w:gridCol w:w="2795"/>
      </w:tblGrid>
      <w:tr w:rsidR="00E77A30" w:rsidRPr="00EB5493" w14:paraId="45AC7851" w14:textId="77777777" w:rsidTr="00B21DD5">
        <w:tc>
          <w:tcPr>
            <w:tcW w:w="8658" w:type="dxa"/>
            <w:gridSpan w:val="3"/>
            <w:tcBorders>
              <w:top w:val="nil"/>
              <w:left w:val="nil"/>
              <w:right w:val="nil"/>
            </w:tcBorders>
          </w:tcPr>
          <w:p w14:paraId="764B669C" w14:textId="77777777" w:rsidR="00E77A30" w:rsidRPr="00EB5493" w:rsidRDefault="00E77A30" w:rsidP="00B078F5">
            <w:pPr>
              <w:jc w:val="center"/>
              <w:rPr>
                <w:b/>
                <w:sz w:val="18"/>
              </w:rPr>
            </w:pPr>
            <w:r w:rsidRPr="00EB5493">
              <w:rPr>
                <w:b/>
              </w:rPr>
              <w:t>Summary Table:</w:t>
            </w:r>
            <w:r>
              <w:rPr>
                <w:b/>
              </w:rPr>
              <w:t xml:space="preserve"> (First Pass at Disclosures)</w:t>
            </w:r>
          </w:p>
        </w:tc>
      </w:tr>
      <w:tr w:rsidR="00E77A30" w:rsidRPr="00EB5493" w14:paraId="1FF8B0A4" w14:textId="77777777" w:rsidTr="00B21DD5">
        <w:tc>
          <w:tcPr>
            <w:tcW w:w="4351" w:type="dxa"/>
          </w:tcPr>
          <w:p w14:paraId="049088D5" w14:textId="77777777" w:rsidR="00E77A30" w:rsidRPr="00EB5493" w:rsidRDefault="00E77A30" w:rsidP="00B078F5">
            <w:pPr>
              <w:rPr>
                <w:b/>
                <w:sz w:val="18"/>
              </w:rPr>
            </w:pPr>
          </w:p>
          <w:p w14:paraId="37DDF8D8" w14:textId="77777777" w:rsidR="00E77A30" w:rsidRPr="00EB5493" w:rsidRDefault="00E77A30" w:rsidP="00B078F5">
            <w:pPr>
              <w:rPr>
                <w:b/>
                <w:sz w:val="18"/>
              </w:rPr>
            </w:pPr>
          </w:p>
          <w:p w14:paraId="59A0496A" w14:textId="77777777" w:rsidR="00E77A30" w:rsidRPr="00EB5493" w:rsidRDefault="00E77A30" w:rsidP="00B078F5">
            <w:pPr>
              <w:rPr>
                <w:b/>
                <w:sz w:val="18"/>
              </w:rPr>
            </w:pPr>
            <w:r w:rsidRPr="00EB5493">
              <w:rPr>
                <w:b/>
                <w:sz w:val="18"/>
              </w:rPr>
              <w:t>Disclosure</w:t>
            </w:r>
          </w:p>
        </w:tc>
        <w:tc>
          <w:tcPr>
            <w:tcW w:w="1512" w:type="dxa"/>
          </w:tcPr>
          <w:p w14:paraId="752D4444" w14:textId="77777777" w:rsidR="00E77A30" w:rsidRPr="00EB5493" w:rsidRDefault="00E77A30" w:rsidP="00B078F5">
            <w:pPr>
              <w:jc w:val="right"/>
              <w:rPr>
                <w:b/>
                <w:sz w:val="18"/>
              </w:rPr>
            </w:pPr>
            <w:r w:rsidRPr="00EB5493">
              <w:rPr>
                <w:b/>
                <w:sz w:val="18"/>
              </w:rPr>
              <w:t>Consistent with expectations</w:t>
            </w:r>
          </w:p>
        </w:tc>
        <w:tc>
          <w:tcPr>
            <w:tcW w:w="2795" w:type="dxa"/>
          </w:tcPr>
          <w:p w14:paraId="64A0DFF5" w14:textId="77777777" w:rsidR="00E77A30" w:rsidRPr="00EB5493" w:rsidRDefault="00E77A30" w:rsidP="00B078F5">
            <w:pPr>
              <w:rPr>
                <w:b/>
                <w:sz w:val="18"/>
              </w:rPr>
            </w:pPr>
          </w:p>
          <w:p w14:paraId="0ABCB291" w14:textId="77777777" w:rsidR="00E77A30" w:rsidRPr="00EB5493" w:rsidRDefault="00E77A30" w:rsidP="00B078F5">
            <w:pPr>
              <w:rPr>
                <w:b/>
                <w:sz w:val="18"/>
              </w:rPr>
            </w:pPr>
          </w:p>
          <w:p w14:paraId="041B221F" w14:textId="77777777" w:rsidR="00E77A30" w:rsidRPr="00EB5493" w:rsidRDefault="00E77A30" w:rsidP="00B078F5">
            <w:pPr>
              <w:rPr>
                <w:b/>
                <w:sz w:val="18"/>
              </w:rPr>
            </w:pPr>
            <w:r w:rsidRPr="00EB5493">
              <w:rPr>
                <w:b/>
                <w:sz w:val="18"/>
              </w:rPr>
              <w:t>Comments</w:t>
            </w:r>
          </w:p>
        </w:tc>
      </w:tr>
      <w:tr w:rsidR="00E77A30" w:rsidRPr="00EB5493" w14:paraId="7ED0B7AA" w14:textId="77777777" w:rsidTr="00B21DD5">
        <w:tc>
          <w:tcPr>
            <w:tcW w:w="4351" w:type="dxa"/>
          </w:tcPr>
          <w:p w14:paraId="229D51F5" w14:textId="77777777" w:rsidR="00E77A30" w:rsidRPr="00EB5493" w:rsidRDefault="00E77A30" w:rsidP="00B078F5">
            <w:pPr>
              <w:rPr>
                <w:sz w:val="18"/>
              </w:rPr>
            </w:pPr>
            <w:r w:rsidRPr="00EB5493">
              <w:rPr>
                <w:sz w:val="18"/>
              </w:rPr>
              <w:t>Document and entity information</w:t>
            </w:r>
          </w:p>
        </w:tc>
        <w:tc>
          <w:tcPr>
            <w:tcW w:w="1512" w:type="dxa"/>
          </w:tcPr>
          <w:p w14:paraId="085DD755" w14:textId="77777777" w:rsidR="00E77A30" w:rsidRPr="00EB5493" w:rsidRDefault="00E77A30" w:rsidP="00B078F5">
            <w:pPr>
              <w:jc w:val="right"/>
              <w:rPr>
                <w:sz w:val="18"/>
              </w:rPr>
            </w:pPr>
            <w:r w:rsidRPr="00EB5493">
              <w:rPr>
                <w:sz w:val="18"/>
              </w:rPr>
              <w:t>100%</w:t>
            </w:r>
          </w:p>
        </w:tc>
        <w:tc>
          <w:tcPr>
            <w:tcW w:w="2795" w:type="dxa"/>
          </w:tcPr>
          <w:p w14:paraId="131A9B9E" w14:textId="77777777" w:rsidR="00E77A30" w:rsidRPr="00EB5493" w:rsidRDefault="00E77A30" w:rsidP="00B078F5">
            <w:pPr>
              <w:rPr>
                <w:sz w:val="18"/>
              </w:rPr>
            </w:pPr>
          </w:p>
        </w:tc>
      </w:tr>
      <w:tr w:rsidR="00E77A30" w:rsidRPr="00EB5493" w14:paraId="195B56BB" w14:textId="77777777" w:rsidTr="00B21DD5">
        <w:tc>
          <w:tcPr>
            <w:tcW w:w="4351" w:type="dxa"/>
          </w:tcPr>
          <w:p w14:paraId="2822E899" w14:textId="77777777" w:rsidR="00E77A30" w:rsidRPr="00EB5493" w:rsidRDefault="00E77A30" w:rsidP="00B078F5">
            <w:pPr>
              <w:rPr>
                <w:sz w:val="18"/>
              </w:rPr>
            </w:pPr>
            <w:r>
              <w:rPr>
                <w:sz w:val="18"/>
              </w:rPr>
              <w:t>Balance sheet</w:t>
            </w:r>
          </w:p>
        </w:tc>
        <w:tc>
          <w:tcPr>
            <w:tcW w:w="1512" w:type="dxa"/>
          </w:tcPr>
          <w:p w14:paraId="5E420887" w14:textId="77777777" w:rsidR="00E77A30" w:rsidRPr="00EB5493" w:rsidRDefault="00E77A30" w:rsidP="00B078F5">
            <w:pPr>
              <w:jc w:val="right"/>
              <w:rPr>
                <w:sz w:val="18"/>
              </w:rPr>
            </w:pPr>
            <w:r>
              <w:rPr>
                <w:sz w:val="18"/>
              </w:rPr>
              <w:t>99%</w:t>
            </w:r>
          </w:p>
        </w:tc>
        <w:tc>
          <w:tcPr>
            <w:tcW w:w="2795" w:type="dxa"/>
          </w:tcPr>
          <w:p w14:paraId="264DFFCE" w14:textId="77777777" w:rsidR="00E77A30" w:rsidRPr="00EB5493" w:rsidRDefault="00E77A30" w:rsidP="00B078F5">
            <w:pPr>
              <w:rPr>
                <w:sz w:val="18"/>
              </w:rPr>
            </w:pPr>
          </w:p>
        </w:tc>
      </w:tr>
      <w:tr w:rsidR="00E77A30" w:rsidRPr="00EB5493" w14:paraId="64753B95" w14:textId="77777777" w:rsidTr="00B21DD5">
        <w:tc>
          <w:tcPr>
            <w:tcW w:w="4351" w:type="dxa"/>
          </w:tcPr>
          <w:p w14:paraId="601B160E" w14:textId="77777777" w:rsidR="00E77A30" w:rsidRPr="00EB5493" w:rsidRDefault="00E77A30" w:rsidP="00B078F5">
            <w:pPr>
              <w:rPr>
                <w:sz w:val="18"/>
              </w:rPr>
            </w:pPr>
            <w:r>
              <w:rPr>
                <w:sz w:val="18"/>
              </w:rPr>
              <w:t>Cash flow statement</w:t>
            </w:r>
          </w:p>
        </w:tc>
        <w:tc>
          <w:tcPr>
            <w:tcW w:w="1512" w:type="dxa"/>
          </w:tcPr>
          <w:p w14:paraId="0A29F3ED" w14:textId="77777777" w:rsidR="00E77A30" w:rsidRPr="00EB5493" w:rsidRDefault="00E77A30" w:rsidP="00B078F5">
            <w:pPr>
              <w:jc w:val="right"/>
              <w:rPr>
                <w:sz w:val="18"/>
              </w:rPr>
            </w:pPr>
            <w:r>
              <w:rPr>
                <w:sz w:val="18"/>
              </w:rPr>
              <w:t>93%</w:t>
            </w:r>
          </w:p>
        </w:tc>
        <w:tc>
          <w:tcPr>
            <w:tcW w:w="2795" w:type="dxa"/>
          </w:tcPr>
          <w:p w14:paraId="067F809A" w14:textId="77777777" w:rsidR="00E77A30" w:rsidRPr="00EB5493" w:rsidRDefault="00E77A30" w:rsidP="00B078F5">
            <w:pPr>
              <w:rPr>
                <w:sz w:val="18"/>
              </w:rPr>
            </w:pPr>
          </w:p>
        </w:tc>
      </w:tr>
      <w:tr w:rsidR="00E77A30" w:rsidRPr="00EB5493" w14:paraId="000B3113" w14:textId="77777777" w:rsidTr="00B21DD5">
        <w:tc>
          <w:tcPr>
            <w:tcW w:w="4351" w:type="dxa"/>
          </w:tcPr>
          <w:p w14:paraId="007BA058" w14:textId="77777777" w:rsidR="00E77A30" w:rsidRPr="00EB5493" w:rsidRDefault="00E77A30" w:rsidP="00B078F5">
            <w:pPr>
              <w:rPr>
                <w:sz w:val="18"/>
              </w:rPr>
            </w:pPr>
            <w:r w:rsidRPr="00EB5493">
              <w:rPr>
                <w:sz w:val="18"/>
              </w:rPr>
              <w:t>Significant accounting policies</w:t>
            </w:r>
          </w:p>
        </w:tc>
        <w:tc>
          <w:tcPr>
            <w:tcW w:w="1512" w:type="dxa"/>
          </w:tcPr>
          <w:p w14:paraId="21C301F3" w14:textId="77777777" w:rsidR="00E77A30" w:rsidRPr="00EB5493" w:rsidRDefault="00E77A30" w:rsidP="00B078F5">
            <w:pPr>
              <w:jc w:val="right"/>
              <w:rPr>
                <w:sz w:val="18"/>
              </w:rPr>
            </w:pPr>
            <w:r w:rsidRPr="00EB5493">
              <w:rPr>
                <w:sz w:val="18"/>
              </w:rPr>
              <w:t>98%</w:t>
            </w:r>
          </w:p>
        </w:tc>
        <w:tc>
          <w:tcPr>
            <w:tcW w:w="2795" w:type="dxa"/>
          </w:tcPr>
          <w:p w14:paraId="512E80AC" w14:textId="77777777" w:rsidR="00E77A30" w:rsidRPr="00EB5493" w:rsidRDefault="00E77A30" w:rsidP="00B078F5">
            <w:pPr>
              <w:rPr>
                <w:sz w:val="18"/>
              </w:rPr>
            </w:pPr>
          </w:p>
        </w:tc>
      </w:tr>
      <w:tr w:rsidR="00E77A30" w:rsidRPr="00EB5493" w14:paraId="2C686EFF" w14:textId="77777777" w:rsidTr="00B21DD5">
        <w:tc>
          <w:tcPr>
            <w:tcW w:w="4351" w:type="dxa"/>
          </w:tcPr>
          <w:p w14:paraId="486654F5" w14:textId="77777777" w:rsidR="00E77A30" w:rsidRPr="00EB5493" w:rsidRDefault="00E77A30" w:rsidP="00B078F5">
            <w:pPr>
              <w:rPr>
                <w:sz w:val="18"/>
              </w:rPr>
            </w:pPr>
            <w:r w:rsidRPr="00EB5493">
              <w:rPr>
                <w:sz w:val="18"/>
              </w:rPr>
              <w:t>Basis of reporting</w:t>
            </w:r>
          </w:p>
        </w:tc>
        <w:tc>
          <w:tcPr>
            <w:tcW w:w="1512" w:type="dxa"/>
          </w:tcPr>
          <w:p w14:paraId="18D6178B" w14:textId="77777777" w:rsidR="00E77A30" w:rsidRPr="00EB5493" w:rsidRDefault="00E77A30" w:rsidP="00B078F5">
            <w:pPr>
              <w:jc w:val="right"/>
              <w:rPr>
                <w:sz w:val="18"/>
              </w:rPr>
            </w:pPr>
            <w:r w:rsidRPr="00EB5493">
              <w:rPr>
                <w:sz w:val="18"/>
              </w:rPr>
              <w:t>93%</w:t>
            </w:r>
          </w:p>
        </w:tc>
        <w:tc>
          <w:tcPr>
            <w:tcW w:w="2795" w:type="dxa"/>
          </w:tcPr>
          <w:p w14:paraId="6851FD1F" w14:textId="0A7D8AEE" w:rsidR="00E77A30" w:rsidRPr="00EB5493" w:rsidRDefault="005B479E" w:rsidP="00B078F5">
            <w:pPr>
              <w:rPr>
                <w:sz w:val="18"/>
              </w:rPr>
            </w:pPr>
            <w:r w:rsidRPr="00EB5493">
              <w:rPr>
                <w:sz w:val="18"/>
              </w:rPr>
              <w:t>Is this a REQUIRED disclosure?</w:t>
            </w:r>
          </w:p>
        </w:tc>
      </w:tr>
      <w:tr w:rsidR="00E77A30" w:rsidRPr="00EB5493" w14:paraId="458127DF" w14:textId="77777777" w:rsidTr="00B21DD5">
        <w:tc>
          <w:tcPr>
            <w:tcW w:w="4351" w:type="dxa"/>
          </w:tcPr>
          <w:p w14:paraId="3D76F338" w14:textId="77777777" w:rsidR="00E77A30" w:rsidRPr="00EB5493" w:rsidRDefault="00E77A30" w:rsidP="00B078F5">
            <w:pPr>
              <w:rPr>
                <w:sz w:val="18"/>
              </w:rPr>
            </w:pPr>
            <w:r w:rsidRPr="00EB5493">
              <w:rPr>
                <w:sz w:val="18"/>
              </w:rPr>
              <w:t>Nature of operations</w:t>
            </w:r>
          </w:p>
        </w:tc>
        <w:tc>
          <w:tcPr>
            <w:tcW w:w="1512" w:type="dxa"/>
          </w:tcPr>
          <w:p w14:paraId="175D893B" w14:textId="77777777" w:rsidR="00E77A30" w:rsidRPr="00EB5493" w:rsidRDefault="00E77A30" w:rsidP="00B078F5">
            <w:pPr>
              <w:jc w:val="right"/>
              <w:rPr>
                <w:sz w:val="18"/>
              </w:rPr>
            </w:pPr>
            <w:r w:rsidRPr="00EB5493">
              <w:rPr>
                <w:sz w:val="18"/>
              </w:rPr>
              <w:t>81%</w:t>
            </w:r>
          </w:p>
        </w:tc>
        <w:tc>
          <w:tcPr>
            <w:tcW w:w="2795" w:type="dxa"/>
          </w:tcPr>
          <w:p w14:paraId="7A6666C2" w14:textId="77777777" w:rsidR="00E77A30" w:rsidRPr="00EB5493" w:rsidRDefault="00E77A30" w:rsidP="00B078F5">
            <w:pPr>
              <w:rPr>
                <w:sz w:val="18"/>
              </w:rPr>
            </w:pPr>
            <w:r w:rsidRPr="00EB5493">
              <w:rPr>
                <w:sz w:val="18"/>
              </w:rPr>
              <w:t>Is this a REQUIRED disclosure?</w:t>
            </w:r>
          </w:p>
        </w:tc>
      </w:tr>
      <w:tr w:rsidR="00E77A30" w:rsidRPr="00EB5493" w14:paraId="0F431262" w14:textId="77777777" w:rsidTr="00B21DD5">
        <w:tc>
          <w:tcPr>
            <w:tcW w:w="4351" w:type="dxa"/>
          </w:tcPr>
          <w:p w14:paraId="06E3788C" w14:textId="77777777" w:rsidR="00E77A30" w:rsidRPr="00EB5493" w:rsidRDefault="00E77A30" w:rsidP="00B078F5">
            <w:pPr>
              <w:rPr>
                <w:sz w:val="18"/>
              </w:rPr>
            </w:pPr>
            <w:r w:rsidRPr="00EB5493">
              <w:rPr>
                <w:sz w:val="18"/>
              </w:rPr>
              <w:t>Revenue recognition policy</w:t>
            </w:r>
          </w:p>
        </w:tc>
        <w:tc>
          <w:tcPr>
            <w:tcW w:w="1512" w:type="dxa"/>
          </w:tcPr>
          <w:p w14:paraId="5F9440DD" w14:textId="77777777" w:rsidR="00E77A30" w:rsidRPr="00EB5493" w:rsidRDefault="00E77A30" w:rsidP="00B078F5">
            <w:pPr>
              <w:jc w:val="right"/>
              <w:rPr>
                <w:sz w:val="18"/>
              </w:rPr>
            </w:pPr>
            <w:r w:rsidRPr="00EB5493">
              <w:rPr>
                <w:sz w:val="18"/>
              </w:rPr>
              <w:t>77%</w:t>
            </w:r>
          </w:p>
        </w:tc>
        <w:tc>
          <w:tcPr>
            <w:tcW w:w="2795" w:type="dxa"/>
          </w:tcPr>
          <w:p w14:paraId="55894C5B" w14:textId="0D47882F" w:rsidR="00E77A30" w:rsidRPr="00EB5493" w:rsidRDefault="005B479E" w:rsidP="00B078F5">
            <w:pPr>
              <w:rPr>
                <w:sz w:val="18"/>
              </w:rPr>
            </w:pPr>
            <w:r w:rsidRPr="00EB5493">
              <w:rPr>
                <w:sz w:val="18"/>
              </w:rPr>
              <w:t>Is this a REQUIRED disclosure?</w:t>
            </w:r>
          </w:p>
        </w:tc>
      </w:tr>
      <w:tr w:rsidR="00E77A30" w:rsidRPr="00EB5493" w14:paraId="7436FB71" w14:textId="77777777" w:rsidTr="00B21DD5">
        <w:tc>
          <w:tcPr>
            <w:tcW w:w="4351" w:type="dxa"/>
          </w:tcPr>
          <w:p w14:paraId="1B24EC7B" w14:textId="77777777" w:rsidR="00E77A30" w:rsidRPr="00EB5493" w:rsidRDefault="00E77A30" w:rsidP="00B078F5">
            <w:pPr>
              <w:rPr>
                <w:sz w:val="18"/>
              </w:rPr>
            </w:pPr>
            <w:r w:rsidRPr="00EB5493">
              <w:rPr>
                <w:sz w:val="18"/>
              </w:rPr>
              <w:t>Inventory components</w:t>
            </w:r>
          </w:p>
        </w:tc>
        <w:tc>
          <w:tcPr>
            <w:tcW w:w="1512" w:type="dxa"/>
          </w:tcPr>
          <w:p w14:paraId="7290EAF8" w14:textId="77777777" w:rsidR="00E77A30" w:rsidRPr="00EB5493" w:rsidRDefault="00E77A30" w:rsidP="00B078F5">
            <w:pPr>
              <w:jc w:val="right"/>
              <w:rPr>
                <w:sz w:val="18"/>
              </w:rPr>
            </w:pPr>
            <w:r w:rsidRPr="00EB5493">
              <w:rPr>
                <w:sz w:val="18"/>
              </w:rPr>
              <w:t>83%</w:t>
            </w:r>
          </w:p>
        </w:tc>
        <w:tc>
          <w:tcPr>
            <w:tcW w:w="2795" w:type="dxa"/>
          </w:tcPr>
          <w:p w14:paraId="3C932674" w14:textId="77777777" w:rsidR="00E77A30" w:rsidRPr="00EB5493" w:rsidRDefault="00E77A30" w:rsidP="00B078F5">
            <w:pPr>
              <w:rPr>
                <w:sz w:val="18"/>
              </w:rPr>
            </w:pPr>
            <w:r w:rsidRPr="00EB5493">
              <w:rPr>
                <w:sz w:val="18"/>
              </w:rPr>
              <w:t>One issue here is if inventory components are reported on the balance sheet; inventory components are present, but Level 3 Disclosure Text Block is generally not provided</w:t>
            </w:r>
          </w:p>
        </w:tc>
      </w:tr>
      <w:tr w:rsidR="00E77A30" w:rsidRPr="00EB5493" w14:paraId="65471BF9" w14:textId="77777777" w:rsidTr="00B21DD5">
        <w:tc>
          <w:tcPr>
            <w:tcW w:w="4351" w:type="dxa"/>
          </w:tcPr>
          <w:p w14:paraId="7C590CF1" w14:textId="77777777" w:rsidR="00E77A30" w:rsidRPr="00EB5493" w:rsidRDefault="00E77A30" w:rsidP="00B078F5">
            <w:pPr>
              <w:rPr>
                <w:sz w:val="18"/>
              </w:rPr>
            </w:pPr>
            <w:r w:rsidRPr="00EB5493">
              <w:rPr>
                <w:sz w:val="18"/>
              </w:rPr>
              <w:t>Property, plant and equipment components (using Line Items)</w:t>
            </w:r>
          </w:p>
        </w:tc>
        <w:tc>
          <w:tcPr>
            <w:tcW w:w="1512" w:type="dxa"/>
          </w:tcPr>
          <w:p w14:paraId="7F527328" w14:textId="77777777" w:rsidR="00E77A30" w:rsidRPr="00EB5493" w:rsidRDefault="00E77A30" w:rsidP="00B078F5">
            <w:pPr>
              <w:jc w:val="right"/>
              <w:rPr>
                <w:sz w:val="18"/>
              </w:rPr>
            </w:pPr>
            <w:r w:rsidRPr="00EB5493">
              <w:rPr>
                <w:sz w:val="18"/>
              </w:rPr>
              <w:t>85%</w:t>
            </w:r>
          </w:p>
        </w:tc>
        <w:tc>
          <w:tcPr>
            <w:tcW w:w="2795" w:type="dxa"/>
          </w:tcPr>
          <w:p w14:paraId="1918BE3E" w14:textId="77777777" w:rsidR="00E77A30" w:rsidRPr="00EB5493" w:rsidRDefault="00E77A30" w:rsidP="00B078F5">
            <w:pPr>
              <w:rPr>
                <w:sz w:val="18"/>
              </w:rPr>
            </w:pPr>
            <w:r w:rsidRPr="00EB5493">
              <w:rPr>
                <w:sz w:val="18"/>
              </w:rPr>
              <w:t>One issues here is if PPE components are reported on the balance sheet; then PPE components are present, but Level 3 Disclosure Text Block is generally not provided</w:t>
            </w:r>
          </w:p>
        </w:tc>
      </w:tr>
      <w:tr w:rsidR="00E77A30" w:rsidRPr="00EB5493" w14:paraId="2AFAA8A6" w14:textId="77777777" w:rsidTr="00B21DD5">
        <w:tc>
          <w:tcPr>
            <w:tcW w:w="4351" w:type="dxa"/>
          </w:tcPr>
          <w:p w14:paraId="74091C49" w14:textId="77777777" w:rsidR="00E77A30" w:rsidRPr="00EB5493" w:rsidRDefault="00E77A30" w:rsidP="00B078F5">
            <w:pPr>
              <w:rPr>
                <w:sz w:val="18"/>
              </w:rPr>
            </w:pPr>
            <w:r w:rsidRPr="00EB5493">
              <w:rPr>
                <w:sz w:val="18"/>
              </w:rPr>
              <w:t>Property, plant and equipment components (using [Axis]/[Member]s)</w:t>
            </w:r>
          </w:p>
        </w:tc>
        <w:tc>
          <w:tcPr>
            <w:tcW w:w="1512" w:type="dxa"/>
          </w:tcPr>
          <w:p w14:paraId="1C8F0DE3" w14:textId="77777777" w:rsidR="00E77A30" w:rsidRPr="00EB5493" w:rsidRDefault="00E77A30" w:rsidP="00B078F5">
            <w:pPr>
              <w:jc w:val="right"/>
              <w:rPr>
                <w:sz w:val="18"/>
              </w:rPr>
            </w:pPr>
            <w:r w:rsidRPr="00EB5493">
              <w:rPr>
                <w:sz w:val="18"/>
              </w:rPr>
              <w:t>85%</w:t>
            </w:r>
          </w:p>
        </w:tc>
        <w:tc>
          <w:tcPr>
            <w:tcW w:w="2795" w:type="dxa"/>
          </w:tcPr>
          <w:p w14:paraId="37149090" w14:textId="77777777" w:rsidR="00E77A30" w:rsidRPr="00EB5493" w:rsidRDefault="00E77A30" w:rsidP="00B078F5">
            <w:pPr>
              <w:rPr>
                <w:sz w:val="18"/>
              </w:rPr>
            </w:pPr>
            <w:r w:rsidRPr="00EB5493">
              <w:rPr>
                <w:sz w:val="18"/>
              </w:rPr>
              <w:t>One issues here is if PPE components are reported on the balance sheet; then PPE components are present, but Level 3 Disclosure Text Block is generally not provided</w:t>
            </w:r>
          </w:p>
        </w:tc>
      </w:tr>
      <w:tr w:rsidR="00E77A30" w:rsidRPr="00EB5493" w14:paraId="2B9F8A61" w14:textId="77777777" w:rsidTr="00B21DD5">
        <w:tc>
          <w:tcPr>
            <w:tcW w:w="4351" w:type="dxa"/>
          </w:tcPr>
          <w:p w14:paraId="6D24B4F4" w14:textId="77777777" w:rsidR="00E77A30" w:rsidRPr="00EB5493" w:rsidRDefault="00E77A30" w:rsidP="00B078F5">
            <w:pPr>
              <w:rPr>
                <w:sz w:val="18"/>
              </w:rPr>
            </w:pPr>
            <w:r>
              <w:rPr>
                <w:sz w:val="18"/>
              </w:rPr>
              <w:t>Goodwill roll forward</w:t>
            </w:r>
          </w:p>
        </w:tc>
        <w:tc>
          <w:tcPr>
            <w:tcW w:w="1512" w:type="dxa"/>
          </w:tcPr>
          <w:p w14:paraId="343EEDE0" w14:textId="77777777" w:rsidR="00E77A30" w:rsidRPr="00EB5493" w:rsidRDefault="00E77A30" w:rsidP="00B078F5">
            <w:pPr>
              <w:jc w:val="right"/>
              <w:rPr>
                <w:sz w:val="18"/>
              </w:rPr>
            </w:pPr>
            <w:r>
              <w:rPr>
                <w:sz w:val="18"/>
              </w:rPr>
              <w:t>79%</w:t>
            </w:r>
          </w:p>
        </w:tc>
        <w:tc>
          <w:tcPr>
            <w:tcW w:w="2795" w:type="dxa"/>
          </w:tcPr>
          <w:p w14:paraId="6D388051" w14:textId="77777777" w:rsidR="00E77A30" w:rsidRPr="00EB5493" w:rsidRDefault="00E77A30" w:rsidP="00B078F5">
            <w:pPr>
              <w:rPr>
                <w:sz w:val="18"/>
              </w:rPr>
            </w:pPr>
          </w:p>
        </w:tc>
      </w:tr>
      <w:tr w:rsidR="00E77A30" w:rsidRPr="00EB5493" w14:paraId="21FBC932" w14:textId="77777777" w:rsidTr="00B21DD5">
        <w:tc>
          <w:tcPr>
            <w:tcW w:w="4351" w:type="dxa"/>
          </w:tcPr>
          <w:p w14:paraId="228C74E5" w14:textId="77777777" w:rsidR="00E77A30" w:rsidRPr="00EB5493" w:rsidRDefault="00E77A30" w:rsidP="00B078F5">
            <w:pPr>
              <w:rPr>
                <w:sz w:val="18"/>
              </w:rPr>
            </w:pPr>
            <w:r w:rsidRPr="00EB5493">
              <w:rPr>
                <w:sz w:val="18"/>
              </w:rPr>
              <w:t>Finite-lived intangible assets</w:t>
            </w:r>
          </w:p>
        </w:tc>
        <w:tc>
          <w:tcPr>
            <w:tcW w:w="1512" w:type="dxa"/>
          </w:tcPr>
          <w:p w14:paraId="016D3DE0" w14:textId="77777777" w:rsidR="00E77A30" w:rsidRPr="00EB5493" w:rsidRDefault="00E77A30" w:rsidP="00B078F5">
            <w:pPr>
              <w:jc w:val="right"/>
              <w:rPr>
                <w:sz w:val="18"/>
              </w:rPr>
            </w:pPr>
            <w:r w:rsidRPr="00EB5493">
              <w:rPr>
                <w:sz w:val="18"/>
              </w:rPr>
              <w:t>75%</w:t>
            </w:r>
          </w:p>
        </w:tc>
        <w:tc>
          <w:tcPr>
            <w:tcW w:w="2795" w:type="dxa"/>
          </w:tcPr>
          <w:p w14:paraId="56EB7531" w14:textId="77777777" w:rsidR="00E77A30" w:rsidRPr="00EB5493" w:rsidRDefault="00E77A30" w:rsidP="00B078F5">
            <w:pPr>
              <w:rPr>
                <w:sz w:val="18"/>
              </w:rPr>
            </w:pPr>
          </w:p>
        </w:tc>
      </w:tr>
      <w:tr w:rsidR="00E77A30" w:rsidRPr="00EB5493" w14:paraId="6DEA4BD4" w14:textId="77777777" w:rsidTr="00B21DD5">
        <w:tc>
          <w:tcPr>
            <w:tcW w:w="4351" w:type="dxa"/>
          </w:tcPr>
          <w:p w14:paraId="536253C9" w14:textId="77777777" w:rsidR="00E77A30" w:rsidRPr="00EB5493" w:rsidRDefault="00E77A30" w:rsidP="00B078F5">
            <w:pPr>
              <w:rPr>
                <w:sz w:val="18"/>
              </w:rPr>
            </w:pPr>
            <w:r w:rsidRPr="0086287D">
              <w:rPr>
                <w:sz w:val="18"/>
              </w:rPr>
              <w:lastRenderedPageBreak/>
              <w:t>Estimated future amortization of finite-lived intangible assets</w:t>
            </w:r>
          </w:p>
        </w:tc>
        <w:tc>
          <w:tcPr>
            <w:tcW w:w="1512" w:type="dxa"/>
          </w:tcPr>
          <w:p w14:paraId="7E3530F0" w14:textId="77777777" w:rsidR="00E77A30" w:rsidRPr="00EB5493" w:rsidRDefault="00E77A30" w:rsidP="00B078F5">
            <w:pPr>
              <w:jc w:val="right"/>
              <w:rPr>
                <w:sz w:val="18"/>
              </w:rPr>
            </w:pPr>
            <w:r>
              <w:rPr>
                <w:sz w:val="18"/>
              </w:rPr>
              <w:t>81%</w:t>
            </w:r>
          </w:p>
        </w:tc>
        <w:tc>
          <w:tcPr>
            <w:tcW w:w="2795" w:type="dxa"/>
          </w:tcPr>
          <w:p w14:paraId="59A36F1B" w14:textId="77777777" w:rsidR="00E77A30" w:rsidRPr="00EB5493" w:rsidRDefault="00E77A30" w:rsidP="00B078F5">
            <w:pPr>
              <w:rPr>
                <w:sz w:val="18"/>
              </w:rPr>
            </w:pPr>
          </w:p>
        </w:tc>
      </w:tr>
      <w:tr w:rsidR="00E77A30" w:rsidRPr="00EB5493" w14:paraId="0E7B8A78" w14:textId="77777777" w:rsidTr="00B21DD5">
        <w:tc>
          <w:tcPr>
            <w:tcW w:w="4351" w:type="dxa"/>
          </w:tcPr>
          <w:p w14:paraId="506BE8DE" w14:textId="77777777" w:rsidR="00E77A30" w:rsidRPr="00EB5493" w:rsidRDefault="00E77A30" w:rsidP="00B078F5">
            <w:pPr>
              <w:rPr>
                <w:sz w:val="18"/>
              </w:rPr>
            </w:pPr>
            <w:r w:rsidRPr="00EB5493">
              <w:rPr>
                <w:sz w:val="18"/>
              </w:rPr>
              <w:t>Infinite-lived intangible assets</w:t>
            </w:r>
          </w:p>
        </w:tc>
        <w:tc>
          <w:tcPr>
            <w:tcW w:w="1512" w:type="dxa"/>
          </w:tcPr>
          <w:p w14:paraId="56D1795E" w14:textId="77777777" w:rsidR="00E77A30" w:rsidRPr="00EB5493" w:rsidRDefault="00E77A30" w:rsidP="00B078F5">
            <w:pPr>
              <w:jc w:val="right"/>
              <w:rPr>
                <w:sz w:val="18"/>
              </w:rPr>
            </w:pPr>
            <w:r w:rsidRPr="00EB5493">
              <w:rPr>
                <w:sz w:val="18"/>
              </w:rPr>
              <w:t>85%</w:t>
            </w:r>
          </w:p>
        </w:tc>
        <w:tc>
          <w:tcPr>
            <w:tcW w:w="2795" w:type="dxa"/>
          </w:tcPr>
          <w:p w14:paraId="3D29FA7E" w14:textId="77777777" w:rsidR="00E77A30" w:rsidRPr="00EB5493" w:rsidRDefault="00E77A30" w:rsidP="00B078F5">
            <w:pPr>
              <w:rPr>
                <w:sz w:val="18"/>
              </w:rPr>
            </w:pPr>
          </w:p>
        </w:tc>
      </w:tr>
      <w:tr w:rsidR="00E77A30" w:rsidRPr="00EB5493" w14:paraId="4CE9C160" w14:textId="77777777" w:rsidTr="00B21DD5">
        <w:tc>
          <w:tcPr>
            <w:tcW w:w="4351" w:type="dxa"/>
          </w:tcPr>
          <w:p w14:paraId="347BD724" w14:textId="77777777" w:rsidR="00E77A30" w:rsidRPr="00EB5493" w:rsidRDefault="00E77A30" w:rsidP="00B078F5">
            <w:pPr>
              <w:rPr>
                <w:sz w:val="18"/>
              </w:rPr>
            </w:pPr>
            <w:r w:rsidRPr="00EB5493">
              <w:rPr>
                <w:sz w:val="18"/>
              </w:rPr>
              <w:t>Deferred tax assets and liabilities</w:t>
            </w:r>
          </w:p>
        </w:tc>
        <w:tc>
          <w:tcPr>
            <w:tcW w:w="1512" w:type="dxa"/>
          </w:tcPr>
          <w:p w14:paraId="0DF946BD" w14:textId="77777777" w:rsidR="00E77A30" w:rsidRPr="00EB5493" w:rsidRDefault="00E77A30" w:rsidP="00B078F5">
            <w:pPr>
              <w:jc w:val="right"/>
              <w:rPr>
                <w:sz w:val="18"/>
              </w:rPr>
            </w:pPr>
            <w:r w:rsidRPr="00EB5493">
              <w:rPr>
                <w:sz w:val="18"/>
              </w:rPr>
              <w:t>72%</w:t>
            </w:r>
          </w:p>
        </w:tc>
        <w:tc>
          <w:tcPr>
            <w:tcW w:w="2795" w:type="dxa"/>
          </w:tcPr>
          <w:p w14:paraId="2F1B7F27" w14:textId="77777777" w:rsidR="00E77A30" w:rsidRPr="00EB5493" w:rsidRDefault="00E77A30" w:rsidP="00B078F5">
            <w:pPr>
              <w:rPr>
                <w:sz w:val="18"/>
              </w:rPr>
            </w:pPr>
          </w:p>
        </w:tc>
      </w:tr>
      <w:tr w:rsidR="00E77A30" w:rsidRPr="00EB5493" w14:paraId="089298CF" w14:textId="77777777" w:rsidTr="00B21DD5">
        <w:tc>
          <w:tcPr>
            <w:tcW w:w="4351" w:type="dxa"/>
          </w:tcPr>
          <w:p w14:paraId="3EAC6148" w14:textId="77777777" w:rsidR="00E77A30" w:rsidRPr="00EB5493" w:rsidRDefault="00E77A30" w:rsidP="00B078F5">
            <w:pPr>
              <w:rPr>
                <w:sz w:val="18"/>
              </w:rPr>
            </w:pPr>
            <w:r w:rsidRPr="00EB5493">
              <w:rPr>
                <w:sz w:val="18"/>
              </w:rPr>
              <w:t>Product warranty liability</w:t>
            </w:r>
          </w:p>
        </w:tc>
        <w:tc>
          <w:tcPr>
            <w:tcW w:w="1512" w:type="dxa"/>
          </w:tcPr>
          <w:p w14:paraId="761CE616" w14:textId="77777777" w:rsidR="00E77A30" w:rsidRPr="00EB5493" w:rsidRDefault="00E77A30" w:rsidP="00B078F5">
            <w:pPr>
              <w:jc w:val="right"/>
              <w:rPr>
                <w:sz w:val="18"/>
              </w:rPr>
            </w:pPr>
            <w:r w:rsidRPr="00EB5493">
              <w:rPr>
                <w:sz w:val="18"/>
              </w:rPr>
              <w:t>95%</w:t>
            </w:r>
          </w:p>
        </w:tc>
        <w:tc>
          <w:tcPr>
            <w:tcW w:w="2795" w:type="dxa"/>
          </w:tcPr>
          <w:p w14:paraId="4DB3DF84" w14:textId="77777777" w:rsidR="00E77A30" w:rsidRPr="00EB5493" w:rsidRDefault="00E77A30" w:rsidP="00B078F5">
            <w:pPr>
              <w:rPr>
                <w:sz w:val="18"/>
              </w:rPr>
            </w:pPr>
          </w:p>
        </w:tc>
      </w:tr>
      <w:tr w:rsidR="00E77A30" w:rsidRPr="00EB5493" w14:paraId="02B6CA44" w14:textId="77777777" w:rsidTr="00B21DD5">
        <w:tc>
          <w:tcPr>
            <w:tcW w:w="4351" w:type="dxa"/>
          </w:tcPr>
          <w:p w14:paraId="7AFCE61B" w14:textId="77777777" w:rsidR="00E77A30" w:rsidRPr="00EB5493" w:rsidRDefault="00E77A30" w:rsidP="00B078F5">
            <w:pPr>
              <w:rPr>
                <w:sz w:val="18"/>
              </w:rPr>
            </w:pPr>
            <w:r w:rsidRPr="00EB5493">
              <w:rPr>
                <w:sz w:val="18"/>
              </w:rPr>
              <w:t>Future minimum rental payments due for operating leases</w:t>
            </w:r>
          </w:p>
        </w:tc>
        <w:tc>
          <w:tcPr>
            <w:tcW w:w="1512" w:type="dxa"/>
          </w:tcPr>
          <w:p w14:paraId="5314A0C1" w14:textId="77777777" w:rsidR="00E77A30" w:rsidRPr="00EB5493" w:rsidRDefault="00E77A30" w:rsidP="00B078F5">
            <w:pPr>
              <w:jc w:val="right"/>
              <w:rPr>
                <w:sz w:val="18"/>
              </w:rPr>
            </w:pPr>
            <w:r w:rsidRPr="00EB5493">
              <w:rPr>
                <w:sz w:val="18"/>
              </w:rPr>
              <w:t>83%</w:t>
            </w:r>
          </w:p>
        </w:tc>
        <w:tc>
          <w:tcPr>
            <w:tcW w:w="2795" w:type="dxa"/>
          </w:tcPr>
          <w:p w14:paraId="5967EB32" w14:textId="77777777" w:rsidR="00E77A30" w:rsidRPr="00EB5493" w:rsidRDefault="00E77A30" w:rsidP="00B078F5">
            <w:pPr>
              <w:rPr>
                <w:sz w:val="18"/>
              </w:rPr>
            </w:pPr>
          </w:p>
        </w:tc>
      </w:tr>
      <w:tr w:rsidR="00E77A30" w:rsidRPr="00EB5493" w14:paraId="7EABCBA4" w14:textId="77777777" w:rsidTr="00B21DD5">
        <w:tc>
          <w:tcPr>
            <w:tcW w:w="4351" w:type="dxa"/>
          </w:tcPr>
          <w:p w14:paraId="397A31CD" w14:textId="77777777" w:rsidR="00E77A30" w:rsidRPr="00EB5493" w:rsidRDefault="00E77A30" w:rsidP="00B078F5">
            <w:pPr>
              <w:rPr>
                <w:sz w:val="18"/>
              </w:rPr>
            </w:pPr>
            <w:r w:rsidRPr="00EB5493">
              <w:rPr>
                <w:sz w:val="18"/>
              </w:rPr>
              <w:t>Future minimum rental payments receivable for operating leases</w:t>
            </w:r>
          </w:p>
        </w:tc>
        <w:tc>
          <w:tcPr>
            <w:tcW w:w="1512" w:type="dxa"/>
          </w:tcPr>
          <w:p w14:paraId="1FD54790" w14:textId="77777777" w:rsidR="00E77A30" w:rsidRPr="00EB5493" w:rsidRDefault="00E77A30" w:rsidP="00B078F5">
            <w:pPr>
              <w:jc w:val="right"/>
              <w:rPr>
                <w:sz w:val="18"/>
              </w:rPr>
            </w:pPr>
            <w:r w:rsidRPr="00EB5493">
              <w:rPr>
                <w:sz w:val="18"/>
              </w:rPr>
              <w:t>52%</w:t>
            </w:r>
          </w:p>
        </w:tc>
        <w:tc>
          <w:tcPr>
            <w:tcW w:w="2795" w:type="dxa"/>
          </w:tcPr>
          <w:p w14:paraId="542731BC" w14:textId="77777777" w:rsidR="00E77A30" w:rsidRPr="00EB5493" w:rsidRDefault="00E77A30" w:rsidP="00B078F5">
            <w:pPr>
              <w:rPr>
                <w:sz w:val="18"/>
              </w:rPr>
            </w:pPr>
            <w:r w:rsidRPr="00EB5493">
              <w:rPr>
                <w:sz w:val="18"/>
              </w:rPr>
              <w:t>It appears that the text block is missing for this disclosure or for payments due (able), cannot determine which</w:t>
            </w:r>
          </w:p>
        </w:tc>
      </w:tr>
      <w:tr w:rsidR="00E77A30" w:rsidRPr="00EB5493" w14:paraId="30277628" w14:textId="77777777" w:rsidTr="00B21DD5">
        <w:tc>
          <w:tcPr>
            <w:tcW w:w="4351" w:type="dxa"/>
          </w:tcPr>
          <w:p w14:paraId="1FB04452" w14:textId="77777777" w:rsidR="00E77A30" w:rsidRPr="00EB5493" w:rsidRDefault="00E77A30" w:rsidP="00B078F5">
            <w:pPr>
              <w:rPr>
                <w:sz w:val="18"/>
              </w:rPr>
            </w:pPr>
            <w:r w:rsidRPr="00EB5493">
              <w:rPr>
                <w:sz w:val="18"/>
              </w:rPr>
              <w:t>Present value of future minimum lease payments payable for capital lease obligations</w:t>
            </w:r>
          </w:p>
        </w:tc>
        <w:tc>
          <w:tcPr>
            <w:tcW w:w="1512" w:type="dxa"/>
          </w:tcPr>
          <w:p w14:paraId="4839CD70" w14:textId="77777777" w:rsidR="00E77A30" w:rsidRPr="00EB5493" w:rsidRDefault="00E77A30" w:rsidP="00B078F5">
            <w:pPr>
              <w:jc w:val="right"/>
              <w:rPr>
                <w:sz w:val="18"/>
              </w:rPr>
            </w:pPr>
            <w:r w:rsidRPr="00EB5493">
              <w:rPr>
                <w:sz w:val="18"/>
              </w:rPr>
              <w:t>86%</w:t>
            </w:r>
          </w:p>
        </w:tc>
        <w:tc>
          <w:tcPr>
            <w:tcW w:w="2795" w:type="dxa"/>
          </w:tcPr>
          <w:p w14:paraId="6C8B1EBF" w14:textId="77777777" w:rsidR="00E77A30" w:rsidRPr="00EB5493" w:rsidRDefault="00E77A30" w:rsidP="00B078F5">
            <w:pPr>
              <w:rPr>
                <w:sz w:val="18"/>
              </w:rPr>
            </w:pPr>
          </w:p>
        </w:tc>
      </w:tr>
      <w:tr w:rsidR="00E77A30" w:rsidRPr="00EB5493" w14:paraId="2B97222B" w14:textId="77777777" w:rsidTr="00B21DD5">
        <w:tc>
          <w:tcPr>
            <w:tcW w:w="4351" w:type="dxa"/>
          </w:tcPr>
          <w:p w14:paraId="74EC9E3E" w14:textId="77777777" w:rsidR="00E77A30" w:rsidRPr="00EB5493" w:rsidRDefault="00E77A30" w:rsidP="00B078F5">
            <w:pPr>
              <w:rPr>
                <w:sz w:val="18"/>
              </w:rPr>
            </w:pPr>
            <w:r w:rsidRPr="00EB5493">
              <w:rPr>
                <w:sz w:val="18"/>
              </w:rPr>
              <w:t>Future minimum lease payments receivable from capital leases</w:t>
            </w:r>
          </w:p>
        </w:tc>
        <w:tc>
          <w:tcPr>
            <w:tcW w:w="1512" w:type="dxa"/>
          </w:tcPr>
          <w:p w14:paraId="347F95D4" w14:textId="77777777" w:rsidR="00E77A30" w:rsidRPr="00EB5493" w:rsidRDefault="00E77A30" w:rsidP="00B078F5">
            <w:pPr>
              <w:jc w:val="right"/>
              <w:rPr>
                <w:sz w:val="18"/>
              </w:rPr>
            </w:pPr>
            <w:r w:rsidRPr="00EB5493">
              <w:rPr>
                <w:sz w:val="18"/>
              </w:rPr>
              <w:t>99%</w:t>
            </w:r>
          </w:p>
        </w:tc>
        <w:tc>
          <w:tcPr>
            <w:tcW w:w="2795" w:type="dxa"/>
          </w:tcPr>
          <w:p w14:paraId="1DA3AFAC" w14:textId="77777777" w:rsidR="00E77A30" w:rsidRPr="00EB5493" w:rsidRDefault="00E77A30" w:rsidP="00B078F5">
            <w:pPr>
              <w:rPr>
                <w:sz w:val="18"/>
              </w:rPr>
            </w:pPr>
          </w:p>
        </w:tc>
      </w:tr>
      <w:tr w:rsidR="00E77A30" w:rsidRPr="00EB5493" w14:paraId="7A6AF308" w14:textId="77777777" w:rsidTr="00B21DD5">
        <w:tc>
          <w:tcPr>
            <w:tcW w:w="4351" w:type="dxa"/>
          </w:tcPr>
          <w:p w14:paraId="60068670" w14:textId="77777777" w:rsidR="00E77A30" w:rsidRPr="00EB5493" w:rsidRDefault="00E77A30" w:rsidP="00B078F5">
            <w:pPr>
              <w:rPr>
                <w:sz w:val="18"/>
              </w:rPr>
            </w:pPr>
            <w:r w:rsidRPr="00EB5493">
              <w:rPr>
                <w:sz w:val="18"/>
              </w:rPr>
              <w:t>Lon</w:t>
            </w:r>
            <w:r>
              <w:rPr>
                <w:sz w:val="18"/>
              </w:rPr>
              <w:t>g-term debt instruments</w:t>
            </w:r>
          </w:p>
        </w:tc>
        <w:tc>
          <w:tcPr>
            <w:tcW w:w="1512" w:type="dxa"/>
          </w:tcPr>
          <w:p w14:paraId="75606714" w14:textId="77777777" w:rsidR="00E77A30" w:rsidRPr="00EB5493" w:rsidRDefault="00E77A30" w:rsidP="00B078F5">
            <w:pPr>
              <w:jc w:val="right"/>
              <w:rPr>
                <w:sz w:val="18"/>
              </w:rPr>
            </w:pPr>
            <w:r>
              <w:rPr>
                <w:sz w:val="18"/>
              </w:rPr>
              <w:t>74%</w:t>
            </w:r>
          </w:p>
        </w:tc>
        <w:tc>
          <w:tcPr>
            <w:tcW w:w="2795" w:type="dxa"/>
          </w:tcPr>
          <w:p w14:paraId="0E5F55CB" w14:textId="77777777" w:rsidR="00E77A30" w:rsidRPr="00EB5493" w:rsidRDefault="00E77A30" w:rsidP="00B078F5">
            <w:pPr>
              <w:rPr>
                <w:sz w:val="18"/>
              </w:rPr>
            </w:pPr>
          </w:p>
        </w:tc>
      </w:tr>
      <w:tr w:rsidR="00E77A30" w:rsidRPr="00EB5493" w14:paraId="2D08C712" w14:textId="77777777" w:rsidTr="00B21DD5">
        <w:tc>
          <w:tcPr>
            <w:tcW w:w="4351" w:type="dxa"/>
          </w:tcPr>
          <w:p w14:paraId="14E4108A" w14:textId="47213CFB" w:rsidR="00E77A30" w:rsidRPr="00EB5493" w:rsidRDefault="00E77A30" w:rsidP="00B078F5">
            <w:pPr>
              <w:rPr>
                <w:sz w:val="18"/>
              </w:rPr>
            </w:pPr>
            <w:r w:rsidRPr="00EB5493">
              <w:rPr>
                <w:sz w:val="18"/>
              </w:rPr>
              <w:t>Long-term debt maturities (</w:t>
            </w:r>
            <w:r w:rsidR="005B479E">
              <w:rPr>
                <w:sz w:val="18"/>
              </w:rPr>
              <w:t xml:space="preserve">with total or </w:t>
            </w:r>
            <w:r w:rsidRPr="00EB5493">
              <w:rPr>
                <w:sz w:val="18"/>
              </w:rPr>
              <w:t>no total)</w:t>
            </w:r>
          </w:p>
        </w:tc>
        <w:tc>
          <w:tcPr>
            <w:tcW w:w="1512" w:type="dxa"/>
          </w:tcPr>
          <w:p w14:paraId="0C5B4192" w14:textId="77777777" w:rsidR="00E77A30" w:rsidRPr="00EB5493" w:rsidRDefault="00E77A30" w:rsidP="00B078F5">
            <w:pPr>
              <w:jc w:val="right"/>
              <w:rPr>
                <w:sz w:val="18"/>
              </w:rPr>
            </w:pPr>
            <w:r w:rsidRPr="00EB5493">
              <w:rPr>
                <w:sz w:val="18"/>
              </w:rPr>
              <w:t>88%</w:t>
            </w:r>
          </w:p>
        </w:tc>
        <w:tc>
          <w:tcPr>
            <w:tcW w:w="2795" w:type="dxa"/>
          </w:tcPr>
          <w:p w14:paraId="23EF43CD" w14:textId="77777777" w:rsidR="00E77A30" w:rsidRPr="00EB5493" w:rsidRDefault="00E77A30" w:rsidP="00B078F5">
            <w:pPr>
              <w:rPr>
                <w:sz w:val="18"/>
              </w:rPr>
            </w:pPr>
            <w:r w:rsidRPr="00EB5493">
              <w:rPr>
                <w:sz w:val="18"/>
              </w:rPr>
              <w:t>This is not correct, double counting disclosures.</w:t>
            </w:r>
          </w:p>
        </w:tc>
      </w:tr>
      <w:tr w:rsidR="00E77A30" w:rsidRPr="00EB5493" w14:paraId="77598160" w14:textId="77777777" w:rsidTr="00B21DD5">
        <w:tc>
          <w:tcPr>
            <w:tcW w:w="4351" w:type="dxa"/>
          </w:tcPr>
          <w:p w14:paraId="44C9CED6" w14:textId="77777777" w:rsidR="00E77A30" w:rsidRPr="00EB5493" w:rsidRDefault="00E77A30" w:rsidP="00B078F5">
            <w:pPr>
              <w:rPr>
                <w:sz w:val="18"/>
              </w:rPr>
            </w:pPr>
            <w:r w:rsidRPr="00EB5493">
              <w:rPr>
                <w:sz w:val="18"/>
              </w:rPr>
              <w:t>Reconciliation of statutory tax rate to effective rate (percent or amount)</w:t>
            </w:r>
          </w:p>
        </w:tc>
        <w:tc>
          <w:tcPr>
            <w:tcW w:w="1512" w:type="dxa"/>
          </w:tcPr>
          <w:p w14:paraId="0D10C4A8" w14:textId="77777777" w:rsidR="00E77A30" w:rsidRPr="00EB5493" w:rsidRDefault="00E77A30" w:rsidP="00B078F5">
            <w:pPr>
              <w:jc w:val="right"/>
              <w:rPr>
                <w:sz w:val="18"/>
              </w:rPr>
            </w:pPr>
            <w:r w:rsidRPr="00EB5493">
              <w:rPr>
                <w:sz w:val="18"/>
              </w:rPr>
              <w:t>85%</w:t>
            </w:r>
          </w:p>
        </w:tc>
        <w:tc>
          <w:tcPr>
            <w:tcW w:w="2795" w:type="dxa"/>
          </w:tcPr>
          <w:p w14:paraId="57551D7F" w14:textId="77777777" w:rsidR="00E77A30" w:rsidRPr="00EB5493" w:rsidRDefault="00E77A30" w:rsidP="00B078F5">
            <w:pPr>
              <w:rPr>
                <w:sz w:val="18"/>
              </w:rPr>
            </w:pPr>
            <w:r w:rsidRPr="00EB5493">
              <w:rPr>
                <w:sz w:val="18"/>
              </w:rPr>
              <w:t>Currently covers both percent approach and amount approach, need to separate perhaps</w:t>
            </w:r>
          </w:p>
        </w:tc>
      </w:tr>
      <w:tr w:rsidR="00E77A30" w:rsidRPr="00EB5493" w14:paraId="02C13006" w14:textId="77777777" w:rsidTr="00B21DD5">
        <w:tc>
          <w:tcPr>
            <w:tcW w:w="4351" w:type="dxa"/>
          </w:tcPr>
          <w:p w14:paraId="3FC543D3" w14:textId="77777777" w:rsidR="00E77A30" w:rsidRPr="00EB5493" w:rsidRDefault="00E77A30" w:rsidP="00B078F5">
            <w:pPr>
              <w:rPr>
                <w:sz w:val="18"/>
              </w:rPr>
            </w:pPr>
            <w:r w:rsidRPr="00EB5493">
              <w:rPr>
                <w:sz w:val="18"/>
              </w:rPr>
              <w:t>Restructuring reserve roll forward</w:t>
            </w:r>
          </w:p>
        </w:tc>
        <w:tc>
          <w:tcPr>
            <w:tcW w:w="1512" w:type="dxa"/>
          </w:tcPr>
          <w:p w14:paraId="0DC7CA8D" w14:textId="77777777" w:rsidR="00E77A30" w:rsidRPr="00EB5493" w:rsidRDefault="00E77A30" w:rsidP="00B078F5">
            <w:pPr>
              <w:jc w:val="right"/>
              <w:rPr>
                <w:sz w:val="18"/>
              </w:rPr>
            </w:pPr>
            <w:r w:rsidRPr="00EB5493">
              <w:rPr>
                <w:sz w:val="18"/>
              </w:rPr>
              <w:t>93%</w:t>
            </w:r>
          </w:p>
        </w:tc>
        <w:tc>
          <w:tcPr>
            <w:tcW w:w="2795" w:type="dxa"/>
          </w:tcPr>
          <w:p w14:paraId="44B22EFB" w14:textId="77777777" w:rsidR="00E77A30" w:rsidRPr="00EB5493" w:rsidRDefault="00E77A30" w:rsidP="00B078F5">
            <w:pPr>
              <w:rPr>
                <w:sz w:val="18"/>
              </w:rPr>
            </w:pPr>
          </w:p>
        </w:tc>
      </w:tr>
      <w:tr w:rsidR="00E77A30" w:rsidRPr="00EB5493" w14:paraId="597B99A7" w14:textId="77777777" w:rsidTr="00B21DD5">
        <w:tc>
          <w:tcPr>
            <w:tcW w:w="4351" w:type="dxa"/>
          </w:tcPr>
          <w:p w14:paraId="485C0BAE" w14:textId="77777777" w:rsidR="00E77A30" w:rsidRPr="00EB5493" w:rsidRDefault="00E77A30" w:rsidP="00B078F5">
            <w:pPr>
              <w:rPr>
                <w:sz w:val="18"/>
              </w:rPr>
            </w:pPr>
            <w:r w:rsidRPr="00EB5493">
              <w:rPr>
                <w:sz w:val="18"/>
              </w:rPr>
              <w:t>Earnings per share summary</w:t>
            </w:r>
          </w:p>
        </w:tc>
        <w:tc>
          <w:tcPr>
            <w:tcW w:w="1512" w:type="dxa"/>
          </w:tcPr>
          <w:p w14:paraId="0E38E038" w14:textId="77777777" w:rsidR="00E77A30" w:rsidRPr="00EB5493" w:rsidRDefault="00E77A30" w:rsidP="00B078F5">
            <w:pPr>
              <w:jc w:val="right"/>
              <w:rPr>
                <w:sz w:val="18"/>
              </w:rPr>
            </w:pPr>
            <w:r w:rsidRPr="00EB5493">
              <w:rPr>
                <w:sz w:val="18"/>
              </w:rPr>
              <w:t>59%</w:t>
            </w:r>
          </w:p>
        </w:tc>
        <w:tc>
          <w:tcPr>
            <w:tcW w:w="2795" w:type="dxa"/>
          </w:tcPr>
          <w:p w14:paraId="36FE6BD5" w14:textId="77777777" w:rsidR="00E77A30" w:rsidRPr="00EB5493" w:rsidRDefault="00E77A30" w:rsidP="00B078F5">
            <w:pPr>
              <w:rPr>
                <w:sz w:val="18"/>
              </w:rPr>
            </w:pPr>
          </w:p>
        </w:tc>
      </w:tr>
      <w:tr w:rsidR="00E77A30" w:rsidRPr="00EB5493" w14:paraId="29C14964" w14:textId="77777777" w:rsidTr="00B21DD5">
        <w:tc>
          <w:tcPr>
            <w:tcW w:w="4351" w:type="dxa"/>
          </w:tcPr>
          <w:p w14:paraId="75C27C3F" w14:textId="77777777" w:rsidR="00E77A30" w:rsidRPr="00EB5493" w:rsidRDefault="00E77A30" w:rsidP="00B078F5">
            <w:pPr>
              <w:rPr>
                <w:sz w:val="18"/>
              </w:rPr>
            </w:pPr>
            <w:r w:rsidRPr="00EB5493">
              <w:rPr>
                <w:sz w:val="18"/>
              </w:rPr>
              <w:t>Share-based compensation roll forward (one of many, need more detail)</w:t>
            </w:r>
          </w:p>
        </w:tc>
        <w:tc>
          <w:tcPr>
            <w:tcW w:w="1512" w:type="dxa"/>
          </w:tcPr>
          <w:p w14:paraId="41258242" w14:textId="77777777" w:rsidR="00E77A30" w:rsidRPr="00EB5493" w:rsidRDefault="00E77A30" w:rsidP="00B078F5">
            <w:pPr>
              <w:jc w:val="right"/>
              <w:rPr>
                <w:sz w:val="18"/>
              </w:rPr>
            </w:pPr>
            <w:r>
              <w:rPr>
                <w:sz w:val="18"/>
              </w:rPr>
              <w:t>80</w:t>
            </w:r>
            <w:r w:rsidRPr="00EB5493">
              <w:rPr>
                <w:sz w:val="18"/>
              </w:rPr>
              <w:t>%</w:t>
            </w:r>
          </w:p>
        </w:tc>
        <w:tc>
          <w:tcPr>
            <w:tcW w:w="2795" w:type="dxa"/>
          </w:tcPr>
          <w:p w14:paraId="5703041A" w14:textId="77777777" w:rsidR="00E77A30" w:rsidRPr="00EB5493" w:rsidRDefault="00E77A30" w:rsidP="00B078F5">
            <w:pPr>
              <w:rPr>
                <w:sz w:val="18"/>
              </w:rPr>
            </w:pPr>
          </w:p>
        </w:tc>
      </w:tr>
      <w:tr w:rsidR="00E77A30" w:rsidRPr="00EB5493" w14:paraId="7BA9BA25" w14:textId="77777777" w:rsidTr="00B21DD5">
        <w:tc>
          <w:tcPr>
            <w:tcW w:w="4351" w:type="dxa"/>
          </w:tcPr>
          <w:p w14:paraId="7729430A" w14:textId="77777777" w:rsidR="00E77A30" w:rsidRPr="00EB5493" w:rsidRDefault="00E77A30" w:rsidP="00B078F5">
            <w:pPr>
              <w:rPr>
                <w:sz w:val="18"/>
              </w:rPr>
            </w:pPr>
            <w:r w:rsidRPr="00EB5493">
              <w:rPr>
                <w:sz w:val="18"/>
              </w:rPr>
              <w:t>Share-based compensation award assumptions</w:t>
            </w:r>
          </w:p>
        </w:tc>
        <w:tc>
          <w:tcPr>
            <w:tcW w:w="1512" w:type="dxa"/>
          </w:tcPr>
          <w:p w14:paraId="04FDBBF1" w14:textId="77777777" w:rsidR="00E77A30" w:rsidRPr="00EB5493" w:rsidRDefault="00E77A30" w:rsidP="00B078F5">
            <w:pPr>
              <w:jc w:val="right"/>
              <w:rPr>
                <w:sz w:val="18"/>
              </w:rPr>
            </w:pPr>
            <w:r w:rsidRPr="00EB5493">
              <w:rPr>
                <w:sz w:val="18"/>
              </w:rPr>
              <w:t>82%</w:t>
            </w:r>
          </w:p>
        </w:tc>
        <w:tc>
          <w:tcPr>
            <w:tcW w:w="2795" w:type="dxa"/>
          </w:tcPr>
          <w:p w14:paraId="151FAFD8" w14:textId="77777777" w:rsidR="00E77A30" w:rsidRPr="00EB5493" w:rsidRDefault="00E77A30" w:rsidP="00B078F5">
            <w:pPr>
              <w:rPr>
                <w:sz w:val="18"/>
              </w:rPr>
            </w:pPr>
          </w:p>
        </w:tc>
      </w:tr>
      <w:tr w:rsidR="00E77A30" w:rsidRPr="00EB5493" w14:paraId="6085D595" w14:textId="77777777" w:rsidTr="00B21DD5">
        <w:tc>
          <w:tcPr>
            <w:tcW w:w="4351" w:type="dxa"/>
          </w:tcPr>
          <w:p w14:paraId="395724FD" w14:textId="77777777" w:rsidR="00E77A30" w:rsidRPr="00EB5493" w:rsidRDefault="00E77A30" w:rsidP="00B078F5">
            <w:pPr>
              <w:rPr>
                <w:sz w:val="18"/>
              </w:rPr>
            </w:pPr>
            <w:r w:rsidRPr="00EB5493">
              <w:rPr>
                <w:sz w:val="18"/>
              </w:rPr>
              <w:t>Long-lived assets by geographic area</w:t>
            </w:r>
          </w:p>
        </w:tc>
        <w:tc>
          <w:tcPr>
            <w:tcW w:w="1512" w:type="dxa"/>
          </w:tcPr>
          <w:p w14:paraId="5F32C803" w14:textId="77777777" w:rsidR="00E77A30" w:rsidRPr="00EB5493" w:rsidRDefault="00E77A30" w:rsidP="00B078F5">
            <w:pPr>
              <w:jc w:val="right"/>
              <w:rPr>
                <w:sz w:val="18"/>
              </w:rPr>
            </w:pPr>
            <w:r w:rsidRPr="00EB5493">
              <w:rPr>
                <w:sz w:val="18"/>
              </w:rPr>
              <w:t>8</w:t>
            </w:r>
            <w:r>
              <w:rPr>
                <w:sz w:val="18"/>
              </w:rPr>
              <w:t>7</w:t>
            </w:r>
            <w:r w:rsidRPr="00EB5493">
              <w:rPr>
                <w:sz w:val="18"/>
              </w:rPr>
              <w:t>%</w:t>
            </w:r>
          </w:p>
        </w:tc>
        <w:tc>
          <w:tcPr>
            <w:tcW w:w="2795" w:type="dxa"/>
          </w:tcPr>
          <w:p w14:paraId="3A300D95" w14:textId="77777777" w:rsidR="00E77A30" w:rsidRPr="00EB5493" w:rsidRDefault="00E77A30" w:rsidP="00B078F5">
            <w:pPr>
              <w:rPr>
                <w:sz w:val="18"/>
              </w:rPr>
            </w:pPr>
          </w:p>
        </w:tc>
      </w:tr>
      <w:tr w:rsidR="00E77A30" w:rsidRPr="00EB5493" w14:paraId="66D0798F" w14:textId="77777777" w:rsidTr="00B21DD5">
        <w:tc>
          <w:tcPr>
            <w:tcW w:w="4351" w:type="dxa"/>
          </w:tcPr>
          <w:p w14:paraId="095FA7C6" w14:textId="77777777" w:rsidR="00E77A30" w:rsidRPr="00EB5493" w:rsidRDefault="00E77A30" w:rsidP="00B078F5">
            <w:pPr>
              <w:rPr>
                <w:sz w:val="18"/>
              </w:rPr>
            </w:pPr>
            <w:r w:rsidRPr="00EB5493">
              <w:rPr>
                <w:sz w:val="18"/>
              </w:rPr>
              <w:t>Revenues from external customers by geographic area</w:t>
            </w:r>
          </w:p>
        </w:tc>
        <w:tc>
          <w:tcPr>
            <w:tcW w:w="1512" w:type="dxa"/>
          </w:tcPr>
          <w:p w14:paraId="35B406F6" w14:textId="77777777" w:rsidR="00E77A30" w:rsidRPr="00EB5493" w:rsidRDefault="00E77A30" w:rsidP="00B078F5">
            <w:pPr>
              <w:jc w:val="right"/>
              <w:rPr>
                <w:sz w:val="18"/>
              </w:rPr>
            </w:pPr>
            <w:r w:rsidRPr="00EB5493">
              <w:rPr>
                <w:sz w:val="18"/>
              </w:rPr>
              <w:t>100%</w:t>
            </w:r>
          </w:p>
        </w:tc>
        <w:tc>
          <w:tcPr>
            <w:tcW w:w="2795" w:type="dxa"/>
          </w:tcPr>
          <w:p w14:paraId="567BCF67" w14:textId="77777777" w:rsidR="00E77A30" w:rsidRPr="00EB5493" w:rsidRDefault="00E77A30" w:rsidP="00B078F5">
            <w:pPr>
              <w:rPr>
                <w:sz w:val="18"/>
              </w:rPr>
            </w:pPr>
          </w:p>
        </w:tc>
      </w:tr>
      <w:tr w:rsidR="00E77A30" w:rsidRPr="00EB5493" w14:paraId="5D2A054C" w14:textId="77777777" w:rsidTr="00B21DD5">
        <w:tc>
          <w:tcPr>
            <w:tcW w:w="4351" w:type="dxa"/>
          </w:tcPr>
          <w:p w14:paraId="66D4464D" w14:textId="77777777" w:rsidR="00E77A30" w:rsidRPr="00EB5493" w:rsidRDefault="00E77A30" w:rsidP="00B078F5">
            <w:pPr>
              <w:rPr>
                <w:sz w:val="18"/>
              </w:rPr>
            </w:pPr>
            <w:r>
              <w:rPr>
                <w:sz w:val="18"/>
              </w:rPr>
              <w:t>Property, plant and equipment estimated useful lives</w:t>
            </w:r>
          </w:p>
        </w:tc>
        <w:tc>
          <w:tcPr>
            <w:tcW w:w="1512" w:type="dxa"/>
          </w:tcPr>
          <w:p w14:paraId="7899F2A1" w14:textId="77777777" w:rsidR="00E77A30" w:rsidRPr="00EB5493" w:rsidRDefault="00E77A30" w:rsidP="00B078F5">
            <w:pPr>
              <w:jc w:val="right"/>
              <w:rPr>
                <w:sz w:val="18"/>
              </w:rPr>
            </w:pPr>
            <w:r>
              <w:rPr>
                <w:sz w:val="18"/>
              </w:rPr>
              <w:t>78%</w:t>
            </w:r>
          </w:p>
        </w:tc>
        <w:tc>
          <w:tcPr>
            <w:tcW w:w="2795" w:type="dxa"/>
          </w:tcPr>
          <w:p w14:paraId="44FDF197" w14:textId="77777777" w:rsidR="00E77A30" w:rsidRPr="00EB5493" w:rsidRDefault="00E77A30" w:rsidP="00B078F5">
            <w:pPr>
              <w:rPr>
                <w:sz w:val="18"/>
              </w:rPr>
            </w:pPr>
          </w:p>
        </w:tc>
      </w:tr>
      <w:tr w:rsidR="00E77A30" w:rsidRPr="00EB5493" w14:paraId="43E24936" w14:textId="77777777" w:rsidTr="00B21DD5">
        <w:tc>
          <w:tcPr>
            <w:tcW w:w="4351" w:type="dxa"/>
          </w:tcPr>
          <w:p w14:paraId="301A0D7A" w14:textId="77777777" w:rsidR="00E77A30" w:rsidRDefault="00E77A30" w:rsidP="00B078F5">
            <w:pPr>
              <w:rPr>
                <w:sz w:val="18"/>
              </w:rPr>
            </w:pPr>
            <w:r w:rsidRPr="00B83495">
              <w:rPr>
                <w:sz w:val="18"/>
              </w:rPr>
              <w:t>Finite-lived intangible assets estimated useful lives</w:t>
            </w:r>
          </w:p>
        </w:tc>
        <w:tc>
          <w:tcPr>
            <w:tcW w:w="1512" w:type="dxa"/>
          </w:tcPr>
          <w:p w14:paraId="7283C521" w14:textId="77777777" w:rsidR="00E77A30" w:rsidRDefault="00E77A30" w:rsidP="00B078F5">
            <w:pPr>
              <w:jc w:val="right"/>
              <w:rPr>
                <w:sz w:val="18"/>
              </w:rPr>
            </w:pPr>
            <w:r>
              <w:rPr>
                <w:sz w:val="18"/>
              </w:rPr>
              <w:t>73%</w:t>
            </w:r>
          </w:p>
        </w:tc>
        <w:tc>
          <w:tcPr>
            <w:tcW w:w="2795" w:type="dxa"/>
          </w:tcPr>
          <w:p w14:paraId="442E6B97" w14:textId="77777777" w:rsidR="00E77A30" w:rsidRPr="00EB5493" w:rsidRDefault="00E77A30" w:rsidP="00B078F5">
            <w:pPr>
              <w:rPr>
                <w:sz w:val="18"/>
              </w:rPr>
            </w:pPr>
          </w:p>
        </w:tc>
      </w:tr>
      <w:tr w:rsidR="00E77A30" w:rsidRPr="00EB5493" w14:paraId="2B3D11D7" w14:textId="77777777" w:rsidTr="00B21DD5">
        <w:tc>
          <w:tcPr>
            <w:tcW w:w="4351" w:type="dxa"/>
          </w:tcPr>
          <w:p w14:paraId="5B1F6FC9" w14:textId="77777777" w:rsidR="00E77A30" w:rsidRPr="00B83495" w:rsidRDefault="00E77A30" w:rsidP="00B078F5">
            <w:pPr>
              <w:rPr>
                <w:sz w:val="18"/>
              </w:rPr>
            </w:pPr>
            <w:r w:rsidRPr="00B83495">
              <w:rPr>
                <w:sz w:val="18"/>
              </w:rPr>
              <w:t>Unrecognized tax positions roll forward</w:t>
            </w:r>
          </w:p>
        </w:tc>
        <w:tc>
          <w:tcPr>
            <w:tcW w:w="1512" w:type="dxa"/>
          </w:tcPr>
          <w:p w14:paraId="601063AF" w14:textId="77777777" w:rsidR="00E77A30" w:rsidRDefault="00E77A30" w:rsidP="00B078F5">
            <w:pPr>
              <w:jc w:val="right"/>
              <w:rPr>
                <w:sz w:val="18"/>
              </w:rPr>
            </w:pPr>
            <w:r>
              <w:rPr>
                <w:sz w:val="18"/>
              </w:rPr>
              <w:t>65%</w:t>
            </w:r>
          </w:p>
        </w:tc>
        <w:tc>
          <w:tcPr>
            <w:tcW w:w="2795" w:type="dxa"/>
          </w:tcPr>
          <w:p w14:paraId="6FCD1F77" w14:textId="77777777" w:rsidR="00E77A30" w:rsidRPr="00EB5493" w:rsidRDefault="00E77A30" w:rsidP="00B078F5">
            <w:pPr>
              <w:rPr>
                <w:sz w:val="18"/>
              </w:rPr>
            </w:pPr>
          </w:p>
        </w:tc>
      </w:tr>
      <w:tr w:rsidR="00E77A30" w:rsidRPr="00EB5493" w14:paraId="6B6C320C" w14:textId="77777777" w:rsidTr="00B21DD5">
        <w:tc>
          <w:tcPr>
            <w:tcW w:w="4351" w:type="dxa"/>
          </w:tcPr>
          <w:p w14:paraId="60E23773" w14:textId="77777777" w:rsidR="00E77A30" w:rsidRPr="00B83495" w:rsidRDefault="00E77A30" w:rsidP="00B078F5">
            <w:pPr>
              <w:rPr>
                <w:sz w:val="18"/>
              </w:rPr>
            </w:pPr>
            <w:r w:rsidRPr="00B83495">
              <w:rPr>
                <w:sz w:val="18"/>
              </w:rPr>
              <w:t>Restructuring reserve roll forward</w:t>
            </w:r>
          </w:p>
        </w:tc>
        <w:tc>
          <w:tcPr>
            <w:tcW w:w="1512" w:type="dxa"/>
          </w:tcPr>
          <w:p w14:paraId="61762884" w14:textId="77777777" w:rsidR="00E77A30" w:rsidRDefault="00E77A30" w:rsidP="00B078F5">
            <w:pPr>
              <w:jc w:val="right"/>
              <w:rPr>
                <w:sz w:val="18"/>
              </w:rPr>
            </w:pPr>
            <w:r>
              <w:rPr>
                <w:sz w:val="18"/>
              </w:rPr>
              <w:t>94%</w:t>
            </w:r>
          </w:p>
        </w:tc>
        <w:tc>
          <w:tcPr>
            <w:tcW w:w="2795" w:type="dxa"/>
          </w:tcPr>
          <w:p w14:paraId="0CFD45D2" w14:textId="77777777" w:rsidR="00E77A30" w:rsidRPr="00EB5493" w:rsidRDefault="00E77A30" w:rsidP="00B078F5">
            <w:pPr>
              <w:rPr>
                <w:sz w:val="18"/>
              </w:rPr>
            </w:pPr>
          </w:p>
        </w:tc>
      </w:tr>
      <w:tr w:rsidR="00E77A30" w:rsidRPr="00EB5493" w14:paraId="7512E2D6" w14:textId="77777777" w:rsidTr="00B21DD5">
        <w:tc>
          <w:tcPr>
            <w:tcW w:w="4351" w:type="dxa"/>
          </w:tcPr>
          <w:p w14:paraId="30C8EF5F" w14:textId="77777777" w:rsidR="00E77A30" w:rsidRPr="00B83495" w:rsidRDefault="00E77A30" w:rsidP="00B078F5">
            <w:pPr>
              <w:rPr>
                <w:sz w:val="18"/>
              </w:rPr>
            </w:pPr>
            <w:r w:rsidRPr="00B83495">
              <w:rPr>
                <w:sz w:val="18"/>
              </w:rPr>
              <w:t>Accumulated other comprehensive income roll forward</w:t>
            </w:r>
          </w:p>
        </w:tc>
        <w:tc>
          <w:tcPr>
            <w:tcW w:w="1512" w:type="dxa"/>
          </w:tcPr>
          <w:p w14:paraId="2793D07A" w14:textId="77777777" w:rsidR="00E77A30" w:rsidRDefault="00E77A30" w:rsidP="00B078F5">
            <w:pPr>
              <w:jc w:val="right"/>
              <w:rPr>
                <w:sz w:val="18"/>
              </w:rPr>
            </w:pPr>
            <w:r>
              <w:rPr>
                <w:sz w:val="18"/>
              </w:rPr>
              <w:t>68%</w:t>
            </w:r>
          </w:p>
        </w:tc>
        <w:tc>
          <w:tcPr>
            <w:tcW w:w="2795" w:type="dxa"/>
          </w:tcPr>
          <w:p w14:paraId="6CB19E4D" w14:textId="77777777" w:rsidR="00E77A30" w:rsidRPr="00EB5493" w:rsidRDefault="00E77A30" w:rsidP="00B078F5">
            <w:pPr>
              <w:rPr>
                <w:sz w:val="18"/>
              </w:rPr>
            </w:pPr>
          </w:p>
        </w:tc>
      </w:tr>
      <w:tr w:rsidR="00E77A30" w:rsidRPr="00EB5493" w14:paraId="7D4C58B7" w14:textId="77777777" w:rsidTr="00B21DD5">
        <w:tc>
          <w:tcPr>
            <w:tcW w:w="4351" w:type="dxa"/>
          </w:tcPr>
          <w:p w14:paraId="7095171D" w14:textId="77777777" w:rsidR="00E77A30" w:rsidRPr="00B83495" w:rsidRDefault="00E77A30" w:rsidP="00B078F5">
            <w:pPr>
              <w:rPr>
                <w:sz w:val="18"/>
              </w:rPr>
            </w:pPr>
            <w:r w:rsidRPr="00B83495">
              <w:rPr>
                <w:sz w:val="18"/>
              </w:rPr>
              <w:t>Environmental exit costs roll forward</w:t>
            </w:r>
          </w:p>
        </w:tc>
        <w:tc>
          <w:tcPr>
            <w:tcW w:w="1512" w:type="dxa"/>
          </w:tcPr>
          <w:p w14:paraId="22A4989E" w14:textId="77777777" w:rsidR="00E77A30" w:rsidRDefault="00E77A30" w:rsidP="00B078F5">
            <w:pPr>
              <w:jc w:val="right"/>
              <w:rPr>
                <w:sz w:val="18"/>
              </w:rPr>
            </w:pPr>
            <w:r>
              <w:rPr>
                <w:sz w:val="18"/>
              </w:rPr>
              <w:t>99%</w:t>
            </w:r>
          </w:p>
        </w:tc>
        <w:tc>
          <w:tcPr>
            <w:tcW w:w="2795" w:type="dxa"/>
          </w:tcPr>
          <w:p w14:paraId="1F7F9A3A" w14:textId="77777777" w:rsidR="00E77A30" w:rsidRPr="00EB5493" w:rsidRDefault="00E77A30" w:rsidP="00B078F5">
            <w:pPr>
              <w:rPr>
                <w:sz w:val="18"/>
              </w:rPr>
            </w:pPr>
          </w:p>
        </w:tc>
      </w:tr>
      <w:tr w:rsidR="00E77A30" w:rsidRPr="00EB5493" w14:paraId="087AFA76" w14:textId="77777777" w:rsidTr="00B21DD5">
        <w:tc>
          <w:tcPr>
            <w:tcW w:w="4351" w:type="dxa"/>
          </w:tcPr>
          <w:p w14:paraId="74F466C7" w14:textId="77777777" w:rsidR="00E77A30" w:rsidRPr="00B83495" w:rsidRDefault="00E77A30" w:rsidP="00B078F5">
            <w:pPr>
              <w:rPr>
                <w:sz w:val="18"/>
              </w:rPr>
            </w:pPr>
            <w:r w:rsidRPr="009C3339">
              <w:rPr>
                <w:sz w:val="18"/>
              </w:rPr>
              <w:t>Extended product warranty reserve roll forward</w:t>
            </w:r>
          </w:p>
        </w:tc>
        <w:tc>
          <w:tcPr>
            <w:tcW w:w="1512" w:type="dxa"/>
          </w:tcPr>
          <w:p w14:paraId="5F17DBB3" w14:textId="77777777" w:rsidR="00E77A30" w:rsidRDefault="00E77A30" w:rsidP="00B078F5">
            <w:pPr>
              <w:jc w:val="right"/>
              <w:rPr>
                <w:sz w:val="18"/>
              </w:rPr>
            </w:pPr>
            <w:r>
              <w:rPr>
                <w:sz w:val="18"/>
              </w:rPr>
              <w:t>100%</w:t>
            </w:r>
          </w:p>
        </w:tc>
        <w:tc>
          <w:tcPr>
            <w:tcW w:w="2795" w:type="dxa"/>
          </w:tcPr>
          <w:p w14:paraId="31544229" w14:textId="77777777" w:rsidR="00E77A30" w:rsidRPr="00EB5493" w:rsidRDefault="00E77A30" w:rsidP="00B078F5">
            <w:pPr>
              <w:rPr>
                <w:sz w:val="18"/>
              </w:rPr>
            </w:pPr>
          </w:p>
        </w:tc>
      </w:tr>
      <w:tr w:rsidR="00E77A30" w:rsidRPr="00EB5493" w14:paraId="34C05DBF" w14:textId="77777777" w:rsidTr="00B21DD5">
        <w:tc>
          <w:tcPr>
            <w:tcW w:w="4351" w:type="dxa"/>
          </w:tcPr>
          <w:p w14:paraId="70E732FE" w14:textId="77777777" w:rsidR="00E77A30" w:rsidRPr="009C3339" w:rsidRDefault="00E77A30" w:rsidP="00B078F5">
            <w:pPr>
              <w:rPr>
                <w:sz w:val="18"/>
              </w:rPr>
            </w:pPr>
            <w:r w:rsidRPr="009C3339">
              <w:rPr>
                <w:sz w:val="18"/>
              </w:rPr>
              <w:t>Benefit obligation roll forward</w:t>
            </w:r>
          </w:p>
        </w:tc>
        <w:tc>
          <w:tcPr>
            <w:tcW w:w="1512" w:type="dxa"/>
          </w:tcPr>
          <w:p w14:paraId="709C27F7" w14:textId="77777777" w:rsidR="00E77A30" w:rsidRDefault="00E77A30" w:rsidP="00B078F5">
            <w:pPr>
              <w:jc w:val="right"/>
              <w:rPr>
                <w:sz w:val="18"/>
              </w:rPr>
            </w:pPr>
            <w:r>
              <w:rPr>
                <w:sz w:val="18"/>
              </w:rPr>
              <w:t>84%</w:t>
            </w:r>
          </w:p>
        </w:tc>
        <w:tc>
          <w:tcPr>
            <w:tcW w:w="2795" w:type="dxa"/>
          </w:tcPr>
          <w:p w14:paraId="31B62BF0" w14:textId="77777777" w:rsidR="00E77A30" w:rsidRPr="00EB5493" w:rsidRDefault="00E77A30" w:rsidP="00B078F5">
            <w:pPr>
              <w:rPr>
                <w:sz w:val="18"/>
              </w:rPr>
            </w:pPr>
          </w:p>
        </w:tc>
      </w:tr>
      <w:tr w:rsidR="00E77A30" w:rsidRPr="00EB5493" w14:paraId="79954F60" w14:textId="77777777" w:rsidTr="00B21DD5">
        <w:tc>
          <w:tcPr>
            <w:tcW w:w="4351" w:type="dxa"/>
          </w:tcPr>
          <w:p w14:paraId="52D92DC5" w14:textId="77777777" w:rsidR="00E77A30" w:rsidRPr="009C3339" w:rsidRDefault="00E77A30" w:rsidP="00B078F5">
            <w:pPr>
              <w:rPr>
                <w:sz w:val="18"/>
              </w:rPr>
            </w:pPr>
            <w:r>
              <w:rPr>
                <w:sz w:val="18"/>
              </w:rPr>
              <w:t>Net periodic benefit costs</w:t>
            </w:r>
          </w:p>
        </w:tc>
        <w:tc>
          <w:tcPr>
            <w:tcW w:w="1512" w:type="dxa"/>
          </w:tcPr>
          <w:p w14:paraId="70BDC00C" w14:textId="77777777" w:rsidR="00E77A30" w:rsidRDefault="00E77A30" w:rsidP="00B078F5">
            <w:pPr>
              <w:jc w:val="right"/>
              <w:rPr>
                <w:sz w:val="18"/>
              </w:rPr>
            </w:pPr>
            <w:r>
              <w:rPr>
                <w:sz w:val="18"/>
              </w:rPr>
              <w:t>94%</w:t>
            </w:r>
          </w:p>
        </w:tc>
        <w:tc>
          <w:tcPr>
            <w:tcW w:w="2795" w:type="dxa"/>
          </w:tcPr>
          <w:p w14:paraId="3A7D7243" w14:textId="77777777" w:rsidR="00E77A30" w:rsidRPr="00EB5493" w:rsidRDefault="00E77A30" w:rsidP="00B078F5">
            <w:pPr>
              <w:rPr>
                <w:sz w:val="18"/>
              </w:rPr>
            </w:pPr>
          </w:p>
        </w:tc>
      </w:tr>
      <w:tr w:rsidR="00E77A30" w:rsidRPr="00EB5493" w14:paraId="690ACDCE" w14:textId="77777777" w:rsidTr="00B21DD5">
        <w:tc>
          <w:tcPr>
            <w:tcW w:w="4351" w:type="dxa"/>
          </w:tcPr>
          <w:p w14:paraId="70130A50" w14:textId="77777777" w:rsidR="00E77A30" w:rsidRDefault="00E77A30" w:rsidP="00B078F5">
            <w:pPr>
              <w:rPr>
                <w:sz w:val="18"/>
              </w:rPr>
            </w:pPr>
            <w:r w:rsidRPr="009C3339">
              <w:rPr>
                <w:sz w:val="18"/>
              </w:rPr>
              <w:t>Allocation of plan assets</w:t>
            </w:r>
          </w:p>
        </w:tc>
        <w:tc>
          <w:tcPr>
            <w:tcW w:w="1512" w:type="dxa"/>
          </w:tcPr>
          <w:p w14:paraId="257F8365" w14:textId="77777777" w:rsidR="00E77A30" w:rsidRDefault="00E77A30" w:rsidP="00B078F5">
            <w:pPr>
              <w:jc w:val="right"/>
              <w:rPr>
                <w:sz w:val="18"/>
              </w:rPr>
            </w:pPr>
            <w:r>
              <w:rPr>
                <w:sz w:val="18"/>
              </w:rPr>
              <w:t>93%</w:t>
            </w:r>
          </w:p>
        </w:tc>
        <w:tc>
          <w:tcPr>
            <w:tcW w:w="2795" w:type="dxa"/>
          </w:tcPr>
          <w:p w14:paraId="27E07590" w14:textId="77777777" w:rsidR="00E77A30" w:rsidRPr="00EB5493" w:rsidRDefault="00E77A30" w:rsidP="00B078F5">
            <w:pPr>
              <w:rPr>
                <w:sz w:val="18"/>
              </w:rPr>
            </w:pPr>
          </w:p>
        </w:tc>
      </w:tr>
      <w:tr w:rsidR="00E77A30" w:rsidRPr="00EB5493" w14:paraId="6343DF55" w14:textId="77777777" w:rsidTr="00B21DD5">
        <w:tc>
          <w:tcPr>
            <w:tcW w:w="4351" w:type="dxa"/>
          </w:tcPr>
          <w:p w14:paraId="5E865663" w14:textId="77777777" w:rsidR="00E77A30" w:rsidRPr="009C3339" w:rsidRDefault="00E77A30" w:rsidP="00B078F5">
            <w:pPr>
              <w:rPr>
                <w:sz w:val="18"/>
              </w:rPr>
            </w:pPr>
            <w:r w:rsidRPr="009C3339">
              <w:rPr>
                <w:sz w:val="18"/>
              </w:rPr>
              <w:t>Fair value assets measured on recurring basis, unobservable input reconciliation</w:t>
            </w:r>
          </w:p>
        </w:tc>
        <w:tc>
          <w:tcPr>
            <w:tcW w:w="1512" w:type="dxa"/>
          </w:tcPr>
          <w:p w14:paraId="62AD0C26" w14:textId="77777777" w:rsidR="00E77A30" w:rsidRDefault="00E77A30" w:rsidP="00B078F5">
            <w:pPr>
              <w:jc w:val="right"/>
              <w:rPr>
                <w:sz w:val="18"/>
              </w:rPr>
            </w:pPr>
            <w:r>
              <w:rPr>
                <w:sz w:val="18"/>
              </w:rPr>
              <w:t>94%</w:t>
            </w:r>
          </w:p>
        </w:tc>
        <w:tc>
          <w:tcPr>
            <w:tcW w:w="2795" w:type="dxa"/>
          </w:tcPr>
          <w:p w14:paraId="23B7F522" w14:textId="77777777" w:rsidR="00E77A30" w:rsidRPr="00EB5493" w:rsidRDefault="00E77A30" w:rsidP="00B078F5">
            <w:pPr>
              <w:rPr>
                <w:sz w:val="18"/>
              </w:rPr>
            </w:pPr>
          </w:p>
        </w:tc>
      </w:tr>
      <w:tr w:rsidR="00E77A30" w:rsidRPr="00EB5493" w14:paraId="3BC79FEB" w14:textId="77777777" w:rsidTr="00B21DD5">
        <w:tc>
          <w:tcPr>
            <w:tcW w:w="4351" w:type="dxa"/>
          </w:tcPr>
          <w:p w14:paraId="3DDBB2BF" w14:textId="77777777" w:rsidR="00E77A30" w:rsidRPr="009C3339" w:rsidRDefault="00E77A30" w:rsidP="00B078F5">
            <w:pPr>
              <w:rPr>
                <w:sz w:val="18"/>
              </w:rPr>
            </w:pPr>
            <w:r w:rsidRPr="009C3339">
              <w:rPr>
                <w:sz w:val="18"/>
              </w:rPr>
              <w:t>Defined benefit plan assumptions used</w:t>
            </w:r>
          </w:p>
        </w:tc>
        <w:tc>
          <w:tcPr>
            <w:tcW w:w="1512" w:type="dxa"/>
          </w:tcPr>
          <w:p w14:paraId="30650E52" w14:textId="77777777" w:rsidR="00E77A30" w:rsidRDefault="00E77A30" w:rsidP="00B078F5">
            <w:pPr>
              <w:jc w:val="right"/>
              <w:rPr>
                <w:sz w:val="18"/>
              </w:rPr>
            </w:pPr>
            <w:r>
              <w:rPr>
                <w:sz w:val="18"/>
              </w:rPr>
              <w:t>92%</w:t>
            </w:r>
          </w:p>
        </w:tc>
        <w:tc>
          <w:tcPr>
            <w:tcW w:w="2795" w:type="dxa"/>
          </w:tcPr>
          <w:p w14:paraId="2FE33DD3" w14:textId="77777777" w:rsidR="00E77A30" w:rsidRPr="00EB5493" w:rsidRDefault="00E77A30" w:rsidP="00B078F5">
            <w:pPr>
              <w:rPr>
                <w:sz w:val="18"/>
              </w:rPr>
            </w:pPr>
          </w:p>
        </w:tc>
      </w:tr>
      <w:tr w:rsidR="00E77A30" w:rsidRPr="00EB5493" w14:paraId="73D72DD0" w14:textId="77777777" w:rsidTr="00B21DD5">
        <w:tc>
          <w:tcPr>
            <w:tcW w:w="4351" w:type="dxa"/>
          </w:tcPr>
          <w:p w14:paraId="744ED329" w14:textId="77777777" w:rsidR="00E77A30" w:rsidRPr="009C3339" w:rsidRDefault="00E77A30" w:rsidP="00B078F5">
            <w:pPr>
              <w:rPr>
                <w:sz w:val="18"/>
              </w:rPr>
            </w:pPr>
            <w:r>
              <w:rPr>
                <w:sz w:val="18"/>
              </w:rPr>
              <w:t>Income tax expense components</w:t>
            </w:r>
          </w:p>
        </w:tc>
        <w:tc>
          <w:tcPr>
            <w:tcW w:w="1512" w:type="dxa"/>
          </w:tcPr>
          <w:p w14:paraId="0F07AF1A" w14:textId="77777777" w:rsidR="00E77A30" w:rsidRDefault="00E77A30" w:rsidP="00B078F5">
            <w:pPr>
              <w:jc w:val="right"/>
              <w:rPr>
                <w:sz w:val="18"/>
              </w:rPr>
            </w:pPr>
            <w:r>
              <w:rPr>
                <w:sz w:val="18"/>
              </w:rPr>
              <w:t>80%</w:t>
            </w:r>
          </w:p>
        </w:tc>
        <w:tc>
          <w:tcPr>
            <w:tcW w:w="2795" w:type="dxa"/>
          </w:tcPr>
          <w:p w14:paraId="34D53ECE" w14:textId="77777777" w:rsidR="00E77A30" w:rsidRPr="00EB5493" w:rsidRDefault="00E77A30" w:rsidP="00B078F5">
            <w:pPr>
              <w:rPr>
                <w:sz w:val="18"/>
              </w:rPr>
            </w:pPr>
          </w:p>
        </w:tc>
      </w:tr>
      <w:tr w:rsidR="00E77A30" w:rsidRPr="00EB5493" w14:paraId="33DEEEDF" w14:textId="77777777" w:rsidTr="00B21DD5">
        <w:tc>
          <w:tcPr>
            <w:tcW w:w="4351" w:type="dxa"/>
          </w:tcPr>
          <w:p w14:paraId="15A9896C" w14:textId="77777777" w:rsidR="00E77A30" w:rsidRPr="009C3339" w:rsidRDefault="00E77A30" w:rsidP="00B078F5">
            <w:pPr>
              <w:rPr>
                <w:sz w:val="18"/>
              </w:rPr>
            </w:pPr>
            <w:r>
              <w:rPr>
                <w:sz w:val="18"/>
              </w:rPr>
              <w:t>Past due receivables</w:t>
            </w:r>
          </w:p>
        </w:tc>
        <w:tc>
          <w:tcPr>
            <w:tcW w:w="1512" w:type="dxa"/>
          </w:tcPr>
          <w:p w14:paraId="2409ABC2" w14:textId="77777777" w:rsidR="00E77A30" w:rsidRDefault="00E77A30" w:rsidP="00B078F5">
            <w:pPr>
              <w:jc w:val="right"/>
              <w:rPr>
                <w:sz w:val="18"/>
              </w:rPr>
            </w:pPr>
            <w:r>
              <w:rPr>
                <w:sz w:val="18"/>
              </w:rPr>
              <w:t>98%</w:t>
            </w:r>
          </w:p>
        </w:tc>
        <w:tc>
          <w:tcPr>
            <w:tcW w:w="2795" w:type="dxa"/>
          </w:tcPr>
          <w:p w14:paraId="220EFBCF" w14:textId="77777777" w:rsidR="00E77A30" w:rsidRPr="00EB5493" w:rsidRDefault="00E77A30" w:rsidP="00B078F5">
            <w:pPr>
              <w:rPr>
                <w:sz w:val="18"/>
              </w:rPr>
            </w:pPr>
          </w:p>
        </w:tc>
      </w:tr>
      <w:tr w:rsidR="00E77A30" w:rsidRPr="00EB5493" w14:paraId="28F6D15D" w14:textId="77777777" w:rsidTr="00B21DD5">
        <w:tc>
          <w:tcPr>
            <w:tcW w:w="4351" w:type="dxa"/>
          </w:tcPr>
          <w:p w14:paraId="0A7E9D1C" w14:textId="77777777" w:rsidR="00E77A30" w:rsidRDefault="00E77A30" w:rsidP="00B078F5">
            <w:pPr>
              <w:rPr>
                <w:sz w:val="18"/>
              </w:rPr>
            </w:pPr>
            <w:r>
              <w:rPr>
                <w:sz w:val="18"/>
              </w:rPr>
              <w:t>Share-based compensation (various, needs to be unbundled)</w:t>
            </w:r>
          </w:p>
        </w:tc>
        <w:tc>
          <w:tcPr>
            <w:tcW w:w="1512" w:type="dxa"/>
          </w:tcPr>
          <w:p w14:paraId="365DE236" w14:textId="77777777" w:rsidR="00E77A30" w:rsidRDefault="00E77A30" w:rsidP="00B078F5">
            <w:pPr>
              <w:jc w:val="right"/>
              <w:rPr>
                <w:sz w:val="18"/>
              </w:rPr>
            </w:pPr>
            <w:r>
              <w:rPr>
                <w:sz w:val="18"/>
              </w:rPr>
              <w:t>88%</w:t>
            </w:r>
          </w:p>
        </w:tc>
        <w:tc>
          <w:tcPr>
            <w:tcW w:w="2795" w:type="dxa"/>
          </w:tcPr>
          <w:p w14:paraId="4ABBFD72" w14:textId="77777777" w:rsidR="00E77A30" w:rsidRPr="00EB5493" w:rsidRDefault="00E77A30" w:rsidP="00B078F5">
            <w:pPr>
              <w:rPr>
                <w:sz w:val="18"/>
              </w:rPr>
            </w:pPr>
          </w:p>
        </w:tc>
      </w:tr>
    </w:tbl>
    <w:p w14:paraId="397D46F8" w14:textId="77777777" w:rsidR="00B21DD5" w:rsidRPr="00AC3B31" w:rsidRDefault="00B21DD5" w:rsidP="00B76023">
      <w:pPr>
        <w:pStyle w:val="BodyText"/>
        <w:rPr>
          <w:b/>
        </w:rPr>
      </w:pPr>
    </w:p>
    <w:sectPr w:rsidR="00B21DD5" w:rsidRPr="00AC3B31" w:rsidSect="00D5119C">
      <w:headerReference w:type="default" r:id="rId46"/>
      <w:footerReference w:type="default" r:id="rId47"/>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15ADBD" w14:textId="77777777" w:rsidR="00942953" w:rsidRDefault="00942953">
      <w:r>
        <w:separator/>
      </w:r>
    </w:p>
  </w:endnote>
  <w:endnote w:type="continuationSeparator" w:id="0">
    <w:p w14:paraId="2141A061" w14:textId="77777777" w:rsidR="00942953" w:rsidRDefault="00942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Bold">
    <w:panose1 w:val="020B0706020202030204"/>
    <w:charset w:val="00"/>
    <w:family w:val="auto"/>
    <w:pitch w:val="variable"/>
    <w:sig w:usb0="03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1D60B6" w14:textId="77777777" w:rsidR="00EE2A3A" w:rsidRDefault="00972188">
    <w:pPr>
      <w:pStyle w:val="Footer"/>
      <w:rPr>
        <w:rFonts w:cs="Lucida Sans Unicode"/>
        <w:sz w:val="16"/>
      </w:rPr>
    </w:pPr>
    <w:r>
      <w:rPr>
        <w:noProof/>
      </w:rPr>
      <w:drawing>
        <wp:inline distT="0" distB="0" distL="0" distR="0" wp14:anchorId="1E61DF9E" wp14:editId="2BCC8405">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E2A3A">
      <w:rPr>
        <w:sz w:val="12"/>
        <w:szCs w:val="16"/>
      </w:rPr>
      <w:t xml:space="preserve"> </w:t>
    </w:r>
    <w:r w:rsidR="00EE2A3A">
      <w:rPr>
        <w:rFonts w:cs="Lucida Sans Unicode"/>
        <w:sz w:val="16"/>
      </w:rPr>
      <w:tab/>
    </w:r>
    <w:r w:rsidR="00EE2A3A">
      <w:rPr>
        <w:rFonts w:cs="Lucida Sans Unicode"/>
        <w:sz w:val="16"/>
      </w:rPr>
      <w:tab/>
    </w:r>
    <w:r w:rsidR="00EE2A3A">
      <w:rPr>
        <w:rFonts w:cs="Lucida Sans Unicode"/>
        <w:sz w:val="16"/>
      </w:rPr>
      <w:fldChar w:fldCharType="begin"/>
    </w:r>
    <w:r w:rsidR="00EE2A3A">
      <w:rPr>
        <w:rFonts w:cs="Lucida Sans Unicode"/>
        <w:sz w:val="16"/>
      </w:rPr>
      <w:instrText xml:space="preserve"> PAGE </w:instrText>
    </w:r>
    <w:r w:rsidR="00EE2A3A">
      <w:rPr>
        <w:rFonts w:cs="Lucida Sans Unicode"/>
        <w:sz w:val="16"/>
      </w:rPr>
      <w:fldChar w:fldCharType="separate"/>
    </w:r>
    <w:r w:rsidR="00851813">
      <w:rPr>
        <w:rFonts w:cs="Lucida Sans Unicode"/>
        <w:noProof/>
        <w:sz w:val="16"/>
      </w:rPr>
      <w:t>20</w:t>
    </w:r>
    <w:r w:rsidR="00EE2A3A">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EA0F7D" w14:textId="77777777" w:rsidR="00942953" w:rsidRDefault="00942953">
      <w:r>
        <w:separator/>
      </w:r>
    </w:p>
  </w:footnote>
  <w:footnote w:type="continuationSeparator" w:id="0">
    <w:p w14:paraId="7AB24887" w14:textId="77777777" w:rsidR="00942953" w:rsidRDefault="00942953">
      <w:r>
        <w:continuationSeparator/>
      </w:r>
    </w:p>
  </w:footnote>
  <w:footnote w:id="1">
    <w:p w14:paraId="56FE3CE4" w14:textId="77777777" w:rsidR="00D376E8" w:rsidRDefault="00D376E8" w:rsidP="00D376E8">
      <w:pPr>
        <w:pStyle w:val="FootnoteText"/>
        <w:jc w:val="left"/>
      </w:pPr>
      <w:r>
        <w:rPr>
          <w:rStyle w:val="FootnoteReference"/>
        </w:rPr>
        <w:footnoteRef/>
      </w:r>
      <w:r>
        <w:t xml:space="preserve"> </w:t>
      </w:r>
      <w:r w:rsidRPr="008F1CB0">
        <w:rPr>
          <w:sz w:val="16"/>
        </w:rPr>
        <w:t xml:space="preserve">Understanding Disclosure Mechanics, </w:t>
      </w:r>
      <w:hyperlink r:id="rId1" w:history="1">
        <w:r w:rsidRPr="008F1CB0">
          <w:rPr>
            <w:rStyle w:val="Hyperlink"/>
            <w:sz w:val="16"/>
          </w:rPr>
          <w:t>http://xbrlsite.azurewebsites.net/2016/Analysis/UnderstandingDisclosureMechanics.pdf</w:t>
        </w:r>
      </w:hyperlink>
      <w:r w:rsidRPr="008F1CB0">
        <w:rPr>
          <w:sz w:val="16"/>
        </w:rPr>
        <w:t xml:space="preserve"> </w:t>
      </w:r>
    </w:p>
  </w:footnote>
  <w:footnote w:id="2">
    <w:p w14:paraId="7272CBCB" w14:textId="77777777" w:rsidR="00D376E8" w:rsidRDefault="00D376E8" w:rsidP="00D376E8">
      <w:pPr>
        <w:pStyle w:val="FootnoteText"/>
        <w:jc w:val="left"/>
      </w:pPr>
      <w:r>
        <w:rPr>
          <w:rStyle w:val="FootnoteReference"/>
        </w:rPr>
        <w:footnoteRef/>
      </w:r>
      <w:r>
        <w:t xml:space="preserve"> </w:t>
      </w:r>
      <w:r w:rsidRPr="008F1CB0">
        <w:rPr>
          <w:sz w:val="16"/>
        </w:rPr>
        <w:t xml:space="preserve">Disclosure mechanics </w:t>
      </w:r>
      <w:proofErr w:type="spellStart"/>
      <w:r w:rsidRPr="008F1CB0">
        <w:rPr>
          <w:sz w:val="16"/>
        </w:rPr>
        <w:t>arcroles</w:t>
      </w:r>
      <w:proofErr w:type="spellEnd"/>
      <w:r w:rsidRPr="008F1CB0">
        <w:rPr>
          <w:sz w:val="16"/>
        </w:rPr>
        <w:t xml:space="preserve">, </w:t>
      </w:r>
      <w:hyperlink r:id="rId2" w:history="1">
        <w:r w:rsidRPr="008F1CB0">
          <w:rPr>
            <w:rStyle w:val="Hyperlink"/>
            <w:sz w:val="16"/>
          </w:rPr>
          <w:t>http://xbrlsite.azurewebsites.net/2016/conceptual-model/drules-arcroles.xsd</w:t>
        </w:r>
      </w:hyperlink>
      <w:r>
        <w:t xml:space="preserve"> </w:t>
      </w:r>
    </w:p>
  </w:footnote>
  <w:footnote w:id="3">
    <w:p w14:paraId="39012A33" w14:textId="77777777" w:rsidR="00D376E8" w:rsidRDefault="00D376E8" w:rsidP="00D376E8">
      <w:pPr>
        <w:pStyle w:val="FootnoteText"/>
        <w:jc w:val="left"/>
      </w:pPr>
      <w:r>
        <w:rPr>
          <w:rStyle w:val="FootnoteReference"/>
        </w:rPr>
        <w:footnoteRef/>
      </w:r>
      <w:r>
        <w:t xml:space="preserve"> </w:t>
      </w:r>
      <w:r w:rsidRPr="00D84FDC">
        <w:rPr>
          <w:sz w:val="16"/>
        </w:rPr>
        <w:t xml:space="preserve">Disclosure mechanics, machine readable example, </w:t>
      </w:r>
      <w:hyperlink r:id="rId3" w:history="1">
        <w:r w:rsidRPr="00D84FDC">
          <w:rPr>
            <w:rStyle w:val="Hyperlink"/>
            <w:sz w:val="16"/>
          </w:rPr>
          <w:t>http://xbrlsite.azurewebsites.net/2016/conceptual-model/reporting-scheme/us-gaap/disclosure-mechanics/1-rules-def.xml</w:t>
        </w:r>
      </w:hyperlink>
      <w:r>
        <w:t xml:space="preserve"> </w:t>
      </w:r>
    </w:p>
  </w:footnote>
  <w:footnote w:id="4">
    <w:p w14:paraId="7CBCBF50" w14:textId="77777777" w:rsidR="00D376E8" w:rsidRDefault="00D376E8" w:rsidP="00D376E8">
      <w:pPr>
        <w:pStyle w:val="FootnoteText"/>
        <w:jc w:val="left"/>
      </w:pPr>
      <w:r>
        <w:rPr>
          <w:rStyle w:val="FootnoteReference"/>
        </w:rPr>
        <w:footnoteRef/>
      </w:r>
      <w:r>
        <w:t xml:space="preserve"> </w:t>
      </w:r>
      <w:r w:rsidRPr="00D84FDC">
        <w:rPr>
          <w:sz w:val="16"/>
        </w:rPr>
        <w:t xml:space="preserve">Disclosure mechanics, human readable example, </w:t>
      </w:r>
      <w:hyperlink r:id="rId4" w:history="1">
        <w:r w:rsidRPr="00D84FDC">
          <w:rPr>
            <w:rStyle w:val="Hyperlink"/>
            <w:sz w:val="16"/>
          </w:rPr>
          <w:t>http://xbrlsite.azurewebsites.net/2017/Prototypes/Microsoft2017/Disclosure%20Mechanics%20and%20Reporting%20Checklist.html</w:t>
        </w:r>
      </w:hyperlink>
      <w:r>
        <w:t xml:space="preserve"> </w:t>
      </w:r>
    </w:p>
  </w:footnote>
  <w:footnote w:id="5">
    <w:p w14:paraId="5FF18290" w14:textId="77777777" w:rsidR="00E77A30" w:rsidRDefault="00E77A30" w:rsidP="00AA25EB">
      <w:pPr>
        <w:pStyle w:val="FootnoteText"/>
        <w:jc w:val="left"/>
      </w:pPr>
      <w:r>
        <w:rPr>
          <w:rStyle w:val="FootnoteReference"/>
        </w:rPr>
        <w:footnoteRef/>
      </w:r>
      <w:r>
        <w:t xml:space="preserve"> </w:t>
      </w:r>
      <w:r w:rsidRPr="00AA25EB">
        <w:rPr>
          <w:sz w:val="16"/>
        </w:rPr>
        <w:t xml:space="preserve">This video walks you through the notion of an intersection, </w:t>
      </w:r>
      <w:hyperlink r:id="rId5" w:history="1">
        <w:r w:rsidRPr="00AA25EB">
          <w:rPr>
            <w:rStyle w:val="Hyperlink"/>
            <w:sz w:val="16"/>
          </w:rPr>
          <w:t>https://www.youtube.com/watch?v=lNPjwKy2Obs</w:t>
        </w:r>
      </w:hyperlink>
      <w:r w:rsidRPr="00AA25EB">
        <w:rPr>
          <w:sz w:val="16"/>
        </w:rPr>
        <w:t xml:space="preserve"> </w:t>
      </w:r>
    </w:p>
  </w:footnote>
  <w:footnote w:id="6">
    <w:p w14:paraId="4F2ACAD8" w14:textId="77777777" w:rsidR="00E77A30" w:rsidRDefault="00E77A30" w:rsidP="00B76023">
      <w:pPr>
        <w:pStyle w:val="FootnoteText"/>
        <w:jc w:val="left"/>
      </w:pPr>
      <w:r>
        <w:rPr>
          <w:rStyle w:val="FootnoteReference"/>
        </w:rPr>
        <w:footnoteRef/>
      </w:r>
      <w:r>
        <w:t xml:space="preserve"> </w:t>
      </w:r>
      <w:r w:rsidRPr="00060120">
        <w:rPr>
          <w:sz w:val="16"/>
        </w:rPr>
        <w:t>I really don’t like the name [Hierarchy] because everything is a hierarchy.  A better term might be [Set] or some other term.</w:t>
      </w:r>
    </w:p>
  </w:footnote>
  <w:footnote w:id="7">
    <w:p w14:paraId="37B495F6" w14:textId="77777777" w:rsidR="00E77A30" w:rsidRDefault="00E77A30" w:rsidP="00B76023">
      <w:pPr>
        <w:pStyle w:val="FootnoteText"/>
        <w:jc w:val="left"/>
      </w:pPr>
      <w:r>
        <w:rPr>
          <w:rStyle w:val="FootnoteReference"/>
        </w:rPr>
        <w:footnoteRef/>
      </w:r>
      <w:r>
        <w:t xml:space="preserve"> </w:t>
      </w:r>
      <w:r w:rsidRPr="00060120">
        <w:rPr>
          <w:sz w:val="16"/>
        </w:rPr>
        <w:t xml:space="preserve">For more information on report frame patterns, see </w:t>
      </w:r>
      <w:hyperlink r:id="rId6" w:history="1">
        <w:r w:rsidRPr="00060120">
          <w:rPr>
            <w:rStyle w:val="Hyperlink"/>
            <w:sz w:val="16"/>
          </w:rPr>
          <w:t>http://www.xbrlsite.com/2015/fro/us-gaap/html/ReportFrames/</w:t>
        </w:r>
      </w:hyperlink>
      <w:r>
        <w:t xml:space="preserve"> </w:t>
      </w:r>
    </w:p>
  </w:footnote>
  <w:footnote w:id="8">
    <w:p w14:paraId="25E9E1E0" w14:textId="77777777" w:rsidR="00E77A30" w:rsidRDefault="00E77A30" w:rsidP="00B76023">
      <w:pPr>
        <w:pStyle w:val="FootnoteText"/>
        <w:jc w:val="left"/>
      </w:pPr>
      <w:r>
        <w:rPr>
          <w:rStyle w:val="FootnoteReference"/>
        </w:rPr>
        <w:footnoteRef/>
      </w:r>
      <w:r>
        <w:t xml:space="preserve"> </w:t>
      </w:r>
      <w:r w:rsidRPr="00060120">
        <w:rPr>
          <w:sz w:val="16"/>
        </w:rPr>
        <w:t xml:space="preserve">Query and results provided by SECXBRL.info which is a commercial software application, see </w:t>
      </w:r>
      <w:hyperlink r:id="rId7" w:history="1">
        <w:r w:rsidRPr="00060120">
          <w:rPr>
            <w:rStyle w:val="Hyperlink"/>
            <w:sz w:val="16"/>
          </w:rPr>
          <w:t>http://app.secxbrl.info/</w:t>
        </w:r>
      </w:hyperlink>
      <w:r>
        <w:t xml:space="preserve"> </w:t>
      </w:r>
    </w:p>
  </w:footnote>
  <w:footnote w:id="9">
    <w:p w14:paraId="188B0A3F" w14:textId="77777777" w:rsidR="00E77A30" w:rsidRDefault="00E77A30" w:rsidP="00B76023">
      <w:pPr>
        <w:pStyle w:val="FootnoteText"/>
        <w:jc w:val="left"/>
      </w:pPr>
      <w:r>
        <w:rPr>
          <w:rStyle w:val="FootnoteReference"/>
        </w:rPr>
        <w:footnoteRef/>
      </w:r>
      <w:r>
        <w:t xml:space="preserve"> </w:t>
      </w:r>
      <w:r w:rsidRPr="00060120">
        <w:rPr>
          <w:sz w:val="16"/>
        </w:rPr>
        <w:t xml:space="preserve">Reconciliation of Financial Report Semantics and Dynamics Theory, to US GAAP XBRL Taxonomy Architecture and SEC implementation, to XBRL technical syntax, see </w:t>
      </w:r>
      <w:hyperlink r:id="rId8" w:history="1">
        <w:r w:rsidRPr="00060120">
          <w:rPr>
            <w:rStyle w:val="Hyperlink"/>
            <w:sz w:val="16"/>
          </w:rPr>
          <w:t>http://www.xbrlsite.com/2012/Library/SemanticObjectlReconciliation.pdf</w:t>
        </w:r>
      </w:hyperlink>
      <w:r>
        <w:t xml:space="preserve"> </w:t>
      </w:r>
    </w:p>
  </w:footnote>
  <w:footnote w:id="10">
    <w:p w14:paraId="2914CB62" w14:textId="77777777" w:rsidR="00E77A30" w:rsidRDefault="00E77A30" w:rsidP="00B76023">
      <w:pPr>
        <w:pStyle w:val="FootnoteText"/>
        <w:jc w:val="left"/>
      </w:pPr>
      <w:r>
        <w:rPr>
          <w:rStyle w:val="FootnoteReference"/>
        </w:rPr>
        <w:footnoteRef/>
      </w:r>
      <w:r>
        <w:t xml:space="preserve"> </w:t>
      </w:r>
      <w:r w:rsidRPr="00060120">
        <w:rPr>
          <w:sz w:val="16"/>
        </w:rPr>
        <w:t>Not all FY 2014 financial filings have been submitted to the SEC as of the date of this document, so the latest 10-Q was used if the 10-K was not available.</w:t>
      </w:r>
    </w:p>
  </w:footnote>
  <w:footnote w:id="11">
    <w:p w14:paraId="1DCB46CB" w14:textId="77777777" w:rsidR="00E77A30" w:rsidRDefault="00E77A30" w:rsidP="00B21DD5">
      <w:pPr>
        <w:pStyle w:val="FootnoteText"/>
        <w:jc w:val="left"/>
      </w:pPr>
      <w:r>
        <w:rPr>
          <w:rStyle w:val="FootnoteReference"/>
        </w:rPr>
        <w:footnoteRef/>
      </w:r>
      <w:r>
        <w:t xml:space="preserve"> </w:t>
      </w:r>
      <w:r w:rsidRPr="005D0298">
        <w:rPr>
          <w:sz w:val="14"/>
        </w:rPr>
        <w:t xml:space="preserve">I am using Version 37 of the Edgar Filer Manual, </w:t>
      </w:r>
      <w:hyperlink r:id="rId9" w:history="1">
        <w:r w:rsidRPr="005D0298">
          <w:rPr>
            <w:rStyle w:val="Hyperlink"/>
            <w:sz w:val="14"/>
          </w:rPr>
          <w:t>https://www.sec.gov/info/edgar/edgarfm-vol2-v37.pdf</w:t>
        </w:r>
      </w:hyperlink>
    </w:p>
  </w:footnote>
  <w:footnote w:id="12">
    <w:p w14:paraId="1A67AB92" w14:textId="77777777" w:rsidR="00E77A30" w:rsidRDefault="00E77A30" w:rsidP="00B21DD5">
      <w:pPr>
        <w:pStyle w:val="FootnoteText"/>
        <w:jc w:val="left"/>
      </w:pPr>
      <w:r>
        <w:rPr>
          <w:rStyle w:val="FootnoteReference"/>
        </w:rPr>
        <w:footnoteRef/>
      </w:r>
      <w:r>
        <w:t xml:space="preserve"> </w:t>
      </w:r>
      <w:r w:rsidRPr="00CC1DAC">
        <w:rPr>
          <w:sz w:val="16"/>
        </w:rPr>
        <w:t xml:space="preserve">A Network label is articulated by the </w:t>
      </w:r>
      <w:proofErr w:type="spellStart"/>
      <w:r w:rsidRPr="00CC1DAC">
        <w:rPr>
          <w:sz w:val="16"/>
        </w:rPr>
        <w:t>link:definition</w:t>
      </w:r>
      <w:proofErr w:type="spellEnd"/>
      <w:r w:rsidRPr="00CC1DAC">
        <w:rPr>
          <w:sz w:val="16"/>
        </w:rPr>
        <w:t xml:space="preserve"> of the extended link role.</w:t>
      </w:r>
    </w:p>
  </w:footnote>
  <w:footnote w:id="13">
    <w:p w14:paraId="162DC101" w14:textId="77777777" w:rsidR="00E77A30" w:rsidRDefault="00E77A30" w:rsidP="00B21DD5">
      <w:pPr>
        <w:pStyle w:val="FootnoteText"/>
        <w:jc w:val="left"/>
      </w:pPr>
      <w:r>
        <w:rPr>
          <w:rStyle w:val="FootnoteReference"/>
        </w:rPr>
        <w:footnoteRef/>
      </w:r>
      <w:r>
        <w:t xml:space="preserve"> </w:t>
      </w:r>
      <w:r w:rsidRPr="00CC1DAC">
        <w:rPr>
          <w:sz w:val="16"/>
        </w:rPr>
        <w:t xml:space="preserve">Here is the SEC Interactive Data Viewer for the 10-K filing by Microsoft, </w:t>
      </w:r>
      <w:hyperlink r:id="rId10" w:history="1">
        <w:r w:rsidRPr="00CC1DAC">
          <w:rPr>
            <w:rStyle w:val="Hyperlink"/>
            <w:sz w:val="16"/>
          </w:rPr>
          <w:t>https://www.sec.gov/cgi-bin/viewer?action=view&amp;cik=789019&amp;accession_number=0001193125-15-272806&amp;xbrl_type=v</w:t>
        </w:r>
      </w:hyperlink>
      <w:r w:rsidRPr="00CC1DAC">
        <w:rPr>
          <w:sz w:val="16"/>
        </w:rPr>
        <w:t xml:space="preserve"> </w:t>
      </w:r>
    </w:p>
  </w:footnote>
  <w:footnote w:id="14">
    <w:p w14:paraId="74520958" w14:textId="77777777" w:rsidR="00E77A30" w:rsidRDefault="00E77A30" w:rsidP="00B21DD5">
      <w:pPr>
        <w:pStyle w:val="FootnoteText"/>
        <w:jc w:val="left"/>
      </w:pPr>
      <w:r>
        <w:rPr>
          <w:rStyle w:val="FootnoteReference"/>
        </w:rPr>
        <w:footnoteRef/>
      </w:r>
      <w:r>
        <w:t xml:space="preserve"> </w:t>
      </w:r>
      <w:r w:rsidRPr="00A82588">
        <w:rPr>
          <w:sz w:val="16"/>
        </w:rPr>
        <w:t xml:space="preserve">The US GAAP XBRL Taxonomy calls these “Table Text Blocks”; see the comprehensive list of each type of Text Block here, </w:t>
      </w:r>
      <w:hyperlink r:id="rId11" w:anchor="tax~(id~156*v~4370)!con~(id~3498213)!net~(a~3063*l~749)!lang~(code~en-us)!path~(g~89174*p~0)!rg~(rg~32*p~12)" w:history="1">
        <w:r w:rsidRPr="00A82588">
          <w:rPr>
            <w:rStyle w:val="Hyperlink"/>
            <w:sz w:val="16"/>
          </w:rPr>
          <w:t>http://xbrlview.fasb.org/yeti/resources/yeti-gwt/Yeti.jsp#tax~(id~156*v~4370)!con~(id~3498213)!net~(a~3063*l~749)!lang~(code~en-us)!path~(g~89174*p~0)!rg~(rg~32*p~12)</w:t>
        </w:r>
      </w:hyperlink>
      <w:r>
        <w:t xml:space="preserve"> </w:t>
      </w:r>
    </w:p>
  </w:footnote>
  <w:footnote w:id="15">
    <w:p w14:paraId="0A3D67D6" w14:textId="77777777" w:rsidR="00E77A30" w:rsidRDefault="00E77A30" w:rsidP="00B21DD5">
      <w:pPr>
        <w:pStyle w:val="FootnoteText"/>
        <w:jc w:val="left"/>
      </w:pPr>
      <w:r>
        <w:rPr>
          <w:rStyle w:val="FootnoteReference"/>
        </w:rPr>
        <w:footnoteRef/>
      </w:r>
      <w:r>
        <w:t xml:space="preserve"> </w:t>
      </w:r>
      <w:r w:rsidRPr="00DF1A74">
        <w:rPr>
          <w:sz w:val="16"/>
        </w:rPr>
        <w:t xml:space="preserve">Analysis of future minimum payments receivable from </w:t>
      </w:r>
      <w:r>
        <w:rPr>
          <w:sz w:val="16"/>
        </w:rPr>
        <w:t>n</w:t>
      </w:r>
      <w:r w:rsidRPr="00DF1A74">
        <w:rPr>
          <w:sz w:val="16"/>
        </w:rPr>
        <w:t xml:space="preserve">oncancelable operating leases, </w:t>
      </w:r>
      <w:hyperlink r:id="rId12" w:history="1">
        <w:r w:rsidRPr="00DF1A74">
          <w:rPr>
            <w:rStyle w:val="Hyperlink"/>
            <w:sz w:val="16"/>
          </w:rPr>
          <w:t>http://xbrlsite.azurewebsites.net/2016/Analysis/COMPARE_FutureMinimumPaymentsReceivableOperatingLeases.pdf</w:t>
        </w:r>
      </w:hyperlink>
      <w:r>
        <w:t xml:space="preserve"> </w:t>
      </w:r>
    </w:p>
  </w:footnote>
  <w:footnote w:id="16">
    <w:p w14:paraId="70C541C0" w14:textId="77777777" w:rsidR="00E77A30" w:rsidRDefault="00E77A30" w:rsidP="00B21DD5">
      <w:pPr>
        <w:pStyle w:val="FootnoteText"/>
        <w:jc w:val="left"/>
      </w:pPr>
      <w:r>
        <w:rPr>
          <w:rStyle w:val="FootnoteReference"/>
        </w:rPr>
        <w:footnoteRef/>
      </w:r>
      <w:r>
        <w:t xml:space="preserve"> </w:t>
      </w:r>
      <w:r w:rsidRPr="00EC1F08">
        <w:rPr>
          <w:sz w:val="16"/>
        </w:rPr>
        <w:t xml:space="preserve">For the full analysis, please see, </w:t>
      </w:r>
      <w:hyperlink r:id="rId13" w:history="1">
        <w:r w:rsidRPr="00EC1F08">
          <w:rPr>
            <w:rStyle w:val="Hyperlink"/>
            <w:sz w:val="16"/>
          </w:rPr>
          <w:t>http://xbrlsite.azurewebsites.net/2016/Analysis/SummaryTable.pdf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2B215E" w14:textId="04990DBC" w:rsidR="00EE2A3A" w:rsidRPr="00D70CFD" w:rsidRDefault="005B479E" w:rsidP="00D70CFD">
    <w:pPr>
      <w:pStyle w:val="Header"/>
      <w:jc w:val="center"/>
      <w:rPr>
        <w:sz w:val="18"/>
        <w:szCs w:val="18"/>
      </w:rPr>
    </w:pPr>
    <w:r>
      <w:rPr>
        <w:smallCaps/>
        <w:sz w:val="16"/>
        <w:szCs w:val="18"/>
      </w:rPr>
      <w:t xml:space="preserve">Mastering XBRL-based </w:t>
    </w:r>
    <w:r w:rsidR="008C01EA" w:rsidRPr="00D70CFD">
      <w:rPr>
        <w:smallCaps/>
        <w:sz w:val="16"/>
        <w:szCs w:val="18"/>
      </w:rPr>
      <w:t xml:space="preserve">Digital Financial Reporting – Part 2: </w:t>
    </w:r>
    <w:r>
      <w:rPr>
        <w:smallCaps/>
        <w:sz w:val="16"/>
        <w:szCs w:val="18"/>
      </w:rPr>
      <w:t>Logical Conceptualization of F</w:t>
    </w:r>
    <w:r w:rsidR="008C01EA" w:rsidRPr="00D70CFD">
      <w:rPr>
        <w:smallCaps/>
        <w:sz w:val="16"/>
        <w:szCs w:val="18"/>
      </w:rPr>
      <w:t xml:space="preserve">inancial Report – </w:t>
    </w:r>
    <w:r w:rsidR="00B21DD5">
      <w:rPr>
        <w:smallCaps/>
        <w:sz w:val="16"/>
        <w:szCs w:val="18"/>
      </w:rPr>
      <w:t>Disclosure Mechanics</w:t>
    </w:r>
    <w:r w:rsidR="008C01EA" w:rsidRPr="00D70CFD">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0322"/>
    <w:multiLevelType w:val="multilevel"/>
    <w:tmpl w:val="B3CA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3B6B2B"/>
    <w:multiLevelType w:val="hybridMultilevel"/>
    <w:tmpl w:val="50D8D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F61E70"/>
    <w:multiLevelType w:val="hybridMultilevel"/>
    <w:tmpl w:val="CE063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A5540"/>
    <w:multiLevelType w:val="hybridMultilevel"/>
    <w:tmpl w:val="7F404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A0266B"/>
    <w:multiLevelType w:val="hybridMultilevel"/>
    <w:tmpl w:val="10560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8E1B77"/>
    <w:multiLevelType w:val="hybridMultilevel"/>
    <w:tmpl w:val="CA26BA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1D7488"/>
    <w:multiLevelType w:val="hybridMultilevel"/>
    <w:tmpl w:val="C39CA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001B94"/>
    <w:multiLevelType w:val="hybridMultilevel"/>
    <w:tmpl w:val="54A84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793CD9"/>
    <w:multiLevelType w:val="hybridMultilevel"/>
    <w:tmpl w:val="BE729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DEF1ADA"/>
    <w:multiLevelType w:val="hybridMultilevel"/>
    <w:tmpl w:val="CD02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E6F06D9"/>
    <w:multiLevelType w:val="hybridMultilevel"/>
    <w:tmpl w:val="A5B47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12E5A1F"/>
    <w:multiLevelType w:val="hybridMultilevel"/>
    <w:tmpl w:val="4F3C0DE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3" w15:restartNumberingAfterBreak="0">
    <w:nsid w:val="7170297B"/>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A590791"/>
    <w:multiLevelType w:val="hybridMultilevel"/>
    <w:tmpl w:val="0F188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5B52B9"/>
    <w:multiLevelType w:val="hybridMultilevel"/>
    <w:tmpl w:val="AC860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B1E6F28"/>
    <w:multiLevelType w:val="hybridMultilevel"/>
    <w:tmpl w:val="3260E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3"/>
  </w:num>
  <w:num w:numId="3">
    <w:abstractNumId w:val="0"/>
  </w:num>
  <w:num w:numId="4">
    <w:abstractNumId w:val="10"/>
  </w:num>
  <w:num w:numId="5">
    <w:abstractNumId w:val="7"/>
  </w:num>
  <w:num w:numId="6">
    <w:abstractNumId w:val="8"/>
  </w:num>
  <w:num w:numId="7">
    <w:abstractNumId w:val="3"/>
  </w:num>
  <w:num w:numId="8">
    <w:abstractNumId w:val="16"/>
  </w:num>
  <w:num w:numId="9">
    <w:abstractNumId w:val="4"/>
  </w:num>
  <w:num w:numId="10">
    <w:abstractNumId w:val="15"/>
  </w:num>
  <w:num w:numId="11">
    <w:abstractNumId w:val="2"/>
  </w:num>
  <w:num w:numId="12">
    <w:abstractNumId w:val="1"/>
  </w:num>
  <w:num w:numId="13">
    <w:abstractNumId w:val="14"/>
  </w:num>
  <w:num w:numId="14">
    <w:abstractNumId w:val="6"/>
  </w:num>
  <w:num w:numId="15">
    <w:abstractNumId w:val="11"/>
  </w:num>
  <w:num w:numId="16">
    <w:abstractNumId w:val="5"/>
  </w:num>
  <w:num w:numId="17">
    <w:abstractNumId w:val="9"/>
  </w:num>
  <w:num w:numId="18">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572"/>
    <w:rsid w:val="00025FD5"/>
    <w:rsid w:val="00030B6D"/>
    <w:rsid w:val="00032644"/>
    <w:rsid w:val="000350BC"/>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5E9C"/>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A4C"/>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51DC"/>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B7F"/>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1A0F"/>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63"/>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6E2"/>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801"/>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5E1"/>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28F"/>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45"/>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C9B"/>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03B2"/>
    <w:rsid w:val="004B12B4"/>
    <w:rsid w:val="004B140D"/>
    <w:rsid w:val="004B3820"/>
    <w:rsid w:val="004B3979"/>
    <w:rsid w:val="004B51D5"/>
    <w:rsid w:val="004B6B40"/>
    <w:rsid w:val="004B76C3"/>
    <w:rsid w:val="004C0909"/>
    <w:rsid w:val="004C0B19"/>
    <w:rsid w:val="004C15BF"/>
    <w:rsid w:val="004C1928"/>
    <w:rsid w:val="004C234F"/>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299"/>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1E3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D2C"/>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67A"/>
    <w:rsid w:val="00592C07"/>
    <w:rsid w:val="00593E1C"/>
    <w:rsid w:val="005941E1"/>
    <w:rsid w:val="00594FB2"/>
    <w:rsid w:val="00595CF9"/>
    <w:rsid w:val="00595FDB"/>
    <w:rsid w:val="005A001D"/>
    <w:rsid w:val="005A045F"/>
    <w:rsid w:val="005A1495"/>
    <w:rsid w:val="005A1D05"/>
    <w:rsid w:val="005A1FF4"/>
    <w:rsid w:val="005A2156"/>
    <w:rsid w:val="005A2852"/>
    <w:rsid w:val="005A2DFA"/>
    <w:rsid w:val="005A3621"/>
    <w:rsid w:val="005A3884"/>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479E"/>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0378"/>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4547"/>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EE0"/>
    <w:rsid w:val="00776F3D"/>
    <w:rsid w:val="0078165D"/>
    <w:rsid w:val="00781E74"/>
    <w:rsid w:val="007825A6"/>
    <w:rsid w:val="00782DA7"/>
    <w:rsid w:val="00782F3D"/>
    <w:rsid w:val="00783AAC"/>
    <w:rsid w:val="0078489C"/>
    <w:rsid w:val="00784EC2"/>
    <w:rsid w:val="007864F1"/>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C7985"/>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37751"/>
    <w:rsid w:val="008402A6"/>
    <w:rsid w:val="00840F29"/>
    <w:rsid w:val="00841EB1"/>
    <w:rsid w:val="0084230A"/>
    <w:rsid w:val="00842B7C"/>
    <w:rsid w:val="00842ECB"/>
    <w:rsid w:val="00843ED4"/>
    <w:rsid w:val="00847FEF"/>
    <w:rsid w:val="00850D39"/>
    <w:rsid w:val="00851813"/>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BED"/>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01EA"/>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2953"/>
    <w:rsid w:val="0094398E"/>
    <w:rsid w:val="00943B26"/>
    <w:rsid w:val="00944B07"/>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188"/>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8CD"/>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867"/>
    <w:rsid w:val="00A53B36"/>
    <w:rsid w:val="00A545B2"/>
    <w:rsid w:val="00A568D8"/>
    <w:rsid w:val="00A61F9F"/>
    <w:rsid w:val="00A620AC"/>
    <w:rsid w:val="00A62C22"/>
    <w:rsid w:val="00A6358D"/>
    <w:rsid w:val="00A63C69"/>
    <w:rsid w:val="00A64BC3"/>
    <w:rsid w:val="00A6556C"/>
    <w:rsid w:val="00A65C84"/>
    <w:rsid w:val="00A65D54"/>
    <w:rsid w:val="00A666B4"/>
    <w:rsid w:val="00A67D77"/>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25EB"/>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DD5"/>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0E69"/>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24FA"/>
    <w:rsid w:val="00C432E9"/>
    <w:rsid w:val="00C45C02"/>
    <w:rsid w:val="00C4618C"/>
    <w:rsid w:val="00C46A9B"/>
    <w:rsid w:val="00C47EE3"/>
    <w:rsid w:val="00C5032B"/>
    <w:rsid w:val="00C51A4A"/>
    <w:rsid w:val="00C52D99"/>
    <w:rsid w:val="00C52EC9"/>
    <w:rsid w:val="00C54452"/>
    <w:rsid w:val="00C545BF"/>
    <w:rsid w:val="00C54B67"/>
    <w:rsid w:val="00C54E81"/>
    <w:rsid w:val="00C5615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573A"/>
    <w:rsid w:val="00CC68A1"/>
    <w:rsid w:val="00CC73CA"/>
    <w:rsid w:val="00CD0141"/>
    <w:rsid w:val="00CD1083"/>
    <w:rsid w:val="00CD2B2E"/>
    <w:rsid w:val="00CD2F56"/>
    <w:rsid w:val="00CD3CE4"/>
    <w:rsid w:val="00CD479E"/>
    <w:rsid w:val="00CD4D3F"/>
    <w:rsid w:val="00CD5D53"/>
    <w:rsid w:val="00CD6267"/>
    <w:rsid w:val="00CD6E00"/>
    <w:rsid w:val="00CD732F"/>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3FD"/>
    <w:rsid w:val="00D14940"/>
    <w:rsid w:val="00D16B43"/>
    <w:rsid w:val="00D17A8B"/>
    <w:rsid w:val="00D2055C"/>
    <w:rsid w:val="00D20897"/>
    <w:rsid w:val="00D211F5"/>
    <w:rsid w:val="00D2137C"/>
    <w:rsid w:val="00D21831"/>
    <w:rsid w:val="00D2187F"/>
    <w:rsid w:val="00D22EF5"/>
    <w:rsid w:val="00D23828"/>
    <w:rsid w:val="00D23A90"/>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376E8"/>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30"/>
    <w:rsid w:val="00D54FC3"/>
    <w:rsid w:val="00D55A77"/>
    <w:rsid w:val="00D60066"/>
    <w:rsid w:val="00D61D12"/>
    <w:rsid w:val="00D62698"/>
    <w:rsid w:val="00D627B6"/>
    <w:rsid w:val="00D633CD"/>
    <w:rsid w:val="00D64177"/>
    <w:rsid w:val="00D6520D"/>
    <w:rsid w:val="00D65457"/>
    <w:rsid w:val="00D6698E"/>
    <w:rsid w:val="00D67437"/>
    <w:rsid w:val="00D70CFD"/>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77A30"/>
    <w:rsid w:val="00E81750"/>
    <w:rsid w:val="00E81A5B"/>
    <w:rsid w:val="00E84419"/>
    <w:rsid w:val="00E84763"/>
    <w:rsid w:val="00E84B1F"/>
    <w:rsid w:val="00E84E42"/>
    <w:rsid w:val="00E865F8"/>
    <w:rsid w:val="00E87CD3"/>
    <w:rsid w:val="00E9334F"/>
    <w:rsid w:val="00E944CA"/>
    <w:rsid w:val="00E94C29"/>
    <w:rsid w:val="00E94D27"/>
    <w:rsid w:val="00E96C14"/>
    <w:rsid w:val="00E97282"/>
    <w:rsid w:val="00E97A68"/>
    <w:rsid w:val="00EA0BEA"/>
    <w:rsid w:val="00EA1F60"/>
    <w:rsid w:val="00EA250D"/>
    <w:rsid w:val="00EA2BFE"/>
    <w:rsid w:val="00EA3A0A"/>
    <w:rsid w:val="00EA3D8A"/>
    <w:rsid w:val="00EA4E4A"/>
    <w:rsid w:val="00EA5453"/>
    <w:rsid w:val="00EA5BAF"/>
    <w:rsid w:val="00EA6107"/>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5BC"/>
    <w:rsid w:val="00EE275F"/>
    <w:rsid w:val="00EE2A3A"/>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C6F"/>
    <w:rsid w:val="00F15AEC"/>
    <w:rsid w:val="00F15B27"/>
    <w:rsid w:val="00F166EC"/>
    <w:rsid w:val="00F1698C"/>
    <w:rsid w:val="00F177AC"/>
    <w:rsid w:val="00F216E7"/>
    <w:rsid w:val="00F22AF8"/>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28B7"/>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1894"/>
    <w:rsid w:val="00F736E8"/>
    <w:rsid w:val="00F75619"/>
    <w:rsid w:val="00F75847"/>
    <w:rsid w:val="00F7654F"/>
    <w:rsid w:val="00F76773"/>
    <w:rsid w:val="00F8040F"/>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873"/>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9C3C23"/>
  <w15:docId w15:val="{BFD0A3C4-82C5-4D26-9555-9DA760A11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rsid w:val="00660849"/>
    <w:rPr>
      <w:szCs w:val="20"/>
    </w:rPr>
  </w:style>
  <w:style w:type="character" w:styleId="EndnoteReference">
    <w:name w:val="endnote reference"/>
    <w:basedOn w:val="DefaultParagraphFont"/>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customStyle="1" w:styleId="TitleChar">
    <w:name w:val="Title Char"/>
    <w:basedOn w:val="DefaultParagraphFont"/>
    <w:link w:val="Title"/>
    <w:rsid w:val="00E77A30"/>
    <w:rPr>
      <w:rFonts w:ascii="Verdana" w:hAnsi="Verdana" w:cs="Arial"/>
      <w:b/>
      <w:bCs/>
      <w:kern w:val="28"/>
      <w:sz w:val="32"/>
      <w:szCs w:val="32"/>
    </w:rPr>
  </w:style>
  <w:style w:type="character" w:customStyle="1" w:styleId="SubtitleChar">
    <w:name w:val="Subtitle Char"/>
    <w:basedOn w:val="DefaultParagraphFont"/>
    <w:link w:val="Subtitle"/>
    <w:rsid w:val="00E77A30"/>
    <w:rPr>
      <w:rFonts w:ascii="Verdana" w:hAnsi="Verdana" w:cs="Arial"/>
      <w:sz w:val="24"/>
      <w:szCs w:val="24"/>
    </w:rPr>
  </w:style>
  <w:style w:type="character" w:customStyle="1" w:styleId="FootnoteTextChar1">
    <w:name w:val="Footnote Text Char1"/>
    <w:basedOn w:val="DefaultParagraphFont"/>
    <w:semiHidden/>
    <w:rsid w:val="00E77A30"/>
    <w:rPr>
      <w:rFonts w:ascii="Verdana" w:hAnsi="Verdana"/>
    </w:rPr>
  </w:style>
  <w:style w:type="character" w:customStyle="1" w:styleId="FootnoteTextChar2">
    <w:name w:val="Footnote Text Char2"/>
    <w:basedOn w:val="DefaultParagraphFont"/>
    <w:semiHidden/>
    <w:rsid w:val="00E77A30"/>
    <w:rPr>
      <w:rFonts w:ascii="Verdana" w:hAnsi="Verdana"/>
    </w:rPr>
  </w:style>
  <w:style w:type="character" w:customStyle="1" w:styleId="Heading1Char1">
    <w:name w:val="Heading 1 Char1"/>
    <w:basedOn w:val="DefaultParagraphFont"/>
    <w:rsid w:val="00E77A30"/>
    <w:rPr>
      <w:rFonts w:ascii="Arial" w:hAnsi="Arial" w:cs="Arial"/>
      <w:b/>
      <w:bCs/>
      <w:color w:val="000080"/>
      <w:kern w:val="32"/>
      <w:sz w:val="40"/>
      <w:szCs w:val="40"/>
    </w:rPr>
  </w:style>
  <w:style w:type="character" w:customStyle="1" w:styleId="Heading2Char1">
    <w:name w:val="Heading 2 Char1"/>
    <w:basedOn w:val="DefaultParagraphFont"/>
    <w:rsid w:val="00E77A30"/>
    <w:rPr>
      <w:rFonts w:ascii="Arial" w:hAnsi="Arial" w:cs="Arial"/>
      <w:b/>
      <w:bCs/>
      <w:i/>
      <w:iCs/>
      <w:sz w:val="28"/>
      <w:szCs w:val="28"/>
    </w:rPr>
  </w:style>
  <w:style w:type="character" w:customStyle="1" w:styleId="Heading3Char1">
    <w:name w:val="Heading 3 Char1"/>
    <w:basedOn w:val="DefaultParagraphFont"/>
    <w:rsid w:val="00E77A30"/>
    <w:rPr>
      <w:rFonts w:ascii="Arial" w:hAnsi="Arial" w:cs="Arial"/>
      <w:b/>
      <w:bCs/>
      <w:i/>
      <w:szCs w:val="26"/>
      <w:lang w:val="en-GB"/>
    </w:rPr>
  </w:style>
  <w:style w:type="character" w:customStyle="1" w:styleId="Heading4Char">
    <w:name w:val="Heading 4 Char"/>
    <w:basedOn w:val="DefaultParagraphFont"/>
    <w:link w:val="Heading4"/>
    <w:rsid w:val="00E77A30"/>
    <w:rPr>
      <w:rFonts w:ascii="Arial" w:hAnsi="Arial"/>
      <w:b/>
      <w:bCs/>
      <w:sz w:val="24"/>
      <w:szCs w:val="28"/>
    </w:rPr>
  </w:style>
  <w:style w:type="character" w:customStyle="1" w:styleId="Heading5Char">
    <w:name w:val="Heading 5 Char"/>
    <w:basedOn w:val="DefaultParagraphFont"/>
    <w:link w:val="Heading5"/>
    <w:rsid w:val="00E77A30"/>
    <w:rPr>
      <w:rFonts w:ascii="Verdana" w:hAnsi="Verdana"/>
      <w:b/>
      <w:bCs/>
      <w:i/>
      <w:iCs/>
      <w:sz w:val="26"/>
      <w:szCs w:val="26"/>
    </w:rPr>
  </w:style>
  <w:style w:type="character" w:customStyle="1" w:styleId="HeaderChar1">
    <w:name w:val="Header Char1"/>
    <w:basedOn w:val="DefaultParagraphFont"/>
    <w:uiPriority w:val="99"/>
    <w:rsid w:val="00E77A30"/>
    <w:rPr>
      <w:rFonts w:ascii="Verdana" w:hAnsi="Verdana"/>
      <w:szCs w:val="24"/>
    </w:rPr>
  </w:style>
  <w:style w:type="character" w:customStyle="1" w:styleId="FooterChar1">
    <w:name w:val="Footer Char1"/>
    <w:basedOn w:val="DefaultParagraphFont"/>
    <w:uiPriority w:val="99"/>
    <w:rsid w:val="00E77A30"/>
    <w:rPr>
      <w:rFonts w:ascii="Verdana" w:hAnsi="Verdana"/>
      <w:szCs w:val="24"/>
    </w:rPr>
  </w:style>
  <w:style w:type="character" w:customStyle="1" w:styleId="BalloonTextChar1">
    <w:name w:val="Balloon Text Char1"/>
    <w:basedOn w:val="DefaultParagraphFont"/>
    <w:rsid w:val="00E77A30"/>
    <w:rPr>
      <w:rFonts w:ascii="Tahoma" w:hAnsi="Tahoma" w:cs="Tahoma"/>
      <w:sz w:val="16"/>
      <w:szCs w:val="16"/>
    </w:rPr>
  </w:style>
  <w:style w:type="character" w:customStyle="1" w:styleId="CommentTextChar1">
    <w:name w:val="Comment Text Char1"/>
    <w:basedOn w:val="DefaultParagraphFont"/>
    <w:uiPriority w:val="99"/>
    <w:semiHidden/>
    <w:rsid w:val="00E77A30"/>
    <w:rPr>
      <w:rFonts w:ascii="Verdana" w:hAnsi="Verdana"/>
    </w:rPr>
  </w:style>
  <w:style w:type="character" w:customStyle="1" w:styleId="CommentSubjectChar">
    <w:name w:val="Comment Subject Char"/>
    <w:basedOn w:val="CommentTextChar"/>
    <w:link w:val="CommentSubject"/>
    <w:semiHidden/>
    <w:rsid w:val="00E77A30"/>
    <w:rPr>
      <w:rFonts w:ascii="Verdana" w:hAnsi="Verdana"/>
      <w:b/>
      <w:bCs/>
    </w:rPr>
  </w:style>
  <w:style w:type="paragraph" w:customStyle="1" w:styleId="DefinitionList1">
    <w:name w:val="Definition List1"/>
    <w:basedOn w:val="Normal"/>
    <w:next w:val="Normal"/>
    <w:rsid w:val="00E77A30"/>
    <w:pPr>
      <w:ind w:left="360"/>
    </w:pPr>
    <w:rPr>
      <w:rFonts w:ascii="Times New Roman" w:eastAsia="MS Mincho" w:hAnsi="Times New Roman"/>
      <w:snapToGrid w:val="0"/>
      <w:sz w:val="24"/>
      <w:szCs w:val="20"/>
    </w:rPr>
  </w:style>
  <w:style w:type="character" w:customStyle="1" w:styleId="FootnoteTextChar3">
    <w:name w:val="Footnote Text Char3"/>
    <w:basedOn w:val="DefaultParagraphFont"/>
    <w:uiPriority w:val="99"/>
    <w:rsid w:val="00E77A30"/>
    <w:rPr>
      <w:rFonts w:ascii="Verdana" w:hAnsi="Verdana"/>
    </w:rPr>
  </w:style>
  <w:style w:type="paragraph" w:customStyle="1" w:styleId="Preformatted1">
    <w:name w:val="Preformatted1"/>
    <w:basedOn w:val="Normal"/>
    <w:rsid w:val="00E77A3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customStyle="1" w:styleId="Level1Text1">
    <w:name w:val="Level 1 Text1"/>
    <w:basedOn w:val="BodyText"/>
    <w:rsid w:val="00E77A30"/>
    <w:pPr>
      <w:autoSpaceDE w:val="0"/>
      <w:autoSpaceDN w:val="0"/>
      <w:spacing w:before="0"/>
    </w:pPr>
    <w:rPr>
      <w:rFonts w:cs="Verdana"/>
      <w:sz w:val="18"/>
      <w:szCs w:val="18"/>
      <w:lang w:val="en-GB"/>
    </w:rPr>
  </w:style>
  <w:style w:type="paragraph" w:customStyle="1" w:styleId="Level2Text1">
    <w:name w:val="Level 2 Text1"/>
    <w:basedOn w:val="BodyText"/>
    <w:rsid w:val="00E77A30"/>
    <w:pPr>
      <w:autoSpaceDE w:val="0"/>
      <w:autoSpaceDN w:val="0"/>
      <w:spacing w:before="0"/>
    </w:pPr>
    <w:rPr>
      <w:rFonts w:cs="Verdana"/>
      <w:sz w:val="18"/>
      <w:szCs w:val="18"/>
      <w:lang w:val="en-GB"/>
    </w:rPr>
  </w:style>
  <w:style w:type="paragraph" w:customStyle="1" w:styleId="Level3Text1">
    <w:name w:val="Level 3 Text1"/>
    <w:basedOn w:val="BodyText"/>
    <w:rsid w:val="00E77A30"/>
    <w:pPr>
      <w:tabs>
        <w:tab w:val="left" w:pos="360"/>
        <w:tab w:val="left" w:pos="720"/>
      </w:tabs>
      <w:autoSpaceDE w:val="0"/>
      <w:autoSpaceDN w:val="0"/>
      <w:spacing w:before="0"/>
    </w:pPr>
    <w:rPr>
      <w:rFonts w:cs="Verdana"/>
      <w:sz w:val="18"/>
      <w:szCs w:val="18"/>
      <w:lang w:val="en-GB"/>
    </w:rPr>
  </w:style>
  <w:style w:type="paragraph" w:customStyle="1" w:styleId="TableText1">
    <w:name w:val="Table Text1"/>
    <w:basedOn w:val="Normal"/>
    <w:rsid w:val="00E77A30"/>
    <w:pPr>
      <w:autoSpaceDE w:val="0"/>
      <w:autoSpaceDN w:val="0"/>
    </w:pPr>
    <w:rPr>
      <w:rFonts w:cs="Verdana"/>
      <w:sz w:val="18"/>
      <w:szCs w:val="18"/>
      <w:lang w:val="en-GB"/>
    </w:rPr>
  </w:style>
  <w:style w:type="paragraph" w:customStyle="1" w:styleId="ColumnHeading1">
    <w:name w:val="Column Heading1"/>
    <w:basedOn w:val="TableText"/>
    <w:next w:val="BodyText"/>
    <w:rsid w:val="00E77A30"/>
    <w:pPr>
      <w:jc w:val="center"/>
    </w:pPr>
  </w:style>
  <w:style w:type="paragraph" w:customStyle="1" w:styleId="Non-normativeExample1">
    <w:name w:val="Non-normative Example1"/>
    <w:basedOn w:val="Normal"/>
    <w:rsid w:val="00E77A30"/>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1">
    <w:name w:val="Editor's Comments1"/>
    <w:basedOn w:val="BlockText"/>
    <w:rsid w:val="00E77A30"/>
    <w:pPr>
      <w:shd w:val="clear" w:color="auto" w:fill="FFFF00"/>
      <w:autoSpaceDE w:val="0"/>
      <w:autoSpaceDN w:val="0"/>
      <w:ind w:left="720" w:right="720"/>
    </w:pPr>
    <w:rPr>
      <w:rFonts w:cs="Batang"/>
      <w:sz w:val="18"/>
      <w:szCs w:val="18"/>
      <w:lang w:val="en-GB"/>
    </w:rPr>
  </w:style>
  <w:style w:type="paragraph" w:customStyle="1" w:styleId="Non-normativeCounterexample1">
    <w:name w:val="Non-normative Counterexample1"/>
    <w:basedOn w:val="Non-normativeExample"/>
    <w:rsid w:val="00E77A30"/>
    <w:pPr>
      <w:shd w:val="clear" w:color="auto" w:fill="FF9999"/>
    </w:pPr>
  </w:style>
  <w:style w:type="paragraph" w:customStyle="1" w:styleId="StyleHeading1Left-0251">
    <w:name w:val="Style Heading 1 + Left:  -0.25&quot;1"/>
    <w:basedOn w:val="Heading1"/>
    <w:rsid w:val="00E77A30"/>
    <w:pPr>
      <w:numPr>
        <w:numId w:val="0"/>
      </w:numPr>
      <w:ind w:left="-360"/>
    </w:pPr>
    <w:rPr>
      <w:rFonts w:cs="Times New Roman"/>
      <w:szCs w:val="20"/>
    </w:rPr>
  </w:style>
  <w:style w:type="character" w:customStyle="1" w:styleId="DocumentMapChar">
    <w:name w:val="Document Map Char"/>
    <w:basedOn w:val="DefaultParagraphFont"/>
    <w:link w:val="DocumentMap"/>
    <w:semiHidden/>
    <w:rsid w:val="00E77A30"/>
    <w:rPr>
      <w:rFonts w:ascii="Tahoma" w:hAnsi="Tahoma" w:cs="Tahoma"/>
      <w:shd w:val="clear" w:color="auto" w:fill="000080"/>
    </w:rPr>
  </w:style>
  <w:style w:type="character" w:customStyle="1" w:styleId="EndnoteTextChar">
    <w:name w:val="Endnote Text Char"/>
    <w:basedOn w:val="DefaultParagraphFont"/>
    <w:link w:val="EndnoteText"/>
    <w:rsid w:val="00E77A30"/>
    <w:rPr>
      <w:rFonts w:ascii="Verdana" w:hAnsi="Verdana"/>
    </w:rPr>
  </w:style>
  <w:style w:type="paragraph" w:customStyle="1" w:styleId="TBBody1">
    <w:name w:val="TB Body1"/>
    <w:rsid w:val="00E77A30"/>
    <w:pPr>
      <w:widowControl w:val="0"/>
      <w:spacing w:before="40" w:after="100" w:line="220" w:lineRule="exact"/>
    </w:pPr>
    <w:rPr>
      <w:rFonts w:ascii="Arial" w:hAnsi="Arial"/>
      <w:sz w:val="19"/>
    </w:rPr>
  </w:style>
  <w:style w:type="paragraph" w:customStyle="1" w:styleId="TBColHead1">
    <w:name w:val="TB Col Head1"/>
    <w:next w:val="TBBody"/>
    <w:rsid w:val="00E77A30"/>
    <w:pPr>
      <w:widowControl w:val="0"/>
      <w:pBdr>
        <w:bottom w:val="single" w:sz="4" w:space="4" w:color="auto"/>
      </w:pBdr>
      <w:spacing w:before="40" w:after="100" w:line="220" w:lineRule="exact"/>
    </w:pPr>
    <w:rPr>
      <w:rFonts w:ascii="Arial" w:hAnsi="Arial"/>
      <w:b/>
      <w:i/>
      <w:sz w:val="18"/>
    </w:rPr>
  </w:style>
  <w:style w:type="paragraph" w:customStyle="1" w:styleId="SBHead1">
    <w:name w:val="SB Head1"/>
    <w:next w:val="SBBody"/>
    <w:rsid w:val="00E77A30"/>
    <w:pPr>
      <w:keepNext/>
      <w:widowControl w:val="0"/>
      <w:spacing w:before="180" w:after="110" w:line="360" w:lineRule="exact"/>
      <w:jc w:val="center"/>
    </w:pPr>
    <w:rPr>
      <w:rFonts w:ascii="Arial" w:hAnsi="Arial"/>
      <w:b/>
      <w:sz w:val="32"/>
    </w:rPr>
  </w:style>
  <w:style w:type="paragraph" w:customStyle="1" w:styleId="SBBody1">
    <w:name w:val="SB Body1"/>
    <w:rsid w:val="00E77A30"/>
    <w:pPr>
      <w:spacing w:after="120" w:line="220" w:lineRule="exact"/>
    </w:pPr>
    <w:rPr>
      <w:rFonts w:ascii="Arial" w:hAnsi="Arial"/>
      <w:sz w:val="18"/>
    </w:rPr>
  </w:style>
  <w:style w:type="table" w:customStyle="1" w:styleId="TableGrid11">
    <w:name w:val="Table Grid11"/>
    <w:basedOn w:val="TableNormal"/>
    <w:next w:val="TableGrid"/>
    <w:uiPriority w:val="59"/>
    <w:rsid w:val="00E77A30"/>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1">
    <w:name w:val="XCP Body Text1"/>
    <w:rsid w:val="00E77A30"/>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styleId="NormalWeb">
    <w:name w:val="Normal (Web)"/>
    <w:basedOn w:val="Normal"/>
    <w:uiPriority w:val="99"/>
    <w:unhideWhenUsed/>
    <w:rsid w:val="00E77A30"/>
    <w:pPr>
      <w:spacing w:before="100" w:beforeAutospacing="1" w:after="100" w:afterAutospacing="1"/>
    </w:pPr>
    <w:rPr>
      <w:rFonts w:ascii="Times New Roman" w:eastAsiaTheme="minorHAnsi" w:hAnsi="Times New Roman"/>
      <w:sz w:val="24"/>
    </w:rPr>
  </w:style>
  <w:style w:type="paragraph" w:customStyle="1" w:styleId="Bullet">
    <w:name w:val="Bullet"/>
    <w:rsid w:val="00E77A30"/>
    <w:pPr>
      <w:tabs>
        <w:tab w:val="right" w:pos="1340"/>
        <w:tab w:val="left" w:pos="1440"/>
      </w:tabs>
      <w:spacing w:after="110" w:line="220" w:lineRule="exact"/>
      <w:ind w:left="1440" w:hanging="1440"/>
    </w:pPr>
    <w:rPr>
      <w:spacing w:val="6"/>
    </w:rPr>
  </w:style>
  <w:style w:type="paragraph" w:customStyle="1" w:styleId="Chap">
    <w:name w:val="Chap #"/>
    <w:next w:val="Normal"/>
    <w:rsid w:val="00E77A30"/>
    <w:pPr>
      <w:widowControl w:val="0"/>
      <w:spacing w:after="240" w:line="500" w:lineRule="exact"/>
      <w:jc w:val="center"/>
    </w:pPr>
    <w:rPr>
      <w:rFonts w:ascii="Arial" w:hAnsi="Arial"/>
      <w:b/>
      <w:sz w:val="36"/>
      <w:u w:val="single"/>
    </w:rPr>
  </w:style>
  <w:style w:type="paragraph" w:customStyle="1" w:styleId="Unnumbered">
    <w:name w:val="Unnumbered"/>
    <w:rsid w:val="00E77A30"/>
    <w:pPr>
      <w:widowControl w:val="0"/>
      <w:spacing w:after="110" w:line="220" w:lineRule="exact"/>
      <w:ind w:left="1440"/>
    </w:pPr>
    <w:rPr>
      <w:spacing w:val="6"/>
    </w:rPr>
  </w:style>
  <w:style w:type="paragraph" w:customStyle="1" w:styleId="NumList">
    <w:name w:val="Num List"/>
    <w:rsid w:val="00E77A30"/>
    <w:pPr>
      <w:tabs>
        <w:tab w:val="right" w:pos="1340"/>
        <w:tab w:val="left" w:pos="1440"/>
      </w:tabs>
      <w:spacing w:after="110" w:line="220" w:lineRule="exact"/>
      <w:ind w:left="1440" w:hanging="1440"/>
    </w:pPr>
    <w:rPr>
      <w:spacing w:val="6"/>
    </w:rPr>
  </w:style>
  <w:style w:type="paragraph" w:customStyle="1" w:styleId="Production">
    <w:name w:val="Production"/>
    <w:link w:val="ProductionChar"/>
    <w:rsid w:val="00E77A30"/>
    <w:pPr>
      <w:widowControl w:val="0"/>
    </w:pPr>
    <w:rPr>
      <w:b/>
      <w:i/>
      <w:color w:val="0000FF"/>
      <w:sz w:val="24"/>
    </w:rPr>
  </w:style>
  <w:style w:type="character" w:customStyle="1" w:styleId="ProductionChar">
    <w:name w:val="Production Char"/>
    <w:basedOn w:val="DefaultParagraphFont"/>
    <w:link w:val="Production"/>
    <w:rsid w:val="00E77A30"/>
    <w:rPr>
      <w:b/>
      <w:i/>
      <w:color w:val="0000FF"/>
      <w:sz w:val="24"/>
    </w:rPr>
  </w:style>
  <w:style w:type="paragraph" w:customStyle="1" w:styleId="TBHead">
    <w:name w:val="TB Head"/>
    <w:next w:val="TBColHead"/>
    <w:rsid w:val="00E77A30"/>
    <w:pPr>
      <w:widowControl w:val="0"/>
      <w:pBdr>
        <w:top w:val="single" w:sz="18" w:space="6" w:color="auto"/>
        <w:bottom w:val="single" w:sz="18" w:space="4" w:color="auto"/>
      </w:pBdr>
      <w:tabs>
        <w:tab w:val="center" w:pos="5400"/>
      </w:tabs>
      <w:spacing w:before="280" w:after="80" w:line="280" w:lineRule="exact"/>
      <w:ind w:left="1260"/>
    </w:pPr>
    <w:rPr>
      <w:rFonts w:ascii="Arial" w:hAnsi="Arial"/>
      <w:b/>
      <w:spacing w:val="6"/>
    </w:rPr>
  </w:style>
  <w:style w:type="paragraph" w:customStyle="1" w:styleId="ChapTitle">
    <w:name w:val="Chap Title"/>
    <w:next w:val="Normal"/>
    <w:rsid w:val="00E77A30"/>
    <w:pPr>
      <w:widowControl w:val="0"/>
      <w:pBdr>
        <w:bottom w:val="dotted" w:sz="18" w:space="19" w:color="808080"/>
      </w:pBdr>
      <w:spacing w:after="240" w:line="720" w:lineRule="exact"/>
      <w:jc w:val="center"/>
    </w:pPr>
    <w:rPr>
      <w:rFonts w:ascii="Arial Narrow" w:hAnsi="Arial Narrow"/>
      <w:b/>
      <w:spacing w:val="-20"/>
      <w:sz w:val="56"/>
    </w:rPr>
  </w:style>
  <w:style w:type="paragraph" w:customStyle="1" w:styleId="IntroHead">
    <w:name w:val="Intro Head"/>
    <w:next w:val="IntroText"/>
    <w:rsid w:val="00E77A30"/>
    <w:pPr>
      <w:widowControl w:val="0"/>
      <w:spacing w:after="80" w:line="220" w:lineRule="exact"/>
      <w:ind w:left="200"/>
    </w:pPr>
    <w:rPr>
      <w:rFonts w:ascii="Georgia" w:hAnsi="Georgia"/>
      <w:b/>
      <w:i/>
    </w:rPr>
  </w:style>
  <w:style w:type="paragraph" w:customStyle="1" w:styleId="IntroText">
    <w:name w:val="Intro Text"/>
    <w:rsid w:val="00E77A30"/>
    <w:pPr>
      <w:widowControl w:val="0"/>
      <w:tabs>
        <w:tab w:val="left" w:pos="360"/>
      </w:tabs>
      <w:spacing w:after="80" w:line="220" w:lineRule="exact"/>
      <w:ind w:left="200"/>
    </w:pPr>
    <w:rPr>
      <w:sz w:val="19"/>
    </w:rPr>
  </w:style>
  <w:style w:type="paragraph" w:customStyle="1" w:styleId="IntroLast">
    <w:name w:val="Intro Last"/>
    <w:basedOn w:val="IntroText"/>
    <w:next w:val="Normal"/>
    <w:rsid w:val="00E77A30"/>
    <w:pPr>
      <w:pBdr>
        <w:bottom w:val="dotted" w:sz="18" w:space="12" w:color="808080"/>
      </w:pBdr>
      <w:spacing w:after="480"/>
    </w:pPr>
  </w:style>
  <w:style w:type="paragraph" w:customStyle="1" w:styleId="CodeLast">
    <w:name w:val="Code Last"/>
    <w:next w:val="Normal"/>
    <w:rsid w:val="00E77A30"/>
    <w:pPr>
      <w:tabs>
        <w:tab w:val="right" w:pos="7700"/>
      </w:tabs>
      <w:spacing w:after="220" w:line="238" w:lineRule="auto"/>
      <w:ind w:left="2333" w:hanging="1195"/>
    </w:pPr>
    <w:rPr>
      <w:rFonts w:ascii="Courier New" w:hAnsi="Courier New"/>
      <w:sz w:val="19"/>
    </w:rPr>
  </w:style>
  <w:style w:type="paragraph" w:customStyle="1" w:styleId="TBLast">
    <w:name w:val="TB Last"/>
    <w:basedOn w:val="TBBody"/>
    <w:next w:val="Normal"/>
    <w:rsid w:val="00E77A30"/>
    <w:pPr>
      <w:spacing w:after="440"/>
    </w:pPr>
  </w:style>
  <w:style w:type="paragraph" w:customStyle="1" w:styleId="NumList2">
    <w:name w:val="Num List 2"/>
    <w:basedOn w:val="NumList"/>
    <w:rsid w:val="00E77A30"/>
    <w:pPr>
      <w:tabs>
        <w:tab w:val="clear" w:pos="1340"/>
        <w:tab w:val="clear" w:pos="1440"/>
        <w:tab w:val="right" w:pos="1860"/>
        <w:tab w:val="left" w:pos="1920"/>
      </w:tabs>
      <w:ind w:left="1920" w:hanging="1920"/>
    </w:pPr>
  </w:style>
  <w:style w:type="paragraph" w:customStyle="1" w:styleId="NumLast">
    <w:name w:val="Num Last"/>
    <w:basedOn w:val="NumList"/>
    <w:next w:val="Normal"/>
    <w:rsid w:val="00E77A30"/>
    <w:pPr>
      <w:spacing w:after="220"/>
    </w:pPr>
  </w:style>
  <w:style w:type="paragraph" w:customStyle="1" w:styleId="Bullet2">
    <w:name w:val="Bullet 2"/>
    <w:basedOn w:val="Bullet"/>
    <w:rsid w:val="00E77A30"/>
    <w:pPr>
      <w:tabs>
        <w:tab w:val="clear" w:pos="1340"/>
        <w:tab w:val="clear" w:pos="1440"/>
        <w:tab w:val="right" w:pos="1860"/>
        <w:tab w:val="left" w:pos="1920"/>
      </w:tabs>
      <w:ind w:left="1920" w:hanging="1920"/>
    </w:pPr>
  </w:style>
  <w:style w:type="paragraph" w:customStyle="1" w:styleId="BulletLast">
    <w:name w:val="Bullet Last"/>
    <w:basedOn w:val="Bullet"/>
    <w:next w:val="Normal"/>
    <w:rsid w:val="00E77A30"/>
    <w:pPr>
      <w:spacing w:after="220"/>
    </w:pPr>
  </w:style>
  <w:style w:type="paragraph" w:customStyle="1" w:styleId="AuthorQuery">
    <w:name w:val="Author Query"/>
    <w:basedOn w:val="Production"/>
    <w:link w:val="AuthorQueryChar"/>
    <w:rsid w:val="00E77A30"/>
    <w:rPr>
      <w:color w:val="FF0000"/>
    </w:rPr>
  </w:style>
  <w:style w:type="character" w:customStyle="1" w:styleId="AuthorQueryChar">
    <w:name w:val="Author Query Char"/>
    <w:basedOn w:val="ProductionChar"/>
    <w:link w:val="AuthorQuery"/>
    <w:rsid w:val="00E77A30"/>
    <w:rPr>
      <w:b/>
      <w:i/>
      <w:color w:val="FF0000"/>
      <w:sz w:val="24"/>
    </w:rPr>
  </w:style>
  <w:style w:type="paragraph" w:customStyle="1" w:styleId="Bullet2Last">
    <w:name w:val="Bullet 2 Last"/>
    <w:basedOn w:val="Bullet2"/>
    <w:next w:val="Normal"/>
    <w:rsid w:val="00E77A30"/>
    <w:pPr>
      <w:spacing w:after="220"/>
    </w:pPr>
  </w:style>
  <w:style w:type="paragraph" w:customStyle="1" w:styleId="Num2Last">
    <w:name w:val="Num 2 Last"/>
    <w:basedOn w:val="NumList2"/>
    <w:next w:val="Normal"/>
    <w:rsid w:val="00E77A30"/>
    <w:pPr>
      <w:spacing w:after="220"/>
    </w:pPr>
  </w:style>
  <w:style w:type="paragraph" w:customStyle="1" w:styleId="SBCode">
    <w:name w:val="SB Code"/>
    <w:basedOn w:val="SBBody"/>
    <w:rsid w:val="00E77A30"/>
    <w:pPr>
      <w:spacing w:after="0"/>
    </w:pPr>
    <w:rPr>
      <w:rFonts w:ascii="Courier New" w:hAnsi="Courier New"/>
      <w:sz w:val="19"/>
    </w:rPr>
  </w:style>
  <w:style w:type="paragraph" w:customStyle="1" w:styleId="Unnumbered-Last">
    <w:name w:val="Unnumbered-Last"/>
    <w:basedOn w:val="Unnumbered"/>
    <w:next w:val="Normal"/>
    <w:rsid w:val="00E77A30"/>
    <w:pPr>
      <w:spacing w:after="220"/>
    </w:pPr>
  </w:style>
  <w:style w:type="paragraph" w:customStyle="1" w:styleId="SBIndent">
    <w:name w:val="SB Indent"/>
    <w:basedOn w:val="SBBody"/>
    <w:rsid w:val="00E77A30"/>
    <w:pPr>
      <w:tabs>
        <w:tab w:val="left" w:pos="216"/>
        <w:tab w:val="left" w:pos="432"/>
      </w:tabs>
      <w:ind w:left="432" w:hanging="432"/>
    </w:pPr>
  </w:style>
  <w:style w:type="paragraph" w:customStyle="1" w:styleId="Code-Indent">
    <w:name w:val="Code-Indent"/>
    <w:rsid w:val="00E77A30"/>
    <w:pPr>
      <w:tabs>
        <w:tab w:val="right" w:pos="7700"/>
      </w:tabs>
      <w:spacing w:line="238" w:lineRule="auto"/>
      <w:ind w:left="1960" w:hanging="360"/>
    </w:pPr>
    <w:rPr>
      <w:rFonts w:ascii="Courier New" w:hAnsi="Courier New"/>
      <w:sz w:val="19"/>
    </w:rPr>
  </w:style>
  <w:style w:type="paragraph" w:customStyle="1" w:styleId="Code-IndentLast">
    <w:name w:val="Code-Indent Last"/>
    <w:basedOn w:val="Code-Indent"/>
    <w:next w:val="Normal"/>
    <w:rsid w:val="00E77A30"/>
    <w:pPr>
      <w:spacing w:after="220"/>
    </w:pPr>
  </w:style>
  <w:style w:type="paragraph" w:customStyle="1" w:styleId="InThisPart">
    <w:name w:val="In This Part"/>
    <w:basedOn w:val="Heading2"/>
    <w:next w:val="Normal"/>
    <w:rsid w:val="00E77A30"/>
    <w:pPr>
      <w:widowControl w:val="0"/>
      <w:numPr>
        <w:ilvl w:val="0"/>
        <w:numId w:val="0"/>
      </w:numPr>
      <w:spacing w:after="190" w:line="400" w:lineRule="exact"/>
      <w:ind w:left="1728"/>
      <w:outlineLvl w:val="9"/>
    </w:pPr>
    <w:rPr>
      <w:rFonts w:ascii="Georgia" w:hAnsi="Georgia" w:cs="Times New Roman"/>
      <w:bCs w:val="0"/>
      <w:iCs w:val="0"/>
      <w:sz w:val="30"/>
      <w:szCs w:val="20"/>
    </w:rPr>
  </w:style>
  <w:style w:type="paragraph" w:customStyle="1" w:styleId="Part">
    <w:name w:val="Part #"/>
    <w:basedOn w:val="Chap"/>
    <w:next w:val="PartTitle"/>
    <w:rsid w:val="00E77A30"/>
  </w:style>
  <w:style w:type="paragraph" w:customStyle="1" w:styleId="PartTitle">
    <w:name w:val="Part Title"/>
    <w:basedOn w:val="ChapTitle"/>
    <w:next w:val="InThisPart"/>
    <w:rsid w:val="00E77A30"/>
  </w:style>
  <w:style w:type="paragraph" w:customStyle="1" w:styleId="EditorQuery">
    <w:name w:val="Editor Query"/>
    <w:basedOn w:val="AuthorQuery"/>
    <w:rsid w:val="00E77A30"/>
    <w:rPr>
      <w:color w:val="FF00FF"/>
    </w:rPr>
  </w:style>
  <w:style w:type="paragraph" w:customStyle="1" w:styleId="MarginArtDirective">
    <w:name w:val="Margin Art Directive"/>
    <w:basedOn w:val="Production"/>
    <w:next w:val="Normal"/>
    <w:rsid w:val="00E77A30"/>
    <w:rPr>
      <w:color w:val="800080"/>
    </w:rPr>
  </w:style>
  <w:style w:type="paragraph" w:customStyle="1" w:styleId="ChapTitlewointro">
    <w:name w:val="Chap Title w/o intro"/>
    <w:basedOn w:val="ChapTitle"/>
    <w:rsid w:val="00E77A30"/>
    <w:pPr>
      <w:spacing w:after="520"/>
    </w:pPr>
  </w:style>
  <w:style w:type="paragraph" w:customStyle="1" w:styleId="Figure">
    <w:name w:val="Figure"/>
    <w:next w:val="Normal"/>
    <w:rsid w:val="00E77A30"/>
    <w:pPr>
      <w:spacing w:before="60" w:after="120"/>
      <w:ind w:left="1022"/>
    </w:pPr>
  </w:style>
  <w:style w:type="paragraph" w:customStyle="1" w:styleId="ChapTitleworule">
    <w:name w:val="Chap Title w/o rule"/>
    <w:basedOn w:val="ChapTitle"/>
    <w:rsid w:val="00E77A30"/>
    <w:pPr>
      <w:pBdr>
        <w:bottom w:val="none" w:sz="0" w:space="0" w:color="auto"/>
      </w:pBdr>
    </w:pPr>
  </w:style>
  <w:style w:type="paragraph" w:styleId="Quote">
    <w:name w:val="Quote"/>
    <w:basedOn w:val="Normal"/>
    <w:link w:val="QuoteChar"/>
    <w:qFormat/>
    <w:rsid w:val="00E77A30"/>
    <w:pPr>
      <w:spacing w:after="110" w:line="220" w:lineRule="exact"/>
      <w:ind w:left="1440"/>
    </w:pPr>
    <w:rPr>
      <w:rFonts w:ascii="Times New Roman" w:hAnsi="Times New Roman"/>
      <w:i/>
      <w:spacing w:val="6"/>
      <w:szCs w:val="20"/>
    </w:rPr>
  </w:style>
  <w:style w:type="character" w:customStyle="1" w:styleId="QuoteChar">
    <w:name w:val="Quote Char"/>
    <w:basedOn w:val="DefaultParagraphFont"/>
    <w:link w:val="Quote"/>
    <w:rsid w:val="00E77A30"/>
    <w:rPr>
      <w:i/>
      <w:spacing w:val="6"/>
    </w:rPr>
  </w:style>
  <w:style w:type="character" w:customStyle="1" w:styleId="QuoteChar1">
    <w:name w:val="Quote Char1"/>
    <w:basedOn w:val="DefaultParagraphFont"/>
    <w:rsid w:val="00E77A30"/>
    <w:rPr>
      <w:i/>
      <w:spacing w:val="6"/>
    </w:rPr>
  </w:style>
  <w:style w:type="paragraph" w:customStyle="1" w:styleId="QuoteLast">
    <w:name w:val="Quote Last"/>
    <w:basedOn w:val="Quote"/>
    <w:next w:val="Normal"/>
    <w:rsid w:val="00E77A30"/>
    <w:pPr>
      <w:spacing w:after="220"/>
      <w:jc w:val="right"/>
    </w:pPr>
  </w:style>
  <w:style w:type="paragraph" w:customStyle="1" w:styleId="ListingHead">
    <w:name w:val="Listing Head"/>
    <w:rsid w:val="00E77A30"/>
    <w:pPr>
      <w:pBdr>
        <w:bottom w:val="single" w:sz="4" w:space="2" w:color="auto"/>
      </w:pBdr>
      <w:tabs>
        <w:tab w:val="left" w:pos="2434"/>
      </w:tabs>
      <w:spacing w:before="120" w:after="80" w:line="280" w:lineRule="exact"/>
      <w:ind w:left="1022"/>
    </w:pPr>
    <w:rPr>
      <w:rFonts w:ascii="Arial Narrow Bold" w:hAnsi="Arial Narrow Bold"/>
      <w:spacing w:val="4"/>
      <w:sz w:val="22"/>
    </w:rPr>
  </w:style>
  <w:style w:type="paragraph" w:customStyle="1" w:styleId="Bylinewointro">
    <w:name w:val="Byline w/o intro"/>
    <w:rsid w:val="00E77A30"/>
    <w:pPr>
      <w:pBdr>
        <w:bottom w:val="dotted" w:sz="18" w:space="12" w:color="808080"/>
      </w:pBdr>
      <w:spacing w:before="120" w:after="500"/>
      <w:ind w:left="180"/>
      <w:jc w:val="center"/>
    </w:pPr>
    <w:rPr>
      <w:rFonts w:ascii="Arial" w:hAnsi="Arial"/>
      <w:i/>
      <w:spacing w:val="-2"/>
      <w:sz w:val="15"/>
    </w:rPr>
  </w:style>
  <w:style w:type="paragraph" w:customStyle="1" w:styleId="MiniTBColHead">
    <w:name w:val="Mini TB Col Head"/>
    <w:basedOn w:val="Normal"/>
    <w:next w:val="MiniTBBody"/>
    <w:rsid w:val="00E77A30"/>
    <w:pPr>
      <w:spacing w:after="110" w:line="220" w:lineRule="exact"/>
      <w:ind w:left="4000" w:hanging="2978"/>
    </w:pPr>
    <w:rPr>
      <w:rFonts w:ascii="Times New Roman" w:hAnsi="Times New Roman"/>
      <w:b/>
      <w:i/>
      <w:spacing w:val="6"/>
      <w:szCs w:val="20"/>
    </w:rPr>
  </w:style>
  <w:style w:type="paragraph" w:customStyle="1" w:styleId="MiniTBBody">
    <w:name w:val="Mini TB Body"/>
    <w:basedOn w:val="Normal"/>
    <w:rsid w:val="00E77A30"/>
    <w:pPr>
      <w:tabs>
        <w:tab w:val="left" w:pos="4000"/>
      </w:tabs>
      <w:spacing w:line="220" w:lineRule="exact"/>
      <w:ind w:left="4000" w:hanging="2978"/>
    </w:pPr>
    <w:rPr>
      <w:rFonts w:ascii="Times New Roman" w:hAnsi="Times New Roman"/>
      <w:spacing w:val="6"/>
      <w:szCs w:val="20"/>
    </w:rPr>
  </w:style>
  <w:style w:type="paragraph" w:customStyle="1" w:styleId="MiniTBLast">
    <w:name w:val="Mini TB Last"/>
    <w:basedOn w:val="MiniTBBody"/>
    <w:rsid w:val="00E77A30"/>
    <w:pPr>
      <w:spacing w:after="220"/>
    </w:pPr>
  </w:style>
  <w:style w:type="paragraph" w:customStyle="1" w:styleId="PhotoCredit">
    <w:name w:val="Photo Credit"/>
    <w:next w:val="Normal"/>
    <w:rsid w:val="00E77A30"/>
    <w:pPr>
      <w:spacing w:after="80" w:line="160" w:lineRule="exact"/>
    </w:pPr>
    <w:rPr>
      <w:i/>
      <w:sz w:val="16"/>
    </w:rPr>
  </w:style>
  <w:style w:type="paragraph" w:customStyle="1" w:styleId="Byline">
    <w:name w:val="Byline"/>
    <w:rsid w:val="00E77A30"/>
    <w:pPr>
      <w:pBdr>
        <w:bottom w:val="dotted" w:sz="18" w:space="20" w:color="808080"/>
      </w:pBdr>
      <w:spacing w:before="120" w:after="220" w:line="200" w:lineRule="exact"/>
      <w:jc w:val="center"/>
    </w:pPr>
    <w:rPr>
      <w:rFonts w:ascii="Arial" w:hAnsi="Arial"/>
      <w:sz w:val="16"/>
    </w:rPr>
  </w:style>
  <w:style w:type="paragraph" w:customStyle="1" w:styleId="Code80">
    <w:name w:val="Code80"/>
    <w:rsid w:val="00E77A30"/>
    <w:pPr>
      <w:widowControl w:val="0"/>
      <w:tabs>
        <w:tab w:val="right" w:pos="7700"/>
      </w:tabs>
      <w:spacing w:line="269" w:lineRule="auto"/>
      <w:ind w:left="2333" w:hanging="1195"/>
    </w:pPr>
    <w:rPr>
      <w:rFonts w:ascii="Courier New" w:hAnsi="Courier New"/>
      <w:w w:val="86"/>
      <w:sz w:val="16"/>
    </w:rPr>
  </w:style>
  <w:style w:type="paragraph" w:customStyle="1" w:styleId="Code80Last">
    <w:name w:val="Code80 Last"/>
    <w:basedOn w:val="Code80"/>
    <w:next w:val="Normal"/>
    <w:rsid w:val="00E77A30"/>
    <w:pPr>
      <w:spacing w:after="220"/>
    </w:pPr>
  </w:style>
  <w:style w:type="paragraph" w:customStyle="1" w:styleId="Code80-Indent">
    <w:name w:val="Code80-Indent"/>
    <w:basedOn w:val="Code80"/>
    <w:rsid w:val="00E77A30"/>
    <w:pPr>
      <w:ind w:left="2520" w:hanging="920"/>
    </w:pPr>
  </w:style>
  <w:style w:type="paragraph" w:customStyle="1" w:styleId="Code80-IndentLast">
    <w:name w:val="Code80-Indent Last"/>
    <w:basedOn w:val="Code80-Indent"/>
    <w:next w:val="Normal"/>
    <w:rsid w:val="00E77A30"/>
    <w:pPr>
      <w:spacing w:after="220"/>
    </w:pPr>
  </w:style>
  <w:style w:type="paragraph" w:customStyle="1" w:styleId="ChapterTitlewointro">
    <w:name w:val="Chapter Title w/o intro"/>
    <w:basedOn w:val="ChapTitle"/>
    <w:rsid w:val="00E77A30"/>
    <w:pPr>
      <w:spacing w:after="480"/>
    </w:pPr>
  </w:style>
  <w:style w:type="paragraph" w:customStyle="1" w:styleId="TBLastwSource">
    <w:name w:val="TB Last w/Source"/>
    <w:basedOn w:val="TBLast"/>
    <w:rsid w:val="00E77A30"/>
    <w:pPr>
      <w:spacing w:after="100"/>
    </w:pPr>
  </w:style>
  <w:style w:type="paragraph" w:customStyle="1" w:styleId="TBSource">
    <w:name w:val="TB Source"/>
    <w:rsid w:val="00E77A30"/>
    <w:pPr>
      <w:spacing w:after="360" w:line="220" w:lineRule="exact"/>
      <w:ind w:left="1440" w:right="240"/>
    </w:pPr>
    <w:rPr>
      <w:rFonts w:ascii="Arial" w:hAnsi="Arial"/>
      <w:i/>
      <w:sz w:val="15"/>
    </w:rPr>
  </w:style>
  <w:style w:type="paragraph" w:customStyle="1" w:styleId="PartNormal">
    <w:name w:val="Part Normal"/>
    <w:basedOn w:val="Normal"/>
    <w:rsid w:val="00E77A30"/>
    <w:pPr>
      <w:spacing w:after="220" w:line="220" w:lineRule="exact"/>
      <w:ind w:left="1022" w:right="1742"/>
    </w:pPr>
    <w:rPr>
      <w:rFonts w:ascii="Times New Roman" w:hAnsi="Times New Roman"/>
      <w:spacing w:val="6"/>
      <w:szCs w:val="20"/>
    </w:rPr>
  </w:style>
  <w:style w:type="paragraph" w:customStyle="1" w:styleId="PartBullet">
    <w:name w:val="Part Bullet"/>
    <w:basedOn w:val="Bullet"/>
    <w:rsid w:val="00E77A30"/>
    <w:pPr>
      <w:tabs>
        <w:tab w:val="clear" w:pos="1340"/>
        <w:tab w:val="clear" w:pos="1440"/>
        <w:tab w:val="right" w:pos="1570"/>
        <w:tab w:val="left" w:pos="1714"/>
      </w:tabs>
      <w:ind w:left="1714" w:hanging="1714"/>
    </w:pPr>
  </w:style>
  <w:style w:type="paragraph" w:customStyle="1" w:styleId="PartBulletLast">
    <w:name w:val="Part Bullet Last"/>
    <w:basedOn w:val="PartBullet"/>
    <w:rsid w:val="00E77A30"/>
    <w:pPr>
      <w:spacing w:after="220"/>
    </w:pPr>
  </w:style>
  <w:style w:type="paragraph" w:customStyle="1" w:styleId="Bylinewithoutintro">
    <w:name w:val="Byline without intro"/>
    <w:basedOn w:val="Byline"/>
    <w:next w:val="Normal"/>
    <w:rsid w:val="00E77A30"/>
    <w:pPr>
      <w:pBdr>
        <w:bottom w:val="dotted" w:sz="18" w:space="4" w:color="auto"/>
      </w:pBdr>
    </w:pPr>
  </w:style>
  <w:style w:type="paragraph" w:customStyle="1" w:styleId="ActivitiesHead">
    <w:name w:val="Activities Head"/>
    <w:basedOn w:val="Normal"/>
    <w:rsid w:val="00E77A30"/>
    <w:pPr>
      <w:spacing w:before="60" w:after="60" w:line="230" w:lineRule="exact"/>
      <w:ind w:left="1022"/>
    </w:pPr>
    <w:rPr>
      <w:rFonts w:ascii="Times New Roman" w:hAnsi="Times New Roman"/>
      <w:b/>
      <w:spacing w:val="6"/>
      <w:sz w:val="21"/>
      <w:szCs w:val="20"/>
    </w:rPr>
  </w:style>
  <w:style w:type="paragraph" w:customStyle="1" w:styleId="Caption-Under">
    <w:name w:val="Caption-Under"/>
    <w:rsid w:val="00E77A30"/>
    <w:pPr>
      <w:spacing w:line="220" w:lineRule="exact"/>
      <w:ind w:left="1022"/>
    </w:pPr>
    <w:rPr>
      <w:rFonts w:ascii="Arial" w:hAnsi="Arial"/>
      <w:sz w:val="18"/>
    </w:rPr>
  </w:style>
  <w:style w:type="paragraph" w:customStyle="1" w:styleId="SBCode80">
    <w:name w:val="SB Code 80"/>
    <w:basedOn w:val="Code80"/>
    <w:rsid w:val="00E77A30"/>
    <w:pPr>
      <w:ind w:left="780" w:hanging="780"/>
    </w:pPr>
  </w:style>
  <w:style w:type="paragraph" w:customStyle="1" w:styleId="SBCode80Indent">
    <w:name w:val="SB Code 80 Indent"/>
    <w:basedOn w:val="SBCode80"/>
    <w:rsid w:val="00E77A30"/>
    <w:pPr>
      <w:ind w:left="1200"/>
    </w:pPr>
  </w:style>
  <w:style w:type="paragraph" w:customStyle="1" w:styleId="SBCode80Last">
    <w:name w:val="SB Code 80 Last"/>
    <w:basedOn w:val="SBCode80"/>
    <w:rsid w:val="00E77A30"/>
    <w:pPr>
      <w:spacing w:after="110"/>
    </w:pPr>
  </w:style>
  <w:style w:type="paragraph" w:customStyle="1" w:styleId="SBCode80IndentLast">
    <w:name w:val="SB Code 80 Indent Last"/>
    <w:basedOn w:val="SBCode80Indent"/>
    <w:rsid w:val="00E77A30"/>
    <w:pPr>
      <w:spacing w:after="110"/>
    </w:pPr>
  </w:style>
  <w:style w:type="paragraph" w:customStyle="1" w:styleId="CBBulletwArrowLast">
    <w:name w:val="CB Bullet w/Arrow Last"/>
    <w:basedOn w:val="Normal"/>
    <w:rsid w:val="00E77A30"/>
    <w:pPr>
      <w:tabs>
        <w:tab w:val="left" w:pos="1340"/>
        <w:tab w:val="left" w:pos="1860"/>
      </w:tabs>
      <w:spacing w:after="220" w:line="220" w:lineRule="exact"/>
      <w:ind w:left="1860" w:hanging="1860"/>
    </w:pPr>
    <w:rPr>
      <w:rFonts w:ascii="Times New Roman" w:hAnsi="Times New Roman"/>
      <w:spacing w:val="6"/>
      <w:sz w:val="19"/>
      <w:szCs w:val="20"/>
    </w:rPr>
  </w:style>
  <w:style w:type="paragraph" w:customStyle="1" w:styleId="CBBulletwArrow">
    <w:name w:val="CB Bullet w/Arrow"/>
    <w:basedOn w:val="Normal"/>
    <w:rsid w:val="00E77A30"/>
    <w:pPr>
      <w:tabs>
        <w:tab w:val="left" w:pos="1340"/>
        <w:tab w:val="left" w:pos="1860"/>
      </w:tabs>
      <w:spacing w:after="110" w:line="220" w:lineRule="exact"/>
      <w:ind w:left="1860" w:hanging="1860"/>
    </w:pPr>
    <w:rPr>
      <w:rFonts w:ascii="Times New Roman" w:hAnsi="Times New Roman"/>
      <w:spacing w:val="6"/>
      <w:sz w:val="19"/>
      <w:szCs w:val="20"/>
    </w:rPr>
  </w:style>
  <w:style w:type="paragraph" w:customStyle="1" w:styleId="CodeLastwrule">
    <w:name w:val="Code Last w/rule"/>
    <w:basedOn w:val="CodeLast"/>
    <w:rsid w:val="00E77A30"/>
    <w:pPr>
      <w:pBdr>
        <w:bottom w:val="single" w:sz="4" w:space="1" w:color="auto"/>
      </w:pBdr>
    </w:pPr>
  </w:style>
  <w:style w:type="paragraph" w:customStyle="1" w:styleId="Code80Lastwrule">
    <w:name w:val="Code80 Last w/rule"/>
    <w:basedOn w:val="Code80Last"/>
    <w:rsid w:val="00E77A30"/>
    <w:pPr>
      <w:pBdr>
        <w:bottom w:val="single" w:sz="4" w:space="1" w:color="auto"/>
      </w:pBdr>
    </w:pPr>
  </w:style>
  <w:style w:type="paragraph" w:customStyle="1" w:styleId="CBBulletw">
    <w:name w:val="CB Bullet w/#"/>
    <w:basedOn w:val="CBBulletwArrow"/>
    <w:rsid w:val="00E77A30"/>
    <w:pPr>
      <w:tabs>
        <w:tab w:val="clear" w:pos="1340"/>
        <w:tab w:val="clear" w:pos="1860"/>
        <w:tab w:val="left" w:pos="1001"/>
        <w:tab w:val="left" w:pos="1716"/>
      </w:tabs>
      <w:ind w:left="1714" w:hanging="1714"/>
    </w:pPr>
  </w:style>
  <w:style w:type="paragraph" w:customStyle="1" w:styleId="CBBullet2w">
    <w:name w:val="CB Bullet 2 w/#"/>
    <w:basedOn w:val="CBBulletw"/>
    <w:rsid w:val="00E77A30"/>
    <w:pPr>
      <w:tabs>
        <w:tab w:val="clear" w:pos="1001"/>
        <w:tab w:val="left" w:pos="2145"/>
      </w:tabs>
      <w:ind w:left="2145" w:hanging="2145"/>
    </w:pPr>
  </w:style>
  <w:style w:type="paragraph" w:customStyle="1" w:styleId="CBBulletwLast">
    <w:name w:val="CB Bullet w/# Last"/>
    <w:basedOn w:val="CBBulletw"/>
    <w:rsid w:val="00E77A30"/>
    <w:pPr>
      <w:spacing w:after="220"/>
    </w:pPr>
  </w:style>
  <w:style w:type="paragraph" w:customStyle="1" w:styleId="CBBullet2wLast">
    <w:name w:val="CB Bullet 2 w/# Last"/>
    <w:basedOn w:val="CBBullet2w"/>
    <w:rsid w:val="00E77A30"/>
    <w:pPr>
      <w:spacing w:after="220"/>
      <w:ind w:left="2146" w:hanging="2146"/>
    </w:pPr>
  </w:style>
  <w:style w:type="paragraph" w:customStyle="1" w:styleId="Code-Indentpre-List">
    <w:name w:val="Code-Indent pre-List"/>
    <w:basedOn w:val="Code-Indent"/>
    <w:rsid w:val="00E77A30"/>
    <w:pPr>
      <w:spacing w:after="110"/>
    </w:pPr>
  </w:style>
  <w:style w:type="paragraph" w:customStyle="1" w:styleId="Code80-Indentpre-List">
    <w:name w:val="Code80-Indent pre-List"/>
    <w:basedOn w:val="Code80-Indent"/>
    <w:rsid w:val="00E77A30"/>
    <w:pPr>
      <w:spacing w:after="110"/>
      <w:ind w:hanging="922"/>
    </w:pPr>
  </w:style>
  <w:style w:type="paragraph" w:customStyle="1" w:styleId="SBCodelast">
    <w:name w:val="SB Code last"/>
    <w:basedOn w:val="SBCode"/>
    <w:rsid w:val="00E77A30"/>
    <w:pPr>
      <w:spacing w:after="110"/>
    </w:pPr>
  </w:style>
  <w:style w:type="paragraph" w:styleId="Bibliography">
    <w:name w:val="Bibliography"/>
    <w:basedOn w:val="Normal"/>
    <w:next w:val="Normal"/>
    <w:uiPriority w:val="37"/>
    <w:unhideWhenUsed/>
    <w:rsid w:val="00E77A30"/>
    <w:pPr>
      <w:spacing w:after="220" w:line="220" w:lineRule="exact"/>
      <w:ind w:left="1022"/>
    </w:pPr>
    <w:rPr>
      <w:rFonts w:ascii="Times New Roman" w:hAnsi="Times New Roman"/>
      <w:spacing w:val="6"/>
      <w:szCs w:val="20"/>
    </w:rPr>
  </w:style>
  <w:style w:type="paragraph" w:customStyle="1" w:styleId="AuthorQueryNotItalic">
    <w:name w:val="Author Query + Not Italic"/>
    <w:basedOn w:val="AuthorQuery"/>
    <w:link w:val="AuthorQueryNotItalicChar"/>
    <w:rsid w:val="00E77A30"/>
    <w:rPr>
      <w:rFonts w:eastAsia="Times"/>
      <w:i w:val="0"/>
    </w:rPr>
  </w:style>
  <w:style w:type="character" w:customStyle="1" w:styleId="AuthorQueryNotItalicChar">
    <w:name w:val="Author Query + Not Italic Char"/>
    <w:basedOn w:val="AuthorQueryChar"/>
    <w:link w:val="AuthorQueryNotItalic"/>
    <w:rsid w:val="00E77A30"/>
    <w:rPr>
      <w:rFonts w:eastAsia="Times"/>
      <w:b/>
      <w:i w:val="0"/>
      <w:color w:val="FF0000"/>
      <w:sz w:val="24"/>
    </w:rPr>
  </w:style>
  <w:style w:type="character" w:customStyle="1" w:styleId="CodeChar">
    <w:name w:val="Code Char"/>
    <w:basedOn w:val="DefaultParagraphFont"/>
    <w:rsid w:val="00E77A30"/>
    <w:rPr>
      <w:rFonts w:ascii="Courier New" w:eastAsia="Times New Roman" w:hAnsi="Courier New" w:cs="Times New Roman"/>
      <w:sz w:val="19"/>
      <w:szCs w:val="20"/>
    </w:rPr>
  </w:style>
  <w:style w:type="character" w:styleId="UnresolvedMention">
    <w:name w:val="Unresolved Mention"/>
    <w:basedOn w:val="DefaultParagraphFont"/>
    <w:uiPriority w:val="99"/>
    <w:semiHidden/>
    <w:unhideWhenUsed/>
    <w:rsid w:val="00E77A30"/>
    <w:rPr>
      <w:color w:val="605E5C"/>
      <w:shd w:val="clear" w:color="auto" w:fill="E1DFDD"/>
    </w:rPr>
  </w:style>
  <w:style w:type="character" w:customStyle="1" w:styleId="FootnoteTextChar4">
    <w:name w:val="Footnote Text Char4"/>
    <w:basedOn w:val="DefaultParagraphFont"/>
    <w:uiPriority w:val="99"/>
    <w:rsid w:val="00E77A30"/>
    <w:rPr>
      <w:rFonts w:ascii="Verdana" w:hAnsi="Verdana"/>
    </w:rPr>
  </w:style>
  <w:style w:type="character" w:customStyle="1" w:styleId="Heading4Char1">
    <w:name w:val="Heading 4 Char1"/>
    <w:basedOn w:val="DefaultParagraphFont"/>
    <w:rsid w:val="00E77A30"/>
    <w:rPr>
      <w:rFonts w:ascii="Arial" w:hAnsi="Arial"/>
      <w:b/>
      <w:bCs/>
      <w:sz w:val="24"/>
      <w:szCs w:val="28"/>
    </w:rPr>
  </w:style>
  <w:style w:type="character" w:customStyle="1" w:styleId="Heading5Char1">
    <w:name w:val="Heading 5 Char1"/>
    <w:basedOn w:val="DefaultParagraphFont"/>
    <w:rsid w:val="00E77A30"/>
    <w:rPr>
      <w:rFonts w:ascii="Verdana" w:hAnsi="Verdana"/>
      <w:b/>
      <w:bCs/>
      <w:i/>
      <w:iCs/>
      <w:sz w:val="26"/>
      <w:szCs w:val="26"/>
    </w:rPr>
  </w:style>
  <w:style w:type="character" w:customStyle="1" w:styleId="Heading6Char">
    <w:name w:val="Heading 6 Char"/>
    <w:basedOn w:val="DefaultParagraphFont"/>
    <w:link w:val="Heading6"/>
    <w:rsid w:val="00E77A30"/>
    <w:rPr>
      <w:b/>
      <w:bCs/>
      <w:sz w:val="22"/>
      <w:szCs w:val="22"/>
    </w:rPr>
  </w:style>
  <w:style w:type="character" w:customStyle="1" w:styleId="Heading7Char">
    <w:name w:val="Heading 7 Char"/>
    <w:basedOn w:val="DefaultParagraphFont"/>
    <w:link w:val="Heading7"/>
    <w:rsid w:val="00E77A30"/>
    <w:rPr>
      <w:rFonts w:ascii="Arial" w:hAnsi="Arial"/>
      <w:sz w:val="24"/>
    </w:rPr>
  </w:style>
  <w:style w:type="character" w:customStyle="1" w:styleId="Heading8Char">
    <w:name w:val="Heading 8 Char"/>
    <w:basedOn w:val="DefaultParagraphFont"/>
    <w:link w:val="Heading8"/>
    <w:rsid w:val="00E77A30"/>
    <w:rPr>
      <w:rFonts w:ascii="Arial" w:hAnsi="Arial"/>
      <w:i/>
      <w:sz w:val="24"/>
    </w:rPr>
  </w:style>
  <w:style w:type="character" w:customStyle="1" w:styleId="Heading9Char">
    <w:name w:val="Heading 9 Char"/>
    <w:basedOn w:val="DefaultParagraphFont"/>
    <w:link w:val="Heading9"/>
    <w:rsid w:val="00E77A30"/>
    <w:rPr>
      <w:rFonts w:ascii="Arial" w:hAnsi="Arial"/>
      <w:i/>
      <w:sz w:val="18"/>
    </w:rPr>
  </w:style>
  <w:style w:type="character" w:customStyle="1" w:styleId="CommentSubjectChar1">
    <w:name w:val="Comment Subject Char1"/>
    <w:basedOn w:val="CommentTextChar"/>
    <w:semiHidden/>
    <w:rsid w:val="00E77A30"/>
    <w:rPr>
      <w:rFonts w:ascii="Verdana" w:hAnsi="Verdana"/>
      <w:b/>
      <w:bCs/>
    </w:rPr>
  </w:style>
  <w:style w:type="character" w:customStyle="1" w:styleId="DocumentMapChar1">
    <w:name w:val="Document Map Char1"/>
    <w:basedOn w:val="DefaultParagraphFont"/>
    <w:semiHidden/>
    <w:rsid w:val="00E77A30"/>
    <w:rPr>
      <w:rFonts w:ascii="Tahoma" w:hAnsi="Tahoma" w:cs="Tahoma"/>
      <w:shd w:val="clear" w:color="auto" w:fill="000080"/>
    </w:rPr>
  </w:style>
  <w:style w:type="character" w:customStyle="1" w:styleId="EndnoteTextChar1">
    <w:name w:val="Endnote Text Char1"/>
    <w:basedOn w:val="DefaultParagraphFont"/>
    <w:semiHidden/>
    <w:rsid w:val="00E77A30"/>
    <w:rPr>
      <w:rFonts w:ascii="Verdana" w:hAnsi="Verdana"/>
    </w:rPr>
  </w:style>
  <w:style w:type="character" w:customStyle="1" w:styleId="Heading4Char2">
    <w:name w:val="Heading 4 Char2"/>
    <w:basedOn w:val="DefaultParagraphFont"/>
    <w:rsid w:val="00E77A30"/>
    <w:rPr>
      <w:rFonts w:ascii="Arial" w:hAnsi="Arial"/>
      <w:b/>
      <w:bCs/>
      <w:sz w:val="24"/>
      <w:szCs w:val="28"/>
    </w:rPr>
  </w:style>
  <w:style w:type="character" w:customStyle="1" w:styleId="Heading5Char2">
    <w:name w:val="Heading 5 Char2"/>
    <w:basedOn w:val="DefaultParagraphFont"/>
    <w:rsid w:val="00E77A30"/>
    <w:rPr>
      <w:rFonts w:ascii="Verdana" w:hAnsi="Verdana"/>
      <w:b/>
      <w:bCs/>
      <w:i/>
      <w:iCs/>
      <w:sz w:val="26"/>
      <w:szCs w:val="26"/>
    </w:rPr>
  </w:style>
  <w:style w:type="character" w:customStyle="1" w:styleId="Heading6Char1">
    <w:name w:val="Heading 6 Char1"/>
    <w:basedOn w:val="DefaultParagraphFont"/>
    <w:rsid w:val="00E77A30"/>
    <w:rPr>
      <w:b/>
      <w:bCs/>
      <w:sz w:val="22"/>
      <w:szCs w:val="22"/>
    </w:rPr>
  </w:style>
  <w:style w:type="character" w:customStyle="1" w:styleId="Heading7Char1">
    <w:name w:val="Heading 7 Char1"/>
    <w:basedOn w:val="DefaultParagraphFont"/>
    <w:rsid w:val="00E77A30"/>
    <w:rPr>
      <w:rFonts w:ascii="Arial" w:hAnsi="Arial"/>
      <w:sz w:val="24"/>
    </w:rPr>
  </w:style>
  <w:style w:type="character" w:customStyle="1" w:styleId="Heading8Char1">
    <w:name w:val="Heading 8 Char1"/>
    <w:basedOn w:val="DefaultParagraphFont"/>
    <w:rsid w:val="00E77A30"/>
    <w:rPr>
      <w:rFonts w:ascii="Arial" w:hAnsi="Arial"/>
      <w:i/>
      <w:sz w:val="24"/>
    </w:rPr>
  </w:style>
  <w:style w:type="character" w:customStyle="1" w:styleId="Heading9Char1">
    <w:name w:val="Heading 9 Char1"/>
    <w:basedOn w:val="DefaultParagraphFont"/>
    <w:rsid w:val="00E77A30"/>
    <w:rPr>
      <w:rFonts w:ascii="Arial" w:hAnsi="Arial"/>
      <w:i/>
      <w:sz w:val="18"/>
    </w:rPr>
  </w:style>
  <w:style w:type="character" w:customStyle="1" w:styleId="CommentSubjectChar2">
    <w:name w:val="Comment Subject Char2"/>
    <w:basedOn w:val="CommentTextChar"/>
    <w:semiHidden/>
    <w:rsid w:val="00E77A30"/>
    <w:rPr>
      <w:rFonts w:ascii="Verdana" w:hAnsi="Verdana"/>
      <w:b/>
      <w:bCs/>
    </w:rPr>
  </w:style>
  <w:style w:type="character" w:customStyle="1" w:styleId="DocumentMapChar2">
    <w:name w:val="Document Map Char2"/>
    <w:basedOn w:val="DefaultParagraphFont"/>
    <w:semiHidden/>
    <w:rsid w:val="00E77A30"/>
    <w:rPr>
      <w:rFonts w:ascii="Tahoma" w:hAnsi="Tahoma" w:cs="Tahoma"/>
      <w:shd w:val="clear" w:color="auto" w:fill="000080"/>
    </w:rPr>
  </w:style>
  <w:style w:type="character" w:customStyle="1" w:styleId="EndnoteTextChar2">
    <w:name w:val="Endnote Text Char2"/>
    <w:basedOn w:val="DefaultParagraphFont"/>
    <w:semiHidden/>
    <w:rsid w:val="00E77A30"/>
    <w:rPr>
      <w:rFonts w:ascii="Verdana" w:hAnsi="Verdana"/>
    </w:rPr>
  </w:style>
  <w:style w:type="character" w:customStyle="1" w:styleId="Heading4Char3">
    <w:name w:val="Heading 4 Char3"/>
    <w:basedOn w:val="DefaultParagraphFont"/>
    <w:rsid w:val="00E77A30"/>
    <w:rPr>
      <w:rFonts w:ascii="Arial" w:hAnsi="Arial"/>
      <w:b/>
      <w:bCs/>
      <w:sz w:val="24"/>
      <w:szCs w:val="28"/>
    </w:rPr>
  </w:style>
  <w:style w:type="character" w:customStyle="1" w:styleId="Heading5Char3">
    <w:name w:val="Heading 5 Char3"/>
    <w:basedOn w:val="DefaultParagraphFont"/>
    <w:rsid w:val="00E77A30"/>
    <w:rPr>
      <w:rFonts w:ascii="Verdana" w:hAnsi="Verdana"/>
      <w:b/>
      <w:bCs/>
      <w:i/>
      <w:iCs/>
      <w:sz w:val="26"/>
      <w:szCs w:val="26"/>
    </w:rPr>
  </w:style>
  <w:style w:type="character" w:customStyle="1" w:styleId="Heading6Char2">
    <w:name w:val="Heading 6 Char2"/>
    <w:basedOn w:val="DefaultParagraphFont"/>
    <w:rsid w:val="00E77A30"/>
    <w:rPr>
      <w:b/>
      <w:bCs/>
      <w:sz w:val="22"/>
      <w:szCs w:val="22"/>
    </w:rPr>
  </w:style>
  <w:style w:type="character" w:customStyle="1" w:styleId="Heading7Char2">
    <w:name w:val="Heading 7 Char2"/>
    <w:basedOn w:val="DefaultParagraphFont"/>
    <w:rsid w:val="00E77A30"/>
    <w:rPr>
      <w:rFonts w:ascii="Arial" w:hAnsi="Arial"/>
      <w:sz w:val="24"/>
    </w:rPr>
  </w:style>
  <w:style w:type="character" w:customStyle="1" w:styleId="Heading8Char2">
    <w:name w:val="Heading 8 Char2"/>
    <w:basedOn w:val="DefaultParagraphFont"/>
    <w:rsid w:val="00E77A30"/>
    <w:rPr>
      <w:rFonts w:ascii="Arial" w:hAnsi="Arial"/>
      <w:i/>
      <w:sz w:val="24"/>
    </w:rPr>
  </w:style>
  <w:style w:type="character" w:customStyle="1" w:styleId="Heading9Char2">
    <w:name w:val="Heading 9 Char2"/>
    <w:basedOn w:val="DefaultParagraphFont"/>
    <w:rsid w:val="00E77A30"/>
    <w:rPr>
      <w:rFonts w:ascii="Arial" w:hAnsi="Arial"/>
      <w:i/>
      <w:sz w:val="18"/>
    </w:rPr>
  </w:style>
  <w:style w:type="character" w:customStyle="1" w:styleId="CommentSubjectChar3">
    <w:name w:val="Comment Subject Char3"/>
    <w:basedOn w:val="CommentTextChar"/>
    <w:semiHidden/>
    <w:rsid w:val="00E77A30"/>
    <w:rPr>
      <w:rFonts w:ascii="Verdana" w:hAnsi="Verdana"/>
      <w:b/>
      <w:bCs/>
    </w:rPr>
  </w:style>
  <w:style w:type="character" w:customStyle="1" w:styleId="DocumentMapChar3">
    <w:name w:val="Document Map Char3"/>
    <w:basedOn w:val="DefaultParagraphFont"/>
    <w:semiHidden/>
    <w:rsid w:val="00E77A30"/>
    <w:rPr>
      <w:rFonts w:ascii="Tahoma" w:hAnsi="Tahoma" w:cs="Tahoma"/>
      <w:shd w:val="clear" w:color="auto" w:fill="000080"/>
    </w:rPr>
  </w:style>
  <w:style w:type="character" w:customStyle="1" w:styleId="EndnoteTextChar3">
    <w:name w:val="Endnote Text Char3"/>
    <w:basedOn w:val="DefaultParagraphFont"/>
    <w:semiHidden/>
    <w:rsid w:val="00E77A30"/>
    <w:rPr>
      <w:rFonts w:ascii="Verdana" w:hAnsi="Verdana"/>
    </w:rPr>
  </w:style>
  <w:style w:type="character" w:customStyle="1" w:styleId="Heading4Char4">
    <w:name w:val="Heading 4 Char4"/>
    <w:basedOn w:val="DefaultParagraphFont"/>
    <w:rsid w:val="00E77A30"/>
    <w:rPr>
      <w:rFonts w:ascii="Arial" w:hAnsi="Arial"/>
      <w:b/>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8642212">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www.xbrlsite.com/2015/fro/us-gaap/html/Classes/Level2TextBlock_Tree.html" TargetMode="External"/><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19.png"/><Relationship Id="rId42" Type="http://schemas.openxmlformats.org/officeDocument/2006/relationships/image" Target="cid:image004.png@01D239BF.B9F873D0" TargetMode="External"/><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xbrlsite.com/2015/fro/us-gaap/html/Classes/Level1TextBlock_Tree.html" TargetMode="Externa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www.xbrlsite.com/LinkedData/Exemplars/Disclosures.aspx?InformationModel=%5bRoll%20Up%5d%20" TargetMode="External"/><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xbrlsite.com/2015/fro/us-gaap/html/Classes/Axes_Tree.html"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www.xbrlsite.com/LinkedData/Exemplars/Disclosures.aspx?InformationModel=%5bHierarchy" TargetMode="External"/><Relationship Id="rId36" Type="http://schemas.openxmlformats.org/officeDocument/2006/relationships/image" Target="media/image21.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sec.gov/Archives/edgar/monthly/xbrlrss-2014-12.xml" TargetMode="External"/><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www.xbrlsite.com/2015/fro/us-gaap/html/Classes/Level3TextBlock_Tree.html" TargetMode="External"/><Relationship Id="rId30" Type="http://schemas.openxmlformats.org/officeDocument/2006/relationships/hyperlink" Target="http://www.xbrlsite.com/LinkedData/Exemplars/Disclosures.aspx?InformationModel=%5bRoll%20Forward%5d%20" TargetMode="External"/><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fontTable" Target="fontTable.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30.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xbrlsite.com/2012/Library/SemanticObjectlReconciliation.pdf" TargetMode="External"/><Relationship Id="rId13" Type="http://schemas.openxmlformats.org/officeDocument/2006/relationships/hyperlink" Target="http://xbrlsite.azurewebsites.net/2016/Analysis/SummaryTable.pdf" TargetMode="External"/><Relationship Id="rId3" Type="http://schemas.openxmlformats.org/officeDocument/2006/relationships/hyperlink" Target="http://xbrlsite.azurewebsites.net/2016/conceptual-model/reporting-scheme/us-gaap/disclosure-mechanics/1-rules-def.xml" TargetMode="External"/><Relationship Id="rId7" Type="http://schemas.openxmlformats.org/officeDocument/2006/relationships/hyperlink" Target="http://app.secxbrl.info/" TargetMode="External"/><Relationship Id="rId12" Type="http://schemas.openxmlformats.org/officeDocument/2006/relationships/hyperlink" Target="http://xbrlsite.azurewebsites.net/2016/Analysis/COMPARE_FutureMinimumPaymentsReceivableOperatingLeases.pdf" TargetMode="External"/><Relationship Id="rId2" Type="http://schemas.openxmlformats.org/officeDocument/2006/relationships/hyperlink" Target="http://xbrlsite.azurewebsites.net/2016/conceptual-model/drules-arcroles.xsd" TargetMode="External"/><Relationship Id="rId1" Type="http://schemas.openxmlformats.org/officeDocument/2006/relationships/hyperlink" Target="http://xbrlsite.azurewebsites.net/2016/Analysis/UnderstandingDisclosureMechanics.pdf" TargetMode="External"/><Relationship Id="rId6" Type="http://schemas.openxmlformats.org/officeDocument/2006/relationships/hyperlink" Target="http://www.xbrlsite.com/2015/fro/us-gaap/html/ReportFrames/" TargetMode="External"/><Relationship Id="rId11" Type="http://schemas.openxmlformats.org/officeDocument/2006/relationships/hyperlink" Target="http://xbrlview.fasb.org/yeti/resources/yeti-gwt/Yeti.jsp" TargetMode="External"/><Relationship Id="rId5" Type="http://schemas.openxmlformats.org/officeDocument/2006/relationships/hyperlink" Target="https://www.youtube.com/watch?v=lNPjwKy2Obs" TargetMode="External"/><Relationship Id="rId10" Type="http://schemas.openxmlformats.org/officeDocument/2006/relationships/hyperlink" Target="https://www.sec.gov/cgi-bin/viewer?action=view&amp;cik=789019&amp;accession_number=0001193125-15-272806&amp;xbrl_type=v" TargetMode="External"/><Relationship Id="rId4" Type="http://schemas.openxmlformats.org/officeDocument/2006/relationships/hyperlink" Target="http://xbrlsite.azurewebsites.net/2017/Prototypes/Microsoft2017/Disclosure%20Mechanics%20and%20Reporting%20Checklist.html" TargetMode="External"/><Relationship Id="rId9" Type="http://schemas.openxmlformats.org/officeDocument/2006/relationships/hyperlink" Target="https://www.sec.gov/info/edgar/edgarfm-vol2-v37.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5936F4-D722-413A-BCDD-6A5888475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236</TotalTime>
  <Pages>36</Pages>
  <Words>9601</Words>
  <Characters>54729</Characters>
  <Application>Microsoft Office Word</Application>
  <DocSecurity>0</DocSecurity>
  <Lines>456</Lines>
  <Paragraphs>128</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64202</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24</cp:revision>
  <cp:lastPrinted>2017-07-26T23:05:00Z</cp:lastPrinted>
  <dcterms:created xsi:type="dcterms:W3CDTF">2016-12-18T19:23:00Z</dcterms:created>
  <dcterms:modified xsi:type="dcterms:W3CDTF">2020-07-14T15:18:00Z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