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A461A5" w14:textId="5656A4B6" w:rsidR="00B25363" w:rsidRDefault="005B5D15" w:rsidP="005D2A5A">
      <w:pPr>
        <w:pStyle w:val="Heading1"/>
      </w:pPr>
      <w:bookmarkStart w:id="0" w:name="_Toc469843746"/>
      <w:r>
        <w:t>Method</w:t>
      </w:r>
    </w:p>
    <w:p w14:paraId="7C4236A8" w14:textId="7EFFD7B8" w:rsidR="00E31613" w:rsidRDefault="00E31613" w:rsidP="005B5D15">
      <w:pPr>
        <w:pStyle w:val="BodyText"/>
      </w:pPr>
      <w:r>
        <w:t xml:space="preserve">This section provides a comprehensive introduction to </w:t>
      </w:r>
      <w:r w:rsidR="005B5D15">
        <w:t>a proven, tested, best-practices based</w:t>
      </w:r>
      <w:r>
        <w:t xml:space="preserve"> </w:t>
      </w:r>
      <w:r w:rsidR="005B5D15" w:rsidRPr="00C84835">
        <w:rPr>
          <w:b/>
          <w:bCs/>
        </w:rPr>
        <w:t>method and framework for creating XBRL-based digital financial reports</w:t>
      </w:r>
      <w:r w:rsidR="005B5D15">
        <w:t xml:space="preserve">.  To thoroughly understand this method and framework, please read </w:t>
      </w:r>
      <w:r w:rsidR="005B5D15" w:rsidRPr="005107D9">
        <w:rPr>
          <w:i/>
          <w:iCs/>
        </w:rPr>
        <w:t>Method of Implementing a Standard Digital Financial Report Using the XBRL Syntax</w:t>
      </w:r>
      <w:r w:rsidR="005B5D15">
        <w:rPr>
          <w:rStyle w:val="FootnoteReference"/>
        </w:rPr>
        <w:footnoteReference w:id="1"/>
      </w:r>
      <w:r w:rsidR="005B5D15">
        <w:t>.</w:t>
      </w:r>
      <w:r w:rsidR="005107D9">
        <w:t xml:space="preserve">  To understand how this method was derived, please see </w:t>
      </w:r>
      <w:r w:rsidR="005107D9" w:rsidRPr="005107D9">
        <w:rPr>
          <w:i/>
          <w:iCs/>
        </w:rPr>
        <w:t>Understanding Method</w:t>
      </w:r>
      <w:r w:rsidR="005107D9">
        <w:rPr>
          <w:rStyle w:val="FootnoteReference"/>
        </w:rPr>
        <w:footnoteReference w:id="2"/>
      </w:r>
      <w:r w:rsidR="005107D9">
        <w:t>.</w:t>
      </w:r>
    </w:p>
    <w:p w14:paraId="6225C680" w14:textId="7F99145D" w:rsidR="00E31613" w:rsidRDefault="005B5D15" w:rsidP="00E31613">
      <w:pPr>
        <w:pStyle w:val="BodyText"/>
      </w:pPr>
      <w:r>
        <w:t xml:space="preserve">Why force every </w:t>
      </w:r>
      <w:r w:rsidR="005107D9">
        <w:t xml:space="preserve">individual </w:t>
      </w:r>
      <w:r>
        <w:t>enterprise to re-invent the wheel and figure out how to implement XBRL-based digital financial reporting?</w:t>
      </w:r>
      <w:r w:rsidR="005107D9">
        <w:t xml:space="preserve"> </w:t>
      </w:r>
    </w:p>
    <w:p w14:paraId="7C9092E7" w14:textId="41D07C76" w:rsidR="005107D9" w:rsidRDefault="005107D9" w:rsidP="005107D9">
      <w:pPr>
        <w:pStyle w:val="Heading2"/>
      </w:pPr>
      <w:r>
        <w:t>Custom, Product, Commodity</w:t>
      </w:r>
    </w:p>
    <w:p w14:paraId="1F9EF69E" w14:textId="0EB4FD67" w:rsidR="005107D9" w:rsidRPr="005107D9" w:rsidRDefault="005107D9" w:rsidP="005107D9">
      <w:pPr>
        <w:pStyle w:val="BodyText"/>
      </w:pPr>
      <w:r w:rsidRPr="005107D9">
        <w:t>The difference between "custom", a "product", and a "commodity" is explained in this blog post, </w:t>
      </w:r>
      <w:r w:rsidRPr="005107D9">
        <w:rPr>
          <w:i/>
          <w:iCs/>
        </w:rPr>
        <w:t>Properties of Products</w:t>
      </w:r>
      <w:r>
        <w:rPr>
          <w:rStyle w:val="FootnoteReference"/>
          <w:i/>
          <w:iCs/>
        </w:rPr>
        <w:footnoteReference w:id="3"/>
      </w:r>
      <w:r w:rsidRPr="005107D9">
        <w:t>. In summary,  </w:t>
      </w:r>
    </w:p>
    <w:p w14:paraId="3067DC8C" w14:textId="77777777" w:rsidR="005107D9" w:rsidRPr="005107D9" w:rsidRDefault="005107D9" w:rsidP="005107D9">
      <w:pPr>
        <w:pStyle w:val="BodyText"/>
        <w:numPr>
          <w:ilvl w:val="0"/>
          <w:numId w:val="31"/>
        </w:numPr>
      </w:pPr>
      <w:r w:rsidRPr="005107D9">
        <w:rPr>
          <w:b/>
          <w:bCs/>
        </w:rPr>
        <w:t>Custom</w:t>
      </w:r>
      <w:r w:rsidRPr="005107D9">
        <w:t>: Means unique to each individual customer. No attempt is made to standardize.</w:t>
      </w:r>
    </w:p>
    <w:p w14:paraId="1B84B5D6" w14:textId="106E264C" w:rsidR="005107D9" w:rsidRPr="005107D9" w:rsidRDefault="005107D9" w:rsidP="005107D9">
      <w:pPr>
        <w:pStyle w:val="BodyText"/>
        <w:numPr>
          <w:ilvl w:val="0"/>
          <w:numId w:val="31"/>
        </w:numPr>
      </w:pPr>
      <w:r w:rsidRPr="005107D9">
        <w:rPr>
          <w:b/>
          <w:bCs/>
        </w:rPr>
        <w:t>Product</w:t>
      </w:r>
      <w:r w:rsidRPr="005107D9">
        <w:t>: Found repeatable patterns (</w:t>
      </w:r>
      <w:r w:rsidRPr="005107D9">
        <w:rPr>
          <w:b/>
          <w:bCs/>
        </w:rPr>
        <w:t>clusters</w:t>
      </w:r>
      <w:r w:rsidRPr="005107D9">
        <w:t>), created a product for each pattern. Standards can be used. (As Malcom Gladwell explained in a TED Talk, "The answer is that there is no best pickle or spaghetti sauce.  But there are best clusters of pickles and spaghetti sauces.")</w:t>
      </w:r>
    </w:p>
    <w:p w14:paraId="4D409773" w14:textId="77777777" w:rsidR="005107D9" w:rsidRPr="005107D9" w:rsidRDefault="005107D9" w:rsidP="005107D9">
      <w:pPr>
        <w:pStyle w:val="BodyText"/>
        <w:numPr>
          <w:ilvl w:val="0"/>
          <w:numId w:val="31"/>
        </w:numPr>
      </w:pPr>
      <w:r w:rsidRPr="005107D9">
        <w:rPr>
          <w:b/>
          <w:bCs/>
        </w:rPr>
        <w:t>Commodity</w:t>
      </w:r>
      <w:r w:rsidRPr="005107D9">
        <w:t>: Generalize the product so much that it is fungible, indistinguishable. Standards can be used.</w:t>
      </w:r>
    </w:p>
    <w:p w14:paraId="41FF0645" w14:textId="77777777" w:rsidR="005107D9" w:rsidRPr="005107D9" w:rsidRDefault="005107D9" w:rsidP="005107D9">
      <w:pPr>
        <w:pStyle w:val="BodyText"/>
      </w:pPr>
      <w:r w:rsidRPr="005107D9">
        <w:t>An XBRL-based digital financial report should be </w:t>
      </w:r>
      <w:r w:rsidRPr="005107D9">
        <w:rPr>
          <w:b/>
          <w:bCs/>
        </w:rPr>
        <w:t>indistinguishable in terms of quality</w:t>
      </w:r>
      <w:r w:rsidRPr="005107D9">
        <w:t>.  Are their customers that consciously want low quality?  That would be absurd.  As such, </w:t>
      </w:r>
      <w:r w:rsidRPr="005107D9">
        <w:rPr>
          <w:i/>
          <w:iCs/>
        </w:rPr>
        <w:t>high-quality XBRL-based digital financial reports should be a commodity</w:t>
      </w:r>
      <w:r w:rsidRPr="005107D9">
        <w:t>.</w:t>
      </w:r>
    </w:p>
    <w:p w14:paraId="6FA069B1" w14:textId="77777777" w:rsidR="005107D9" w:rsidRPr="005107D9" w:rsidRDefault="005107D9" w:rsidP="005107D9">
      <w:pPr>
        <w:pStyle w:val="BodyText"/>
      </w:pPr>
      <w:r w:rsidRPr="005107D9">
        <w:t>"Custom" is not scalable.  While standard approaches do allow scaling.</w:t>
      </w:r>
    </w:p>
    <w:p w14:paraId="2EAF2D52" w14:textId="0A6734A9" w:rsidR="005107D9" w:rsidRDefault="005107D9" w:rsidP="00E31613">
      <w:pPr>
        <w:pStyle w:val="BodyText"/>
      </w:pPr>
      <w:r w:rsidRPr="005107D9">
        <w:t>Companies should not compete as to whether they can or cannot create high-quality XBRL-based reports.</w:t>
      </w:r>
    </w:p>
    <w:p w14:paraId="345BFC8E" w14:textId="3B5A627C" w:rsidR="00A267CF" w:rsidRDefault="00A267CF" w:rsidP="00A267CF">
      <w:pPr>
        <w:pStyle w:val="Heading2"/>
      </w:pPr>
      <w:r>
        <w:t>Utility of Method</w:t>
      </w:r>
    </w:p>
    <w:p w14:paraId="4992D689" w14:textId="77777777" w:rsidR="00A267CF" w:rsidRPr="00A267CF" w:rsidRDefault="00A267CF" w:rsidP="00A267CF">
      <w:pPr>
        <w:pStyle w:val="BodyText"/>
      </w:pPr>
      <w:r w:rsidRPr="00A267CF">
        <w:t>A meta-models is a model whose purpose is to describe and process models that subscribe to that meta-model.  Models and meta-models both prescribe and describe what is permissible and what is not permissible per some model or meta-model.</w:t>
      </w:r>
    </w:p>
    <w:p w14:paraId="40C4776A" w14:textId="77777777" w:rsidR="00A267CF" w:rsidRPr="00A267CF" w:rsidRDefault="00A267CF" w:rsidP="00A267CF">
      <w:pPr>
        <w:pStyle w:val="BodyText"/>
        <w:rPr>
          <w:lang w:val="en-GB"/>
        </w:rPr>
      </w:pPr>
      <w:r w:rsidRPr="00A267CF">
        <w:t xml:space="preserve">One reason for this is to be sure each model is consistent with the specification provided by the meta-model.  </w:t>
      </w:r>
      <w:r w:rsidRPr="00A267CF">
        <w:rPr>
          <w:lang w:val="en-GB"/>
        </w:rPr>
        <w:t>The following is a summary of the utility of this method:</w:t>
      </w:r>
    </w:p>
    <w:p w14:paraId="4C25EC1B" w14:textId="77777777" w:rsidR="00A267CF" w:rsidRPr="00A267CF" w:rsidRDefault="00A267CF" w:rsidP="00A267CF">
      <w:pPr>
        <w:pStyle w:val="BodyText"/>
        <w:numPr>
          <w:ilvl w:val="0"/>
          <w:numId w:val="32"/>
        </w:numPr>
        <w:rPr>
          <w:lang w:val="en-GB"/>
        </w:rPr>
      </w:pPr>
      <w:r w:rsidRPr="00A267CF">
        <w:rPr>
          <w:lang w:val="en-GB"/>
        </w:rPr>
        <w:t>Clear scope and purpose providing a framework and theory for thinking about financial reports.</w:t>
      </w:r>
    </w:p>
    <w:p w14:paraId="65DFB667" w14:textId="77777777" w:rsidR="00A267CF" w:rsidRPr="00A267CF" w:rsidRDefault="00A267CF" w:rsidP="00A267CF">
      <w:pPr>
        <w:pStyle w:val="BodyText"/>
        <w:numPr>
          <w:ilvl w:val="0"/>
          <w:numId w:val="32"/>
        </w:numPr>
        <w:rPr>
          <w:lang w:val="en-GB"/>
        </w:rPr>
      </w:pPr>
      <w:r w:rsidRPr="00A267CF">
        <w:rPr>
          <w:lang w:val="en-GB"/>
        </w:rPr>
        <w:lastRenderedPageBreak/>
        <w:t>Formally documented and unambiguous specification.</w:t>
      </w:r>
    </w:p>
    <w:p w14:paraId="52656B27" w14:textId="77777777" w:rsidR="00A267CF" w:rsidRPr="00A267CF" w:rsidRDefault="00A267CF" w:rsidP="00A267CF">
      <w:pPr>
        <w:pStyle w:val="BodyText"/>
        <w:numPr>
          <w:ilvl w:val="0"/>
          <w:numId w:val="32"/>
        </w:numPr>
        <w:rPr>
          <w:lang w:val="en-GB"/>
        </w:rPr>
      </w:pPr>
      <w:r w:rsidRPr="00A267CF">
        <w:rPr>
          <w:lang w:val="en-GB"/>
        </w:rPr>
        <w:t>Open and freely available.</w:t>
      </w:r>
    </w:p>
    <w:p w14:paraId="17CC99ED" w14:textId="77777777" w:rsidR="00A267CF" w:rsidRPr="00A267CF" w:rsidRDefault="00A267CF" w:rsidP="00A267CF">
      <w:pPr>
        <w:pStyle w:val="BodyText"/>
        <w:numPr>
          <w:ilvl w:val="0"/>
          <w:numId w:val="32"/>
        </w:numPr>
        <w:rPr>
          <w:lang w:val="en-GB"/>
        </w:rPr>
      </w:pPr>
      <w:r w:rsidRPr="00A267CF">
        <w:rPr>
          <w:lang w:val="en-GB"/>
        </w:rPr>
        <w:t>Verified and tested leaving no stone unturned, no question unanswered, or argument about how the framework and theory work.</w:t>
      </w:r>
    </w:p>
    <w:p w14:paraId="1199960D" w14:textId="32291DA3" w:rsidR="00A267CF" w:rsidRDefault="00A267CF" w:rsidP="00E31613">
      <w:pPr>
        <w:pStyle w:val="BodyText"/>
      </w:pPr>
      <w:r>
        <w:t>Benefits provided by the method include:</w:t>
      </w:r>
    </w:p>
    <w:p w14:paraId="35C05951" w14:textId="409F5E4B" w:rsidR="00A267CF" w:rsidRPr="00A267CF" w:rsidRDefault="00A267CF" w:rsidP="005630A6">
      <w:pPr>
        <w:pStyle w:val="BodyText"/>
        <w:numPr>
          <w:ilvl w:val="0"/>
          <w:numId w:val="18"/>
        </w:numPr>
      </w:pPr>
      <w:r w:rsidRPr="00A267CF">
        <w:rPr>
          <w:b/>
          <w:bCs/>
          <w:lang w:val="en-GB"/>
        </w:rPr>
        <w:t>Process Automation</w:t>
      </w:r>
      <w:r w:rsidRPr="00A267CF">
        <w:rPr>
          <w:b/>
          <w:bCs/>
          <w:lang w:val="en-GB"/>
        </w:rPr>
        <w:t>:</w:t>
      </w:r>
      <w:r w:rsidRPr="00A267CF">
        <w:rPr>
          <w:b/>
          <w:bCs/>
          <w:i/>
          <w:iCs/>
          <w:lang w:val="en-GB"/>
        </w:rPr>
        <w:t xml:space="preserve"> </w:t>
      </w:r>
      <w:r w:rsidRPr="00A267CF">
        <w:t>Because the method is through and complete, processes can be effectively automated.  How exactly can you be sure your financial report is a true and fair representation of the financial position and financial performance of your entity without testing it to be sure the report is working effectively?  If you cannot measure it, you cannot control it.</w:t>
      </w:r>
    </w:p>
    <w:p w14:paraId="44B62BEA" w14:textId="32D25CC6" w:rsidR="00A267CF" w:rsidRPr="00A267CF" w:rsidRDefault="00A267CF" w:rsidP="00CE16E9">
      <w:pPr>
        <w:pStyle w:val="BodyText"/>
        <w:numPr>
          <w:ilvl w:val="0"/>
          <w:numId w:val="18"/>
        </w:numPr>
      </w:pPr>
      <w:r w:rsidRPr="00A267CF">
        <w:rPr>
          <w:b/>
          <w:bCs/>
          <w:lang w:val="en-GB"/>
        </w:rPr>
        <w:t>Risk Reduction</w:t>
      </w:r>
      <w:r w:rsidRPr="00A267CF">
        <w:rPr>
          <w:b/>
          <w:bCs/>
          <w:lang w:val="en-GB"/>
        </w:rPr>
        <w:t>:</w:t>
      </w:r>
      <w:r w:rsidRPr="00A267CF">
        <w:rPr>
          <w:b/>
          <w:bCs/>
          <w:i/>
          <w:iCs/>
          <w:lang w:val="en-GB"/>
        </w:rPr>
        <w:t xml:space="preserve"> </w:t>
      </w:r>
      <w:r w:rsidRPr="00A267CF">
        <w:t>Process automation and automated verification reduces the risk of noncompliance.  Hope and chance are not good strategies for complying with statutory and regulatory reporting rules.</w:t>
      </w:r>
    </w:p>
    <w:p w14:paraId="1D2F45FB" w14:textId="4692ABBA" w:rsidR="00A267CF" w:rsidRPr="00A267CF" w:rsidRDefault="00A267CF" w:rsidP="00E77086">
      <w:pPr>
        <w:pStyle w:val="BodyText"/>
        <w:numPr>
          <w:ilvl w:val="0"/>
          <w:numId w:val="18"/>
        </w:numPr>
      </w:pPr>
      <w:r w:rsidRPr="00A267CF">
        <w:rPr>
          <w:b/>
          <w:bCs/>
          <w:lang w:val="en-GB"/>
        </w:rPr>
        <w:t>Social Cooperation and Benefit</w:t>
      </w:r>
      <w:r w:rsidRPr="00A267CF">
        <w:rPr>
          <w:b/>
          <w:bCs/>
          <w:lang w:val="en-GB"/>
        </w:rPr>
        <w:t>:</w:t>
      </w:r>
      <w:r w:rsidRPr="00A267CF">
        <w:rPr>
          <w:b/>
          <w:bCs/>
          <w:i/>
          <w:iCs/>
          <w:lang w:val="en-GB"/>
        </w:rPr>
        <w:t xml:space="preserve"> </w:t>
      </w:r>
      <w:r w:rsidRPr="00A267CF">
        <w:t>Being able to effectively exchange information between processes which enables the automation of those processes provides social benefit.  Among those benefits are cost reduction, process quality improvement, ability to provide new products/services, and improved functioning of capital markets resulting from these process improvements.</w:t>
      </w:r>
    </w:p>
    <w:p w14:paraId="6E62C796" w14:textId="68CA5225" w:rsidR="00A267CF" w:rsidRDefault="00A267CF" w:rsidP="00E31613">
      <w:pPr>
        <w:pStyle w:val="BodyText"/>
      </w:pPr>
      <w:r>
        <w:t>Let’s look into exactly how these benefits are realized in a little bit more detail.</w:t>
      </w:r>
    </w:p>
    <w:p w14:paraId="343E23F6" w14:textId="7F135BE3" w:rsidR="005B5D15" w:rsidRDefault="005B5D15" w:rsidP="005B5D15">
      <w:pPr>
        <w:pStyle w:val="Heading2"/>
      </w:pPr>
      <w:r>
        <w:t>Business Case for Method</w:t>
      </w:r>
    </w:p>
    <w:p w14:paraId="397CD110" w14:textId="77777777" w:rsidR="005B5D15" w:rsidRPr="005B5D15" w:rsidRDefault="005B5D15" w:rsidP="005B5D15">
      <w:pPr>
        <w:pStyle w:val="BodyText"/>
      </w:pPr>
      <w:r w:rsidRPr="005B5D15">
        <w:t>Automation is about removing friction, driving costs down, speeding processes up, and improving efficiency.  Automation is about improving processes in order to deliver goods and services that are better for less cost.</w:t>
      </w:r>
    </w:p>
    <w:p w14:paraId="046D3041" w14:textId="77777777" w:rsidR="005B5D15" w:rsidRPr="005B5D15" w:rsidRDefault="005B5D15" w:rsidP="005B5D15">
      <w:pPr>
        <w:pStyle w:val="BodyText"/>
      </w:pPr>
      <w:r w:rsidRPr="005B5D15">
        <w:t>Old technologies are making it increasingly difficult to keep up with today’s fast paced information exchange. New technologies such as structured information, artificial intelligence, digital distributed ledgers offer significant and compelling opportunities to make accounting, reporting, auditing, and analysis tasks and processes more efficient and effective.  A Forbes</w:t>
      </w:r>
      <w:r w:rsidRPr="005B5D15">
        <w:rPr>
          <w:vertAlign w:val="superscript"/>
        </w:rPr>
        <w:footnoteReference w:id="4"/>
      </w:r>
      <w:r w:rsidRPr="005B5D15">
        <w:t xml:space="preserve"> article points out that organizations are already using artificial intelligence to create more intelligent products, create more intelligent services, and improve internal business processes.</w:t>
      </w:r>
    </w:p>
    <w:p w14:paraId="6BE0CE21" w14:textId="77777777" w:rsidR="005B5D15" w:rsidRPr="005B5D15" w:rsidRDefault="005B5D15" w:rsidP="005B5D15">
      <w:pPr>
        <w:pStyle w:val="BodyText"/>
      </w:pPr>
      <w:r w:rsidRPr="005B5D15">
        <w:t>But figuring out how to employ these new technologies and finding people with the necessary skills and experience to analyze systems and fix problems can be challenging. What if there were a standards-based proven best practices method you could use to improve your productivity?</w:t>
      </w:r>
    </w:p>
    <w:p w14:paraId="2A50C1C0" w14:textId="77777777" w:rsidR="005B5D15" w:rsidRPr="005B5D15" w:rsidRDefault="005B5D15" w:rsidP="005B5D15">
      <w:pPr>
        <w:pStyle w:val="BodyText"/>
        <w:jc w:val="center"/>
      </w:pPr>
      <w:r w:rsidRPr="005B5D15">
        <w:rPr>
          <w:noProof/>
        </w:rPr>
        <w:lastRenderedPageBreak/>
        <w:drawing>
          <wp:inline distT="0" distB="0" distL="0" distR="0" wp14:anchorId="3D976FE8" wp14:editId="23BDA201">
            <wp:extent cx="5493260" cy="3762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31748" cy="3857226"/>
                    </a:xfrm>
                    <a:prstGeom prst="rect">
                      <a:avLst/>
                    </a:prstGeom>
                  </pic:spPr>
                </pic:pic>
              </a:graphicData>
            </a:graphic>
          </wp:inline>
        </w:drawing>
      </w:r>
    </w:p>
    <w:p w14:paraId="77259CAB" w14:textId="77777777" w:rsidR="005B5D15" w:rsidRPr="005B5D15" w:rsidRDefault="005B5D15" w:rsidP="005B5D15">
      <w:pPr>
        <w:pStyle w:val="BodyText"/>
      </w:pPr>
      <w:r w:rsidRPr="005B5D15">
        <w:t xml:space="preserve">Enter global standard technologies.  XBRL International’s </w:t>
      </w:r>
      <w:r w:rsidRPr="005B5D15">
        <w:rPr>
          <w:i/>
          <w:iCs/>
        </w:rPr>
        <w:t>Extensible Business Reporting Language</w:t>
      </w:r>
      <w:r w:rsidRPr="005B5D15">
        <w:rPr>
          <w:vertAlign w:val="superscript"/>
        </w:rPr>
        <w:footnoteReference w:id="5"/>
      </w:r>
      <w:r w:rsidRPr="005B5D15">
        <w:t xml:space="preserve"> (</w:t>
      </w:r>
      <w:r w:rsidRPr="005B5D15">
        <w:rPr>
          <w:b/>
          <w:bCs/>
        </w:rPr>
        <w:t>XBRL</w:t>
      </w:r>
      <w:r w:rsidRPr="005B5D15">
        <w:t xml:space="preserve">) is a global standard syntax for representing business information in machine readable form.  OMG’s </w:t>
      </w:r>
      <w:r w:rsidRPr="005B5D15">
        <w:rPr>
          <w:i/>
          <w:iCs/>
        </w:rPr>
        <w:t>Standard Business Report Model</w:t>
      </w:r>
      <w:r w:rsidRPr="005B5D15">
        <w:rPr>
          <w:vertAlign w:val="superscript"/>
        </w:rPr>
        <w:footnoteReference w:id="6"/>
      </w:r>
      <w:r w:rsidRPr="005B5D15">
        <w:t xml:space="preserve"> (</w:t>
      </w:r>
      <w:r w:rsidRPr="005B5D15">
        <w:rPr>
          <w:b/>
          <w:bCs/>
        </w:rPr>
        <w:t>SBRM</w:t>
      </w:r>
      <w:r w:rsidRPr="005B5D15">
        <w:t xml:space="preserve">) is a logical conceptualization of a business report.  SBRM formally documents a logical conceptualization of a business report in both human-readable and machine-readable models.  This enables a machine-readable report to be represented in literally any syntax.  XBRL is one syntax; but you could also use JSON (JavaScript Object Notation), RDF (Resource Description Format), PROLOG (Programming Logic), Cypher, CSV, Excel, relational database, or literally any other technical syntax which you might prefer.  Used together, XBRL and SBRM allow for the creation of a </w:t>
      </w:r>
      <w:r w:rsidRPr="005B5D15">
        <w:rPr>
          <w:b/>
          <w:bCs/>
        </w:rPr>
        <w:t>reliable best practice method</w:t>
      </w:r>
      <w:r w:rsidRPr="005B5D15">
        <w:rPr>
          <w:vertAlign w:val="superscript"/>
        </w:rPr>
        <w:footnoteReference w:id="7"/>
      </w:r>
      <w:r w:rsidRPr="005B5D15">
        <w:t xml:space="preserve"> for automating accounting, reporting, auditing, and analysis tasks and processes.  This method’s underpinning is a </w:t>
      </w:r>
      <w:r w:rsidRPr="005B5D15">
        <w:rPr>
          <w:i/>
          <w:iCs/>
        </w:rPr>
        <w:t>Logical Theory Describing Financial Report</w:t>
      </w:r>
      <w:r w:rsidRPr="005B5D15">
        <w:rPr>
          <w:vertAlign w:val="superscript"/>
        </w:rPr>
        <w:footnoteReference w:id="8"/>
      </w:r>
      <w:r w:rsidRPr="005B5D15">
        <w:t>. What technology you use is up to you.</w:t>
      </w:r>
    </w:p>
    <w:p w14:paraId="78F8359E" w14:textId="77777777" w:rsidR="005B5D15" w:rsidRPr="005B5D15" w:rsidRDefault="005B5D15" w:rsidP="005B5D15">
      <w:pPr>
        <w:pStyle w:val="BodyText"/>
      </w:pPr>
      <w:r w:rsidRPr="005B5D15">
        <w:t>Continuous accounting, continuous reporting, artificial intelligence assisted audits, algorithmic regulation, automated analysis all offer unprecedented opportunities.  But what are your challenges?</w:t>
      </w:r>
    </w:p>
    <w:p w14:paraId="652DE502" w14:textId="77777777" w:rsidR="005B5D15" w:rsidRPr="005B5D15" w:rsidRDefault="005B5D15" w:rsidP="005B5D15">
      <w:pPr>
        <w:pStyle w:val="BodyText"/>
        <w:numPr>
          <w:ilvl w:val="0"/>
          <w:numId w:val="30"/>
        </w:numPr>
      </w:pPr>
      <w:r w:rsidRPr="005B5D15">
        <w:rPr>
          <w:b/>
          <w:bCs/>
        </w:rPr>
        <w:t>Complex disparate systems trap information</w:t>
      </w:r>
      <w:r w:rsidRPr="005B5D15">
        <w:t xml:space="preserve">: The reality of many if not most finance processes is many dissimilar systems making information integration complex.  Often, complexity is self-inflicted such as an incorrectly </w:t>
      </w:r>
      <w:r w:rsidRPr="005B5D15">
        <w:lastRenderedPageBreak/>
        <w:t xml:space="preserve">set up chart of accounts or a less than adequate mapping between the chart of accounts and a report writer or audit lead schedules.  </w:t>
      </w:r>
      <w:r w:rsidRPr="005B5D15">
        <w:rPr>
          <w:i/>
          <w:iCs/>
        </w:rPr>
        <w:t>The fix?</w:t>
      </w:r>
      <w:r w:rsidRPr="005B5D15">
        <w:t xml:space="preserve">  Take the time to set up your accounting systems correctly.</w:t>
      </w:r>
    </w:p>
    <w:p w14:paraId="2CB76C3F" w14:textId="77777777" w:rsidR="005B5D15" w:rsidRPr="005B5D15" w:rsidRDefault="005B5D15" w:rsidP="005B5D15">
      <w:pPr>
        <w:pStyle w:val="BodyText"/>
        <w:numPr>
          <w:ilvl w:val="0"/>
          <w:numId w:val="30"/>
        </w:numPr>
      </w:pPr>
      <w:r w:rsidRPr="005B5D15">
        <w:rPr>
          <w:b/>
          <w:bCs/>
        </w:rPr>
        <w:t>Missing metadata</w:t>
      </w:r>
      <w:r w:rsidRPr="005B5D15">
        <w:t xml:space="preserve">: Far too often information necessary to flow data through a system is entered into the system at the end of a process instead of at the beginning of a process.  This missing metadata makes it impossible to automate processes.  </w:t>
      </w:r>
      <w:r w:rsidRPr="005B5D15">
        <w:rPr>
          <w:i/>
          <w:iCs/>
        </w:rPr>
        <w:t>The fix?</w:t>
      </w:r>
      <w:r w:rsidRPr="005B5D15">
        <w:t xml:space="preserve"> Establish standard metadata, enter that metadata as early in the process as possible, enable information to flow through the process where possible.</w:t>
      </w:r>
    </w:p>
    <w:p w14:paraId="13C083A8" w14:textId="77777777" w:rsidR="005B5D15" w:rsidRPr="005B5D15" w:rsidRDefault="005B5D15" w:rsidP="005B5D15">
      <w:pPr>
        <w:pStyle w:val="BodyText"/>
        <w:numPr>
          <w:ilvl w:val="0"/>
          <w:numId w:val="30"/>
        </w:numPr>
      </w:pPr>
      <w:r w:rsidRPr="005B5D15">
        <w:rPr>
          <w:b/>
          <w:bCs/>
        </w:rPr>
        <w:t>Missing information</w:t>
      </w:r>
      <w:r w:rsidRPr="005B5D15">
        <w:t xml:space="preserve">: Commonly, information necessary for a system to be automated is not available to the system and therefore information is supplemented by manually created spreadsheets.  </w:t>
      </w:r>
      <w:r w:rsidRPr="005B5D15">
        <w:rPr>
          <w:i/>
          <w:iCs/>
        </w:rPr>
        <w:t>The fix?</w:t>
      </w:r>
      <w:r w:rsidRPr="005B5D15">
        <w:t xml:space="preserve">  Bring more and more tasks and processes into core systems and avoid supplementing information using spreadsheets.</w:t>
      </w:r>
    </w:p>
    <w:p w14:paraId="5B87848B" w14:textId="77777777" w:rsidR="005B5D15" w:rsidRPr="005B5D15" w:rsidRDefault="005B5D15" w:rsidP="005B5D15">
      <w:pPr>
        <w:pStyle w:val="BodyText"/>
        <w:numPr>
          <w:ilvl w:val="0"/>
          <w:numId w:val="30"/>
        </w:numPr>
      </w:pPr>
      <w:r w:rsidRPr="005B5D15">
        <w:rPr>
          <w:b/>
          <w:bCs/>
        </w:rPr>
        <w:t>Overly manual process control mechanisms</w:t>
      </w:r>
      <w:r w:rsidRPr="005B5D15">
        <w:t xml:space="preserve">:  Process control mechanisms today tend to be overworked accounting professionals that have to manually control process output quality within systems that push far too much work to the end of the process.  This manual approach is expensive, not reliable enough letting errors slip through the systems, and cause more important work to be delayed or simply left undone.  </w:t>
      </w:r>
      <w:r w:rsidRPr="005B5D15">
        <w:rPr>
          <w:i/>
          <w:iCs/>
        </w:rPr>
        <w:t>The fix?</w:t>
      </w:r>
      <w:r w:rsidRPr="005B5D15">
        <w:t xml:space="preserve">  Augment manual processes with automated processes and let machines help overworked humans get work done.</w:t>
      </w:r>
    </w:p>
    <w:p w14:paraId="78F4B164" w14:textId="77777777" w:rsidR="005B5D15" w:rsidRPr="005B5D15" w:rsidRDefault="005B5D15" w:rsidP="005B5D15">
      <w:pPr>
        <w:pStyle w:val="BodyText"/>
        <w:numPr>
          <w:ilvl w:val="0"/>
          <w:numId w:val="30"/>
        </w:numPr>
      </w:pPr>
      <w:r w:rsidRPr="005B5D15">
        <w:rPr>
          <w:b/>
          <w:bCs/>
        </w:rPr>
        <w:t>Communications issues</w:t>
      </w:r>
      <w:r w:rsidRPr="005B5D15">
        <w:t xml:space="preserve">:  The typical professional accountant does not really grasp the possibilities that technology offers to improve processes accurately.  Computer scientists do not tend to understand important nuances of accounting, reporting, auditing, and analysis and therefore cannot build systems precisely or set priorities effectively.  Most accountants focus on getting work done allocating little to no effort towards process improvement.  </w:t>
      </w:r>
      <w:r w:rsidRPr="005B5D15">
        <w:rPr>
          <w:i/>
          <w:iCs/>
        </w:rPr>
        <w:t>The fix?</w:t>
      </w:r>
      <w:r w:rsidRPr="005B5D15">
        <w:t xml:space="preserve">  It will take far less time for a professional accountant to learn what is necessary to communicate effectively with computer scientists than it would for a computer scientist to understand the important subtleties and nuances of accounting, reporting, auditing, and analysis.  Take the time to improve your skills.  If you don’t want to make the investment, then hire a good consultant that has.</w:t>
      </w:r>
    </w:p>
    <w:p w14:paraId="5E4654EB" w14:textId="77777777" w:rsidR="005B5D15" w:rsidRPr="005B5D15" w:rsidRDefault="005B5D15" w:rsidP="005B5D15">
      <w:pPr>
        <w:pStyle w:val="BodyText"/>
      </w:pPr>
      <w:r w:rsidRPr="005B5D15">
        <w:rPr>
          <w:noProof/>
        </w:rPr>
        <w:lastRenderedPageBreak/>
        <w:drawing>
          <wp:inline distT="0" distB="0" distL="0" distR="0" wp14:anchorId="07183F06" wp14:editId="769414A7">
            <wp:extent cx="5429250" cy="32589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78188" cy="3408427"/>
                    </a:xfrm>
                    <a:prstGeom prst="rect">
                      <a:avLst/>
                    </a:prstGeom>
                  </pic:spPr>
                </pic:pic>
              </a:graphicData>
            </a:graphic>
          </wp:inline>
        </w:drawing>
      </w:r>
    </w:p>
    <w:p w14:paraId="7B3BA02D" w14:textId="6E40A92F" w:rsidR="005B5D15" w:rsidRPr="00E31613" w:rsidRDefault="005B5D15" w:rsidP="00E31613">
      <w:pPr>
        <w:pStyle w:val="BodyText"/>
      </w:pPr>
      <w:r w:rsidRPr="005B5D15">
        <w:t>As the Harvard Business Review points out</w:t>
      </w:r>
      <w:r w:rsidRPr="005B5D15">
        <w:rPr>
          <w:vertAlign w:val="superscript"/>
        </w:rPr>
        <w:footnoteReference w:id="9"/>
      </w:r>
      <w:r w:rsidRPr="005B5D15">
        <w:t>, the digital transformation is about talent, not technology. The coming digital transformation is primarily about people and the realization that effective digital transformation involves changes to organizational dynamics and how work gets done.  The digital transformation is a paradigm shift.  Don’t use old, outdated mental maps; it is important to update your mental map.</w:t>
      </w:r>
    </w:p>
    <w:p w14:paraId="5E3D0F10" w14:textId="17BB7C8D" w:rsidR="00E31613" w:rsidRPr="00E31613" w:rsidRDefault="005B5D15" w:rsidP="00E31613">
      <w:pPr>
        <w:pStyle w:val="Heading2"/>
      </w:pPr>
      <w:r>
        <w:t>Overview of Best Practice based Method for Creating XBRL-based Digital Financial Reports</w:t>
      </w:r>
    </w:p>
    <w:bookmarkEnd w:id="0"/>
    <w:p w14:paraId="28C548BB" w14:textId="77777777" w:rsidR="005B5D15" w:rsidRDefault="005B5D15" w:rsidP="005573A1">
      <w:pPr>
        <w:pStyle w:val="BodyText"/>
      </w:pPr>
      <w:r>
        <w:t xml:space="preserve">The following is a brief overview of the </w:t>
      </w:r>
      <w:r w:rsidRPr="005573A1">
        <w:t>Method of Implementing a Standard Financial Report Using the XBRL Syntax</w:t>
      </w:r>
      <w:r w:rsidRPr="005573A1">
        <w:rPr>
          <w:vertAlign w:val="superscript"/>
        </w:rPr>
        <w:footnoteReference w:id="10"/>
      </w:r>
      <w:r>
        <w:t>.  This graphic provides somewhat of a “dashboard” for understanding this method:</w:t>
      </w:r>
    </w:p>
    <w:p w14:paraId="3383F87D" w14:textId="77777777" w:rsidR="005B5D15" w:rsidRDefault="005B5D15" w:rsidP="005B5D15">
      <w:r w:rsidRPr="006C370D">
        <w:rPr>
          <w:noProof/>
        </w:rPr>
        <w:drawing>
          <wp:inline distT="0" distB="0" distL="0" distR="0" wp14:anchorId="49122E88" wp14:editId="38F56EF0">
            <wp:extent cx="5381625" cy="1377149"/>
            <wp:effectExtent l="0" t="0" r="0" b="0"/>
            <wp:docPr id="1026" name="Picture 2">
              <a:extLst xmlns:a="http://schemas.openxmlformats.org/drawingml/2006/main">
                <a:ext uri="{FF2B5EF4-FFF2-40B4-BE49-F238E27FC236}">
                  <a16:creationId xmlns:a16="http://schemas.microsoft.com/office/drawing/2014/main" id="{A9B35CC9-39CF-4C8C-816B-45D8723564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A9B35CC9-39CF-4C8C-816B-45D87235646B}"/>
                        </a:ext>
                      </a:extLs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9372" cy="1384249"/>
                    </a:xfrm>
                    <a:prstGeom prst="rect">
                      <a:avLst/>
                    </a:prstGeom>
                    <a:noFill/>
                  </pic:spPr>
                </pic:pic>
              </a:graphicData>
            </a:graphic>
          </wp:inline>
        </w:drawing>
      </w:r>
    </w:p>
    <w:p w14:paraId="68E0A2FB" w14:textId="2A120AF1" w:rsidR="005B5D15" w:rsidRDefault="005B5D15" w:rsidP="00C84835">
      <w:pPr>
        <w:pStyle w:val="BodyText"/>
      </w:pPr>
      <w:r>
        <w:t>The dashboard has seven categories that are explained as follows:</w:t>
      </w:r>
    </w:p>
    <w:p w14:paraId="3674634B" w14:textId="77777777" w:rsidR="00C84835" w:rsidRDefault="00C84835" w:rsidP="005B5D15"/>
    <w:p w14:paraId="0CD973A5" w14:textId="77777777" w:rsidR="005B5D15" w:rsidRDefault="005B5D15" w:rsidP="005B5D15">
      <w:pPr>
        <w:pStyle w:val="ListParagraph"/>
        <w:numPr>
          <w:ilvl w:val="0"/>
          <w:numId w:val="29"/>
        </w:numPr>
        <w:spacing w:after="200" w:line="276" w:lineRule="auto"/>
      </w:pPr>
      <w:r w:rsidRPr="006C370D">
        <w:rPr>
          <w:b/>
          <w:bCs/>
        </w:rPr>
        <w:t>XBRL Syntax</w:t>
      </w:r>
      <w:r>
        <w:t>: This category of rules is provided by XBRL International in the form of a machine-readable set of rules referred to as a conformance suite</w:t>
      </w:r>
      <w:r>
        <w:rPr>
          <w:rStyle w:val="FootnoteReference"/>
        </w:rPr>
        <w:footnoteReference w:id="11"/>
      </w:r>
      <w:r>
        <w:t>.  This conformance suite is 100% automatable via computer-based processes and used to be sure the XBRL technical format is consistent with the expectations of the XBRL Technical specification.  The XBRL conformance suite has helped software vendors get their XBRL technical syntax consistent and today about 99.99% of all XBRL-based financial reports are consistent with expectation.  But, this checks only the information FORMAT, not the MEANING conveyed by the information.</w:t>
      </w:r>
    </w:p>
    <w:p w14:paraId="0D36291B" w14:textId="77777777" w:rsidR="005B5D15" w:rsidRDefault="005B5D15" w:rsidP="005B5D15">
      <w:pPr>
        <w:pStyle w:val="ListParagraph"/>
        <w:numPr>
          <w:ilvl w:val="0"/>
          <w:numId w:val="29"/>
        </w:numPr>
        <w:spacing w:after="200" w:line="276" w:lineRule="auto"/>
      </w:pPr>
      <w:r>
        <w:rPr>
          <w:b/>
          <w:bCs/>
        </w:rPr>
        <w:t>Model Structure</w:t>
      </w:r>
      <w:r w:rsidRPr="006C370D">
        <w:t>:</w:t>
      </w:r>
      <w:r>
        <w:t xml:space="preserve"> This category of rules overcomes missing information related to the relationship between the categories of report elements that are used to structure a financial report model.  While the permissible sorts of XBRL calculation relations and XBRL definition relations and certain aspects of XBRL presentation relations are specified by the XBRL technical specification; information about the permissible associations between the categories of report elements as shown by the matrix below are not specified.  The model structure rules simply explicitly specify these rules:</w:t>
      </w:r>
      <w:r w:rsidRPr="001E62D2">
        <w:rPr>
          <w:noProof/>
        </w:rPr>
        <w:t xml:space="preserve"> </w:t>
      </w:r>
      <w:r>
        <w:rPr>
          <w:noProof/>
        </w:rPr>
        <w:drawing>
          <wp:inline distT="0" distB="0" distL="0" distR="0" wp14:anchorId="04153952" wp14:editId="32976293">
            <wp:extent cx="4962525" cy="1326212"/>
            <wp:effectExtent l="0" t="0" r="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80468" cy="1331007"/>
                    </a:xfrm>
                    <a:prstGeom prst="rect">
                      <a:avLst/>
                    </a:prstGeom>
                  </pic:spPr>
                </pic:pic>
              </a:graphicData>
            </a:graphic>
          </wp:inline>
        </w:drawing>
      </w:r>
    </w:p>
    <w:p w14:paraId="71D3B212" w14:textId="77777777" w:rsidR="005B5D15" w:rsidRDefault="005B5D15" w:rsidP="005B5D15">
      <w:pPr>
        <w:pStyle w:val="ListParagraph"/>
        <w:numPr>
          <w:ilvl w:val="0"/>
          <w:numId w:val="29"/>
        </w:numPr>
        <w:spacing w:after="200" w:line="276" w:lineRule="auto"/>
      </w:pPr>
      <w:r w:rsidRPr="001E62D2">
        <w:rPr>
          <w:b/>
          <w:bCs/>
        </w:rPr>
        <w:t>Type or class relations</w:t>
      </w:r>
      <w:r>
        <w:t xml:space="preserve"> (a.k.a. type-subtype relations): This category of rules specifies allowed subtype relations for each type defined in an XBRL taxonomy.  Other terms for this are “is-a” relations or “general-special” relations or “wider-narrower” relations.  An example would be a type-subtype rule that specifies that “Accounts Payable” is a sub type of the “Current Liabilities” type.  This prevents the inadvertent use of “Accounts Payable” as a part of “Noncurrent Liabilities” or “Equity”, etc.</w:t>
      </w:r>
    </w:p>
    <w:p w14:paraId="61633E65" w14:textId="77777777" w:rsidR="005B5D15" w:rsidRDefault="005B5D15" w:rsidP="005B5D15">
      <w:pPr>
        <w:pStyle w:val="ListParagraph"/>
        <w:numPr>
          <w:ilvl w:val="0"/>
          <w:numId w:val="29"/>
        </w:numPr>
        <w:spacing w:after="200" w:line="276" w:lineRule="auto"/>
      </w:pPr>
      <w:r>
        <w:rPr>
          <w:b/>
          <w:bCs/>
        </w:rPr>
        <w:t>Fundamental accounting concepts:</w:t>
      </w:r>
      <w:r w:rsidRPr="001E62D2">
        <w:t xml:space="preserve"> This</w:t>
      </w:r>
      <w:r>
        <w:rPr>
          <w:b/>
          <w:bCs/>
        </w:rPr>
        <w:t xml:space="preserve"> </w:t>
      </w:r>
      <w:r w:rsidRPr="001E62D2">
        <w:t>category of</w:t>
      </w:r>
      <w:r>
        <w:rPr>
          <w:b/>
          <w:bCs/>
        </w:rPr>
        <w:t xml:space="preserve"> </w:t>
      </w:r>
      <w:r w:rsidRPr="00DD389B">
        <w:t xml:space="preserve">rules specifies information that helps detect </w:t>
      </w:r>
      <w:r>
        <w:t xml:space="preserve">common </w:t>
      </w:r>
      <w:r w:rsidRPr="00DD389B">
        <w:t>inconsistencies and contradictions within a financial report</w:t>
      </w:r>
      <w:r>
        <w:rPr>
          <w:rStyle w:val="FootnoteReference"/>
        </w:rPr>
        <w:footnoteReference w:id="12"/>
      </w:r>
      <w:r w:rsidRPr="00DD389B">
        <w:t>.</w:t>
      </w:r>
      <w:r>
        <w:t xml:space="preserve">  Consistency cross checks are created</w:t>
      </w:r>
      <w:r>
        <w:rPr>
          <w:rStyle w:val="FootnoteReference"/>
        </w:rPr>
        <w:footnoteReference w:id="13"/>
      </w:r>
      <w:r>
        <w:t xml:space="preserve"> against expectation.  There are many examples of the types of errors that have been known to commonly occur</w:t>
      </w:r>
      <w:r>
        <w:rPr>
          <w:rStyle w:val="FootnoteReference"/>
        </w:rPr>
        <w:footnoteReference w:id="14"/>
      </w:r>
      <w:r>
        <w:t xml:space="preserve">. For example, for US GAAP XBRL-based financial </w:t>
      </w:r>
      <w:r>
        <w:lastRenderedPageBreak/>
        <w:t>reports submitted to the SEC a common error was to use the concept “us-gaap:NoncurrentAssets” to represent information for which the concept “us-gaap:AssetsNoncurrent” should have been used.</w:t>
      </w:r>
    </w:p>
    <w:p w14:paraId="375D8B39" w14:textId="77777777" w:rsidR="005B5D15" w:rsidRDefault="005B5D15" w:rsidP="005B5D15">
      <w:pPr>
        <w:pStyle w:val="ListParagraph"/>
        <w:numPr>
          <w:ilvl w:val="0"/>
          <w:numId w:val="29"/>
        </w:numPr>
        <w:spacing w:after="200" w:line="276" w:lineRule="auto"/>
      </w:pPr>
      <w:r>
        <w:rPr>
          <w:b/>
          <w:bCs/>
        </w:rPr>
        <w:t>Disclosure mechanics:</w:t>
      </w:r>
      <w:r>
        <w:t xml:space="preserve"> This category of rules is used to specify the permissible representations of each specific disclosure.  For example, the disclosure “Components of Inventories” would be specified to be a “roll up” mathematical relation which uses the concept “us-gaap:InventoryNet” or a permissible alternative to represent that total.  Disclosure mechanics rules likewise specify that the concept “us-gaap:ScheduleOfInventoriesTextBlock” should be used to represent the Level 3 disclosure text block disclosure.</w:t>
      </w:r>
    </w:p>
    <w:p w14:paraId="1DE6EB17" w14:textId="77777777" w:rsidR="005573A1" w:rsidRDefault="005B5D15" w:rsidP="009B09B1">
      <w:pPr>
        <w:pStyle w:val="ListParagraph"/>
        <w:numPr>
          <w:ilvl w:val="0"/>
          <w:numId w:val="29"/>
        </w:numPr>
        <w:spacing w:after="200" w:line="276" w:lineRule="auto"/>
      </w:pPr>
      <w:r w:rsidRPr="005573A1">
        <w:rPr>
          <w:b/>
          <w:bCs/>
        </w:rPr>
        <w:t>Reporting checklist:</w:t>
      </w:r>
      <w:r>
        <w:t xml:space="preserve"> This category of rules is used to specify the permissible sets of disclosures that are required to exist within a financial report.  For example, the fact that a balance sheet is always required to be included can be specified, as would be the case for an income statement, statement of cash flow, or statement of changes in equity.  The fact that a combined statement of comprehensive income and income could be used as an alternative can be specified.  Finally, if a specific line item such as “Inventories” is provided on the balance sheet, the fact that an inventories policy and inventories disclosure must be provided can be specified.</w:t>
      </w:r>
    </w:p>
    <w:p w14:paraId="5AFE6CF8" w14:textId="56EB59F5" w:rsidR="005B5D15" w:rsidRDefault="005B5D15" w:rsidP="009B09B1">
      <w:pPr>
        <w:pStyle w:val="ListParagraph"/>
        <w:numPr>
          <w:ilvl w:val="0"/>
          <w:numId w:val="29"/>
        </w:numPr>
        <w:spacing w:after="200" w:line="276" w:lineRule="auto"/>
      </w:pPr>
      <w:r w:rsidRPr="005573A1">
        <w:rPr>
          <w:b/>
          <w:bCs/>
        </w:rPr>
        <w:t>To do list:</w:t>
      </w:r>
      <w:r>
        <w:t xml:space="preserve"> This category of rules is for cases where either (a) a rule CANNOT be specified in machine-readable terms because the rules language used is not expressive enough to represent the rule or (b) a rule COULD have been represented but it simply HAS NOT been represented and therefore manual work is necessary to verify report logic that could have been automated.</w:t>
      </w:r>
    </w:p>
    <w:p w14:paraId="3C7C6403" w14:textId="0B15AD85" w:rsidR="00C84835" w:rsidRDefault="005B5D15" w:rsidP="00C84835">
      <w:pPr>
        <w:pStyle w:val="BodyText"/>
      </w:pPr>
      <w:r>
        <w:t>And so, XBRL Syntax validation provides only a small subset of what can be verified to be correctly represented within an XBRL-based financial report.  Categories 2 through 6 must either be (a) also represented using machine-readable rules and verified using automated processes or (b) verified using manual processes which are less reliable and therefore more prone to error.</w:t>
      </w:r>
    </w:p>
    <w:p w14:paraId="1F09C8FF" w14:textId="2374CEE9" w:rsidR="00C84835" w:rsidRPr="00E31613" w:rsidRDefault="00C84835" w:rsidP="00C84835">
      <w:pPr>
        <w:pStyle w:val="Heading2"/>
      </w:pPr>
      <w:r>
        <w:t>Using Method</w:t>
      </w:r>
    </w:p>
    <w:p w14:paraId="5C515958" w14:textId="5E64C30E" w:rsidR="00C84835" w:rsidRDefault="00C84835" w:rsidP="00C84835">
      <w:pPr>
        <w:pStyle w:val="BodyText"/>
      </w:pPr>
      <w:r>
        <w:t>Again, to</w:t>
      </w:r>
      <w:r w:rsidRPr="00C84835">
        <w:t xml:space="preserve"> thoroughly understand this method and framework, please read </w:t>
      </w:r>
      <w:r w:rsidRPr="00C84835">
        <w:rPr>
          <w:i/>
          <w:iCs/>
        </w:rPr>
        <w:t>Method of Implementing a Standard Digital Financial Report Using the XBRL Syntax</w:t>
      </w:r>
      <w:r w:rsidRPr="00C84835">
        <w:rPr>
          <w:vertAlign w:val="superscript"/>
        </w:rPr>
        <w:footnoteReference w:id="15"/>
      </w:r>
      <w:r w:rsidRPr="00C84835">
        <w:t xml:space="preserve">.  To understand how this method was derived, please see </w:t>
      </w:r>
      <w:r w:rsidRPr="00C84835">
        <w:rPr>
          <w:i/>
          <w:iCs/>
        </w:rPr>
        <w:t>Understanding Method</w:t>
      </w:r>
      <w:r w:rsidRPr="00C84835">
        <w:rPr>
          <w:vertAlign w:val="superscript"/>
        </w:rPr>
        <w:footnoteReference w:id="16"/>
      </w:r>
      <w:r w:rsidRPr="00C84835">
        <w:t>.</w:t>
      </w:r>
    </w:p>
    <w:p w14:paraId="1B207049" w14:textId="77777777" w:rsidR="00E66F72" w:rsidRDefault="00E66F72" w:rsidP="004D5C71">
      <w:pPr>
        <w:pStyle w:val="BodyText"/>
      </w:pPr>
    </w:p>
    <w:p w14:paraId="462B77E7" w14:textId="77777777" w:rsidR="00E66F72" w:rsidRDefault="00E66F72" w:rsidP="004D5C71">
      <w:pPr>
        <w:pStyle w:val="BodyText"/>
      </w:pPr>
    </w:p>
    <w:sectPr w:rsidR="00E66F72" w:rsidSect="00D5119C">
      <w:headerReference w:type="default" r:id="rId12"/>
      <w:footerReference w:type="default" r:id="rId13"/>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CBAA02" w14:textId="77777777" w:rsidR="008B4FBC" w:rsidRDefault="008B4FBC">
      <w:r>
        <w:separator/>
      </w:r>
    </w:p>
  </w:endnote>
  <w:endnote w:type="continuationSeparator" w:id="0">
    <w:p w14:paraId="27CBDCD0" w14:textId="77777777" w:rsidR="008B4FBC" w:rsidRDefault="008B4F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2ED85" w14:textId="77777777" w:rsidR="00C563CD" w:rsidRDefault="00C563CD">
    <w:pPr>
      <w:pStyle w:val="Footer"/>
      <w:rPr>
        <w:rFonts w:cs="Lucida Sans Unicode"/>
        <w:sz w:val="16"/>
      </w:rPr>
    </w:pPr>
    <w:r w:rsidRPr="00C95031">
      <w:rPr>
        <w:noProof/>
      </w:rPr>
      <w:drawing>
        <wp:inline distT="0" distB="0" distL="0" distR="0" wp14:anchorId="149FF1C9" wp14:editId="570B6869">
          <wp:extent cx="1306132" cy="234086"/>
          <wp:effectExtent l="0" t="0" r="0" b="0"/>
          <wp:docPr id="2050"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048" cy="234429"/>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rsidRPr="008A148E">
      <w:t xml:space="preserve"> </w:t>
    </w:r>
    <w:hyperlink r:id="rId3" w:history="1">
      <w:r w:rsidRPr="00295192">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27</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99DA39" w14:textId="77777777" w:rsidR="008B4FBC" w:rsidRDefault="008B4FBC">
      <w:r>
        <w:separator/>
      </w:r>
    </w:p>
  </w:footnote>
  <w:footnote w:type="continuationSeparator" w:id="0">
    <w:p w14:paraId="4A9A6042" w14:textId="77777777" w:rsidR="008B4FBC" w:rsidRDefault="008B4FBC">
      <w:r>
        <w:continuationSeparator/>
      </w:r>
    </w:p>
  </w:footnote>
  <w:footnote w:id="1">
    <w:p w14:paraId="2B84ADAC" w14:textId="5C1B5301" w:rsidR="005B5D15" w:rsidRPr="005B5D15" w:rsidRDefault="005B5D15" w:rsidP="005B5D15">
      <w:pPr>
        <w:pStyle w:val="FootnoteText"/>
        <w:jc w:val="left"/>
        <w:rPr>
          <w:sz w:val="16"/>
          <w:szCs w:val="16"/>
        </w:rPr>
      </w:pPr>
      <w:r>
        <w:rPr>
          <w:rStyle w:val="FootnoteReference"/>
        </w:rPr>
        <w:footnoteRef/>
      </w:r>
      <w:r>
        <w:t xml:space="preserve"> </w:t>
      </w:r>
      <w:r w:rsidRPr="005B5D15">
        <w:rPr>
          <w:i/>
          <w:iCs/>
          <w:sz w:val="16"/>
          <w:szCs w:val="16"/>
        </w:rPr>
        <w:t>Method of Implementing a Standard Digital Financial Report Using the XBRL Syntax</w:t>
      </w:r>
      <w:r w:rsidRPr="005B5D15">
        <w:rPr>
          <w:sz w:val="16"/>
          <w:szCs w:val="16"/>
        </w:rPr>
        <w:t xml:space="preserve">, </w:t>
      </w:r>
      <w:hyperlink r:id="rId1" w:history="1">
        <w:r w:rsidRPr="00E1609B">
          <w:rPr>
            <w:rStyle w:val="Hyperlink"/>
            <w:sz w:val="16"/>
            <w:szCs w:val="16"/>
          </w:rPr>
          <w:t>http://www.xbrlsite.com/2020/Theory/SBRM-Method.pdf</w:t>
        </w:r>
      </w:hyperlink>
      <w:r>
        <w:rPr>
          <w:sz w:val="16"/>
          <w:szCs w:val="16"/>
        </w:rPr>
        <w:t xml:space="preserve"> </w:t>
      </w:r>
    </w:p>
  </w:footnote>
  <w:footnote w:id="2">
    <w:p w14:paraId="3803A355" w14:textId="1CB3DD99" w:rsidR="005107D9" w:rsidRDefault="005107D9" w:rsidP="005107D9">
      <w:pPr>
        <w:pStyle w:val="FootnoteText"/>
        <w:jc w:val="left"/>
      </w:pPr>
      <w:r>
        <w:rPr>
          <w:rStyle w:val="FootnoteReference"/>
        </w:rPr>
        <w:footnoteRef/>
      </w:r>
      <w:r>
        <w:t xml:space="preserve"> </w:t>
      </w:r>
      <w:r w:rsidRPr="005107D9">
        <w:rPr>
          <w:i/>
          <w:iCs/>
          <w:sz w:val="16"/>
          <w:szCs w:val="16"/>
        </w:rPr>
        <w:t>Understanding Method</w:t>
      </w:r>
      <w:r w:rsidRPr="005107D9">
        <w:rPr>
          <w:sz w:val="16"/>
          <w:szCs w:val="16"/>
        </w:rPr>
        <w:t xml:space="preserve">, </w:t>
      </w:r>
      <w:hyperlink r:id="rId2" w:history="1">
        <w:r w:rsidRPr="005107D9">
          <w:rPr>
            <w:rStyle w:val="Hyperlink"/>
            <w:sz w:val="16"/>
            <w:szCs w:val="16"/>
          </w:rPr>
          <w:t>http://xbrlsite.azurewebsites.net/2020/Library/UnderstandingMethod.pdf</w:t>
        </w:r>
      </w:hyperlink>
    </w:p>
  </w:footnote>
  <w:footnote w:id="3">
    <w:p w14:paraId="506A07B2" w14:textId="7FEE30BB" w:rsidR="005107D9" w:rsidRDefault="005107D9" w:rsidP="005107D9">
      <w:pPr>
        <w:pStyle w:val="FootnoteText"/>
        <w:jc w:val="left"/>
      </w:pPr>
      <w:r>
        <w:rPr>
          <w:rStyle w:val="FootnoteReference"/>
        </w:rPr>
        <w:footnoteRef/>
      </w:r>
      <w:r>
        <w:t xml:space="preserve"> </w:t>
      </w:r>
      <w:r w:rsidRPr="005107D9">
        <w:rPr>
          <w:sz w:val="16"/>
          <w:szCs w:val="16"/>
        </w:rPr>
        <w:t xml:space="preserve">Markus Andrezak, </w:t>
      </w:r>
      <w:r w:rsidRPr="005107D9">
        <w:rPr>
          <w:i/>
          <w:iCs/>
          <w:sz w:val="16"/>
          <w:szCs w:val="16"/>
        </w:rPr>
        <w:t>Properties of Products</w:t>
      </w:r>
      <w:r w:rsidRPr="005107D9">
        <w:rPr>
          <w:sz w:val="16"/>
          <w:szCs w:val="16"/>
        </w:rPr>
        <w:t xml:space="preserve">, </w:t>
      </w:r>
      <w:hyperlink r:id="rId3" w:history="1">
        <w:r w:rsidRPr="005107D9">
          <w:rPr>
            <w:rStyle w:val="Hyperlink"/>
            <w:sz w:val="16"/>
            <w:szCs w:val="16"/>
          </w:rPr>
          <w:t>http://ueberproduct.de/en/properties-of-products/</w:t>
        </w:r>
      </w:hyperlink>
    </w:p>
  </w:footnote>
  <w:footnote w:id="4">
    <w:p w14:paraId="6CCF10E9"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Bernard Marr, Forbes, </w:t>
      </w:r>
      <w:r w:rsidRPr="005B5D15">
        <w:rPr>
          <w:i/>
          <w:iCs/>
          <w:sz w:val="16"/>
          <w:szCs w:val="16"/>
        </w:rPr>
        <w:t>3 Important Ways Artificial Intelligence Will Transform Your Business And Turbocharge Success</w:t>
      </w:r>
      <w:r w:rsidRPr="005B5D15">
        <w:rPr>
          <w:sz w:val="16"/>
          <w:szCs w:val="16"/>
        </w:rPr>
        <w:t xml:space="preserve">, </w:t>
      </w:r>
      <w:hyperlink r:id="rId4" w:history="1">
        <w:r w:rsidRPr="005B5D15">
          <w:rPr>
            <w:rStyle w:val="Hyperlink"/>
            <w:sz w:val="16"/>
            <w:szCs w:val="16"/>
          </w:rPr>
          <w:t>https://www.forbes.com/sites/bernardmarr/2020/08/03/3-important-ways-artificial-intelligence-will-transform-your-business-and-turbocharge-success/</w:t>
        </w:r>
      </w:hyperlink>
      <w:r>
        <w:t xml:space="preserve"> </w:t>
      </w:r>
    </w:p>
  </w:footnote>
  <w:footnote w:id="5">
    <w:p w14:paraId="5EC89A07"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XBRL International, </w:t>
      </w:r>
      <w:r w:rsidRPr="005B5D15">
        <w:rPr>
          <w:i/>
          <w:iCs/>
          <w:sz w:val="16"/>
          <w:szCs w:val="16"/>
        </w:rPr>
        <w:t>Extensible Business Reporting Language (XBRL)</w:t>
      </w:r>
      <w:r w:rsidRPr="005B5D15">
        <w:rPr>
          <w:sz w:val="16"/>
          <w:szCs w:val="16"/>
        </w:rPr>
        <w:t xml:space="preserve">, </w:t>
      </w:r>
      <w:hyperlink r:id="rId5" w:history="1">
        <w:r w:rsidRPr="005B5D15">
          <w:rPr>
            <w:rStyle w:val="Hyperlink"/>
            <w:sz w:val="16"/>
            <w:szCs w:val="16"/>
          </w:rPr>
          <w:t>https://www.xbrl.org/</w:t>
        </w:r>
      </w:hyperlink>
    </w:p>
  </w:footnote>
  <w:footnote w:id="6">
    <w:p w14:paraId="50C9E139"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OMG, </w:t>
      </w:r>
      <w:r w:rsidRPr="005B5D15">
        <w:rPr>
          <w:i/>
          <w:iCs/>
          <w:sz w:val="16"/>
          <w:szCs w:val="16"/>
        </w:rPr>
        <w:t>Standard Business report Model</w:t>
      </w:r>
      <w:r w:rsidRPr="005B5D15">
        <w:rPr>
          <w:sz w:val="16"/>
          <w:szCs w:val="16"/>
        </w:rPr>
        <w:t xml:space="preserve"> (SBRM), </w:t>
      </w:r>
      <w:hyperlink r:id="rId6" w:history="1">
        <w:r w:rsidRPr="005B5D15">
          <w:rPr>
            <w:rStyle w:val="Hyperlink"/>
            <w:sz w:val="16"/>
            <w:szCs w:val="16"/>
          </w:rPr>
          <w:t>https://www.omg.org/intro/SBRM.pdf</w:t>
        </w:r>
      </w:hyperlink>
    </w:p>
  </w:footnote>
  <w:footnote w:id="7">
    <w:p w14:paraId="6BD22A03"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Charles Hoffman, CPA, </w:t>
      </w:r>
      <w:r w:rsidRPr="005B5D15">
        <w:rPr>
          <w:i/>
          <w:iCs/>
          <w:sz w:val="16"/>
          <w:szCs w:val="16"/>
        </w:rPr>
        <w:t>Understanding Method</w:t>
      </w:r>
      <w:r w:rsidRPr="005B5D15">
        <w:rPr>
          <w:sz w:val="16"/>
          <w:szCs w:val="16"/>
        </w:rPr>
        <w:t xml:space="preserve">, </w:t>
      </w:r>
      <w:hyperlink r:id="rId7" w:history="1">
        <w:r w:rsidRPr="005B5D15">
          <w:rPr>
            <w:rStyle w:val="Hyperlink"/>
            <w:sz w:val="16"/>
            <w:szCs w:val="16"/>
          </w:rPr>
          <w:t>http://xbrlsite.azurewebsites.net/2020/Library/UnderstandingMethod.pdf</w:t>
        </w:r>
      </w:hyperlink>
    </w:p>
  </w:footnote>
  <w:footnote w:id="8">
    <w:p w14:paraId="78A29AEA"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Charles Hoffman, CPA, </w:t>
      </w:r>
      <w:r w:rsidRPr="005B5D15">
        <w:rPr>
          <w:i/>
          <w:iCs/>
          <w:sz w:val="16"/>
          <w:szCs w:val="16"/>
        </w:rPr>
        <w:t>Logical Theory Describing Financial Report</w:t>
      </w:r>
      <w:r w:rsidRPr="005B5D15">
        <w:rPr>
          <w:sz w:val="16"/>
          <w:szCs w:val="16"/>
        </w:rPr>
        <w:t xml:space="preserve">, </w:t>
      </w:r>
      <w:hyperlink r:id="rId8" w:history="1">
        <w:r w:rsidRPr="005B5D15">
          <w:rPr>
            <w:rStyle w:val="Hyperlink"/>
            <w:sz w:val="16"/>
            <w:szCs w:val="16"/>
          </w:rPr>
          <w:t>http://xbrl.squarespace.com/logical-theory-financial-rep/</w:t>
        </w:r>
      </w:hyperlink>
    </w:p>
  </w:footnote>
  <w:footnote w:id="9">
    <w:p w14:paraId="111DFD85"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Becky Frankiewicz and Tomas Chamorro-Premuzic, Harvard Business Review, </w:t>
      </w:r>
      <w:r w:rsidRPr="005B5D15">
        <w:rPr>
          <w:i/>
          <w:iCs/>
          <w:sz w:val="16"/>
          <w:szCs w:val="16"/>
        </w:rPr>
        <w:t>Digital Transformation Is About Talent, Not Technology</w:t>
      </w:r>
      <w:r w:rsidRPr="005B5D15">
        <w:rPr>
          <w:sz w:val="16"/>
          <w:szCs w:val="16"/>
        </w:rPr>
        <w:t xml:space="preserve">, </w:t>
      </w:r>
      <w:hyperlink r:id="rId9" w:history="1">
        <w:r w:rsidRPr="005B5D15">
          <w:rPr>
            <w:rStyle w:val="Hyperlink"/>
            <w:sz w:val="16"/>
            <w:szCs w:val="16"/>
          </w:rPr>
          <w:t>https://hbr.org/2020/05/digital-transformation-is-about-talent-not-technology</w:t>
        </w:r>
      </w:hyperlink>
    </w:p>
  </w:footnote>
  <w:footnote w:id="10">
    <w:p w14:paraId="0CA90CB6" w14:textId="77777777" w:rsidR="005B5D15" w:rsidRDefault="005B5D15" w:rsidP="005B5D15">
      <w:pPr>
        <w:pStyle w:val="FootnoteText"/>
        <w:jc w:val="left"/>
      </w:pPr>
      <w:r>
        <w:rPr>
          <w:rStyle w:val="FootnoteReference"/>
        </w:rPr>
        <w:footnoteRef/>
      </w:r>
      <w:r>
        <w:t xml:space="preserve"> </w:t>
      </w:r>
      <w:r w:rsidRPr="005B5D15">
        <w:rPr>
          <w:i/>
          <w:iCs/>
          <w:sz w:val="16"/>
          <w:szCs w:val="16"/>
        </w:rPr>
        <w:t>Method of Implementing a Standard Financial Report Using the XBRL Syntax</w:t>
      </w:r>
      <w:r w:rsidRPr="005B5D15">
        <w:rPr>
          <w:sz w:val="16"/>
          <w:szCs w:val="16"/>
        </w:rPr>
        <w:t xml:space="preserve">, </w:t>
      </w:r>
      <w:hyperlink r:id="rId10" w:history="1">
        <w:r w:rsidRPr="005B5D15">
          <w:rPr>
            <w:rStyle w:val="Hyperlink"/>
            <w:sz w:val="16"/>
            <w:szCs w:val="16"/>
          </w:rPr>
          <w:t>http://www.xbrlsite.com/2020/Theory/SBRM-Method.pdf</w:t>
        </w:r>
      </w:hyperlink>
      <w:r>
        <w:t xml:space="preserve"> </w:t>
      </w:r>
    </w:p>
  </w:footnote>
  <w:footnote w:id="11">
    <w:p w14:paraId="4C594F99" w14:textId="77777777" w:rsidR="005B5D15" w:rsidRPr="005B5D15" w:rsidRDefault="005B5D15" w:rsidP="005B5D15">
      <w:pPr>
        <w:pStyle w:val="FootnoteText"/>
        <w:jc w:val="left"/>
        <w:rPr>
          <w:sz w:val="16"/>
          <w:szCs w:val="16"/>
        </w:rPr>
      </w:pPr>
      <w:r>
        <w:rPr>
          <w:rStyle w:val="FootnoteReference"/>
        </w:rPr>
        <w:footnoteRef/>
      </w:r>
      <w:r>
        <w:t xml:space="preserve"> </w:t>
      </w:r>
      <w:r w:rsidRPr="005B5D15">
        <w:rPr>
          <w:sz w:val="16"/>
          <w:szCs w:val="16"/>
        </w:rPr>
        <w:t xml:space="preserve">XBRL International, XBRL 2.1, </w:t>
      </w:r>
      <w:hyperlink r:id="rId11" w:history="1">
        <w:r w:rsidRPr="005B5D15">
          <w:rPr>
            <w:rStyle w:val="Hyperlink"/>
            <w:sz w:val="16"/>
            <w:szCs w:val="16"/>
          </w:rPr>
          <w:t>https://specifications.xbrl.org/work-product-index-group-base-spec-base-spec.html</w:t>
        </w:r>
      </w:hyperlink>
      <w:r w:rsidRPr="005B5D15">
        <w:rPr>
          <w:sz w:val="16"/>
          <w:szCs w:val="16"/>
        </w:rPr>
        <w:t xml:space="preserve"> </w:t>
      </w:r>
    </w:p>
  </w:footnote>
  <w:footnote w:id="12">
    <w:p w14:paraId="194F843D"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Quarterly XBRL-based Public Company Financial Report Quality Measurement (March 2019), </w:t>
      </w:r>
      <w:hyperlink r:id="rId12" w:history="1">
        <w:r w:rsidRPr="005B5D15">
          <w:rPr>
            <w:rStyle w:val="Hyperlink"/>
            <w:sz w:val="16"/>
            <w:szCs w:val="16"/>
          </w:rPr>
          <w:t>http://xbrl.squarespace.com/journal/2019/3/29/quarterly-xbrl-based-public-company-financial-report-quality.html</w:t>
        </w:r>
      </w:hyperlink>
      <w:r>
        <w:t xml:space="preserve"> </w:t>
      </w:r>
    </w:p>
  </w:footnote>
  <w:footnote w:id="13">
    <w:p w14:paraId="1A90E1F8"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Consistency cross check rules, </w:t>
      </w:r>
      <w:hyperlink r:id="rId13" w:history="1">
        <w:r w:rsidRPr="005B5D15">
          <w:rPr>
            <w:rStyle w:val="Hyperlink"/>
            <w:sz w:val="16"/>
            <w:szCs w:val="16"/>
          </w:rPr>
          <w:t>http://xbrlsite.azurewebsites.net/2019/Library/Signals_2019-03-31.jpg</w:t>
        </w:r>
      </w:hyperlink>
      <w:r>
        <w:t xml:space="preserve"> </w:t>
      </w:r>
    </w:p>
  </w:footnote>
  <w:footnote w:id="14">
    <w:p w14:paraId="43399759" w14:textId="77777777" w:rsidR="005B5D15" w:rsidRDefault="005B5D15" w:rsidP="005B5D15">
      <w:pPr>
        <w:pStyle w:val="FootnoteText"/>
        <w:jc w:val="left"/>
      </w:pPr>
      <w:r>
        <w:rPr>
          <w:rStyle w:val="FootnoteReference"/>
        </w:rPr>
        <w:footnoteRef/>
      </w:r>
      <w:r>
        <w:t xml:space="preserve"> </w:t>
      </w:r>
      <w:r w:rsidRPr="005B5D15">
        <w:rPr>
          <w:sz w:val="16"/>
          <w:szCs w:val="16"/>
        </w:rPr>
        <w:t xml:space="preserve">High-quality examples of errors, </w:t>
      </w:r>
      <w:hyperlink r:id="rId14" w:history="1">
        <w:r w:rsidRPr="005B5D15">
          <w:rPr>
            <w:rStyle w:val="Hyperlink"/>
            <w:sz w:val="16"/>
            <w:szCs w:val="16"/>
          </w:rPr>
          <w:t>http://xbrl.squarespace.com/journal/2017/4/29/high-quality-examples-of-errors-in-xbrl-based-financial-repo.html</w:t>
        </w:r>
      </w:hyperlink>
      <w:r>
        <w:t xml:space="preserve"> </w:t>
      </w:r>
    </w:p>
  </w:footnote>
  <w:footnote w:id="15">
    <w:p w14:paraId="43BBAF2A" w14:textId="77777777" w:rsidR="00C84835" w:rsidRPr="005B5D15" w:rsidRDefault="00C84835" w:rsidP="00C84835">
      <w:pPr>
        <w:pStyle w:val="FootnoteText"/>
        <w:jc w:val="left"/>
        <w:rPr>
          <w:sz w:val="16"/>
          <w:szCs w:val="16"/>
        </w:rPr>
      </w:pPr>
      <w:r>
        <w:rPr>
          <w:rStyle w:val="FootnoteReference"/>
        </w:rPr>
        <w:footnoteRef/>
      </w:r>
      <w:r>
        <w:t xml:space="preserve"> </w:t>
      </w:r>
      <w:r w:rsidRPr="005B5D15">
        <w:rPr>
          <w:i/>
          <w:iCs/>
          <w:sz w:val="16"/>
          <w:szCs w:val="16"/>
        </w:rPr>
        <w:t>Method of Implementing a Standard Digital Financial Report Using the XBRL Syntax</w:t>
      </w:r>
      <w:r w:rsidRPr="005B5D15">
        <w:rPr>
          <w:sz w:val="16"/>
          <w:szCs w:val="16"/>
        </w:rPr>
        <w:t xml:space="preserve">, </w:t>
      </w:r>
      <w:hyperlink r:id="rId15" w:history="1">
        <w:r w:rsidRPr="00E1609B">
          <w:rPr>
            <w:rStyle w:val="Hyperlink"/>
            <w:sz w:val="16"/>
            <w:szCs w:val="16"/>
          </w:rPr>
          <w:t>http://www.xbrlsite.com/2020/Theory/SBRM-Method.pdf</w:t>
        </w:r>
      </w:hyperlink>
      <w:r>
        <w:rPr>
          <w:sz w:val="16"/>
          <w:szCs w:val="16"/>
        </w:rPr>
        <w:t xml:space="preserve"> </w:t>
      </w:r>
    </w:p>
  </w:footnote>
  <w:footnote w:id="16">
    <w:p w14:paraId="123BA8D1" w14:textId="77777777" w:rsidR="00C84835" w:rsidRDefault="00C84835" w:rsidP="00C84835">
      <w:pPr>
        <w:pStyle w:val="FootnoteText"/>
        <w:jc w:val="left"/>
      </w:pPr>
      <w:r>
        <w:rPr>
          <w:rStyle w:val="FootnoteReference"/>
        </w:rPr>
        <w:footnoteRef/>
      </w:r>
      <w:r>
        <w:t xml:space="preserve"> </w:t>
      </w:r>
      <w:r w:rsidRPr="005107D9">
        <w:rPr>
          <w:i/>
          <w:iCs/>
          <w:sz w:val="16"/>
          <w:szCs w:val="16"/>
        </w:rPr>
        <w:t>Understanding Method</w:t>
      </w:r>
      <w:r w:rsidRPr="005107D9">
        <w:rPr>
          <w:sz w:val="16"/>
          <w:szCs w:val="16"/>
        </w:rPr>
        <w:t xml:space="preserve">, </w:t>
      </w:r>
      <w:hyperlink r:id="rId16" w:history="1">
        <w:r w:rsidRPr="005107D9">
          <w:rPr>
            <w:rStyle w:val="Hyperlink"/>
            <w:sz w:val="16"/>
            <w:szCs w:val="16"/>
          </w:rPr>
          <w:t>http://xbrlsite.azurewebsites.net/2020/Library/UnderstandingMethod.pdf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9FA6EC" w14:textId="352529FD" w:rsidR="00C563CD" w:rsidRPr="009C6A60" w:rsidRDefault="00E66F72" w:rsidP="009C6A60">
    <w:pPr>
      <w:pStyle w:val="Header"/>
      <w:jc w:val="center"/>
      <w:rPr>
        <w:sz w:val="18"/>
        <w:szCs w:val="18"/>
      </w:rPr>
    </w:pPr>
    <w:r>
      <w:rPr>
        <w:smallCaps/>
        <w:sz w:val="16"/>
        <w:szCs w:val="18"/>
      </w:rPr>
      <w:t xml:space="preserve">Mastering XBRL-based </w:t>
    </w:r>
    <w:r w:rsidR="00C563CD" w:rsidRPr="009C6A60">
      <w:rPr>
        <w:smallCaps/>
        <w:sz w:val="16"/>
        <w:szCs w:val="18"/>
      </w:rPr>
      <w:t xml:space="preserve">Digital Financial Reporting – Part 2: </w:t>
    </w:r>
    <w:r>
      <w:rPr>
        <w:smallCaps/>
        <w:sz w:val="16"/>
        <w:szCs w:val="18"/>
      </w:rPr>
      <w:t>Logical Conceptualization of Financial Report</w:t>
    </w:r>
    <w:r w:rsidR="00C563CD" w:rsidRPr="009C6A60">
      <w:rPr>
        <w:smallCaps/>
        <w:sz w:val="16"/>
        <w:szCs w:val="18"/>
      </w:rPr>
      <w:t xml:space="preserve"> – </w:t>
    </w:r>
    <w:r w:rsidR="005B5D15">
      <w:rPr>
        <w:smallCaps/>
        <w:sz w:val="16"/>
        <w:szCs w:val="18"/>
      </w:rPr>
      <w:t>Method</w:t>
    </w:r>
    <w:r w:rsidR="00C563CD" w:rsidRPr="009C6A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C22A15"/>
    <w:multiLevelType w:val="multilevel"/>
    <w:tmpl w:val="68CCF46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A945DB"/>
    <w:multiLevelType w:val="hybridMultilevel"/>
    <w:tmpl w:val="6C2C3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D01610"/>
    <w:multiLevelType w:val="hybridMultilevel"/>
    <w:tmpl w:val="4AFAC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3944C4"/>
    <w:multiLevelType w:val="hybridMultilevel"/>
    <w:tmpl w:val="969C5C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C3559FF"/>
    <w:multiLevelType w:val="hybridMultilevel"/>
    <w:tmpl w:val="B3C8B0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ED1E7B"/>
    <w:multiLevelType w:val="hybridMultilevel"/>
    <w:tmpl w:val="3D96F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CA640E"/>
    <w:multiLevelType w:val="multilevel"/>
    <w:tmpl w:val="55F06B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E8740C"/>
    <w:multiLevelType w:val="hybridMultilevel"/>
    <w:tmpl w:val="6002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57E1D"/>
    <w:multiLevelType w:val="multilevel"/>
    <w:tmpl w:val="C720CA9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FA1DDA"/>
    <w:multiLevelType w:val="multilevel"/>
    <w:tmpl w:val="EF30CC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5A036E"/>
    <w:multiLevelType w:val="hybridMultilevel"/>
    <w:tmpl w:val="6C0A46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1591030"/>
    <w:multiLevelType w:val="hybridMultilevel"/>
    <w:tmpl w:val="4EBC0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441686"/>
    <w:multiLevelType w:val="hybridMultilevel"/>
    <w:tmpl w:val="7AE41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FB7693"/>
    <w:multiLevelType w:val="multilevel"/>
    <w:tmpl w:val="6554C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F961B67"/>
    <w:multiLevelType w:val="hybridMultilevel"/>
    <w:tmpl w:val="F7785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9" w15:restartNumberingAfterBreak="0">
    <w:nsid w:val="728C339F"/>
    <w:multiLevelType w:val="hybridMultilevel"/>
    <w:tmpl w:val="2500F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E51373F"/>
    <w:multiLevelType w:val="hybridMultilevel"/>
    <w:tmpl w:val="4406F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0"/>
  </w:num>
  <w:num w:numId="3">
    <w:abstractNumId w:val="2"/>
  </w:num>
  <w:num w:numId="4">
    <w:abstractNumId w:val="1"/>
  </w:num>
  <w:num w:numId="5">
    <w:abstractNumId w:val="14"/>
  </w:num>
  <w:num w:numId="6">
    <w:abstractNumId w:val="3"/>
  </w:num>
  <w:num w:numId="7">
    <w:abstractNumId w:val="15"/>
  </w:num>
  <w:num w:numId="8">
    <w:abstractNumId w:val="17"/>
  </w:num>
  <w:num w:numId="9">
    <w:abstractNumId w:val="6"/>
  </w:num>
  <w:num w:numId="10">
    <w:abstractNumId w:val="5"/>
  </w:num>
  <w:num w:numId="11">
    <w:abstractNumId w:val="4"/>
  </w:num>
  <w:num w:numId="12">
    <w:abstractNumId w:val="20"/>
  </w:num>
  <w:num w:numId="13">
    <w:abstractNumId w:val="16"/>
  </w:num>
  <w:num w:numId="14">
    <w:abstractNumId w:val="7"/>
  </w:num>
  <w:num w:numId="15">
    <w:abstractNumId w:val="11"/>
  </w:num>
  <w:num w:numId="16">
    <w:abstractNumId w:val="9"/>
  </w:num>
  <w:num w:numId="17">
    <w:abstractNumId w:val="18"/>
  </w:num>
  <w:num w:numId="18">
    <w:abstractNumId w:val="13"/>
  </w:num>
  <w:num w:numId="19">
    <w:abstractNumId w:val="18"/>
  </w:num>
  <w:num w:numId="20">
    <w:abstractNumId w:val="18"/>
  </w:num>
  <w:num w:numId="21">
    <w:abstractNumId w:val="18"/>
  </w:num>
  <w:num w:numId="22">
    <w:abstractNumId w:val="18"/>
  </w:num>
  <w:num w:numId="23">
    <w:abstractNumId w:val="18"/>
  </w:num>
  <w:num w:numId="24">
    <w:abstractNumId w:val="18"/>
  </w:num>
  <w:num w:numId="25">
    <w:abstractNumId w:val="18"/>
  </w:num>
  <w:num w:numId="26">
    <w:abstractNumId w:val="18"/>
  </w:num>
  <w:num w:numId="27">
    <w:abstractNumId w:val="18"/>
  </w:num>
  <w:num w:numId="28">
    <w:abstractNumId w:val="18"/>
  </w:num>
  <w:num w:numId="29">
    <w:abstractNumId w:val="12"/>
  </w:num>
  <w:num w:numId="30">
    <w:abstractNumId w:val="8"/>
  </w:num>
  <w:num w:numId="31">
    <w:abstractNumId w:val="0"/>
  </w:num>
  <w:num w:numId="32">
    <w:abstractNumId w:val="19"/>
  </w:num>
  <w:num w:numId="33">
    <w:abstractNumId w:val="1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BBA"/>
    <w:rsid w:val="00017CB7"/>
    <w:rsid w:val="0002109F"/>
    <w:rsid w:val="00021DCD"/>
    <w:rsid w:val="000228D3"/>
    <w:rsid w:val="00023724"/>
    <w:rsid w:val="000237CC"/>
    <w:rsid w:val="000237EB"/>
    <w:rsid w:val="00025FD5"/>
    <w:rsid w:val="00030B6D"/>
    <w:rsid w:val="00032644"/>
    <w:rsid w:val="00035771"/>
    <w:rsid w:val="000358B0"/>
    <w:rsid w:val="00035C81"/>
    <w:rsid w:val="0003759F"/>
    <w:rsid w:val="00040CF9"/>
    <w:rsid w:val="00041086"/>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ABF"/>
    <w:rsid w:val="00073599"/>
    <w:rsid w:val="00074E20"/>
    <w:rsid w:val="00074E5B"/>
    <w:rsid w:val="000770E7"/>
    <w:rsid w:val="00077496"/>
    <w:rsid w:val="000803CD"/>
    <w:rsid w:val="00080C5A"/>
    <w:rsid w:val="00082761"/>
    <w:rsid w:val="00084253"/>
    <w:rsid w:val="00084349"/>
    <w:rsid w:val="00084367"/>
    <w:rsid w:val="00084532"/>
    <w:rsid w:val="0008471D"/>
    <w:rsid w:val="00085A93"/>
    <w:rsid w:val="00085F06"/>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5CC"/>
    <w:rsid w:val="000E000E"/>
    <w:rsid w:val="000E0BB4"/>
    <w:rsid w:val="000E228E"/>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899"/>
    <w:rsid w:val="000F6AF8"/>
    <w:rsid w:val="000F6D28"/>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76A"/>
    <w:rsid w:val="00111839"/>
    <w:rsid w:val="001118C7"/>
    <w:rsid w:val="001127B1"/>
    <w:rsid w:val="00113694"/>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0538"/>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08A2"/>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8E"/>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728"/>
    <w:rsid w:val="001E3B18"/>
    <w:rsid w:val="001E3FF3"/>
    <w:rsid w:val="001E4CAB"/>
    <w:rsid w:val="001E65C3"/>
    <w:rsid w:val="001E6D6A"/>
    <w:rsid w:val="001E7225"/>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4C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D49"/>
    <w:rsid w:val="00233F3C"/>
    <w:rsid w:val="0023410D"/>
    <w:rsid w:val="0023604C"/>
    <w:rsid w:val="00236541"/>
    <w:rsid w:val="00237C6C"/>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3725"/>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FE4"/>
    <w:rsid w:val="0028679A"/>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41F5"/>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806"/>
    <w:rsid w:val="002D7667"/>
    <w:rsid w:val="002D79A3"/>
    <w:rsid w:val="002D7D6D"/>
    <w:rsid w:val="002E219A"/>
    <w:rsid w:val="002E2566"/>
    <w:rsid w:val="002E3BCB"/>
    <w:rsid w:val="002E415E"/>
    <w:rsid w:val="002E439D"/>
    <w:rsid w:val="002E55A9"/>
    <w:rsid w:val="002E5C91"/>
    <w:rsid w:val="002E5CE1"/>
    <w:rsid w:val="002E65F8"/>
    <w:rsid w:val="002E668B"/>
    <w:rsid w:val="002E6CA9"/>
    <w:rsid w:val="002F04C1"/>
    <w:rsid w:val="002F04DD"/>
    <w:rsid w:val="002F1B0B"/>
    <w:rsid w:val="002F3C0E"/>
    <w:rsid w:val="002F6EBC"/>
    <w:rsid w:val="002F7580"/>
    <w:rsid w:val="002F7668"/>
    <w:rsid w:val="0030085C"/>
    <w:rsid w:val="00301BEB"/>
    <w:rsid w:val="003023BC"/>
    <w:rsid w:val="00303C53"/>
    <w:rsid w:val="00304C3B"/>
    <w:rsid w:val="00305E80"/>
    <w:rsid w:val="00306109"/>
    <w:rsid w:val="003063F6"/>
    <w:rsid w:val="0030708B"/>
    <w:rsid w:val="003071DC"/>
    <w:rsid w:val="00307CD1"/>
    <w:rsid w:val="00310E5A"/>
    <w:rsid w:val="003112C0"/>
    <w:rsid w:val="00312076"/>
    <w:rsid w:val="00312858"/>
    <w:rsid w:val="00312865"/>
    <w:rsid w:val="003129E7"/>
    <w:rsid w:val="00313244"/>
    <w:rsid w:val="00313410"/>
    <w:rsid w:val="0031425E"/>
    <w:rsid w:val="003147FF"/>
    <w:rsid w:val="003148BA"/>
    <w:rsid w:val="00315366"/>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1C4F"/>
    <w:rsid w:val="003728A5"/>
    <w:rsid w:val="00372B29"/>
    <w:rsid w:val="00373F73"/>
    <w:rsid w:val="00374273"/>
    <w:rsid w:val="00375EB8"/>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51FC"/>
    <w:rsid w:val="0039544B"/>
    <w:rsid w:val="00395ED4"/>
    <w:rsid w:val="00396C0C"/>
    <w:rsid w:val="003A1B5C"/>
    <w:rsid w:val="003A1F82"/>
    <w:rsid w:val="003A20C0"/>
    <w:rsid w:val="003A2E5F"/>
    <w:rsid w:val="003A313C"/>
    <w:rsid w:val="003A45B9"/>
    <w:rsid w:val="003A6D77"/>
    <w:rsid w:val="003B0237"/>
    <w:rsid w:val="003B059E"/>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1918"/>
    <w:rsid w:val="003D1AF3"/>
    <w:rsid w:val="003D29B9"/>
    <w:rsid w:val="003D2FB1"/>
    <w:rsid w:val="003D446C"/>
    <w:rsid w:val="003D5470"/>
    <w:rsid w:val="003D55B1"/>
    <w:rsid w:val="003D5780"/>
    <w:rsid w:val="003D66D2"/>
    <w:rsid w:val="003D753B"/>
    <w:rsid w:val="003E01E7"/>
    <w:rsid w:val="003E0479"/>
    <w:rsid w:val="003E2977"/>
    <w:rsid w:val="003E2BFB"/>
    <w:rsid w:val="003E3038"/>
    <w:rsid w:val="003E305D"/>
    <w:rsid w:val="003E3BE0"/>
    <w:rsid w:val="003E4110"/>
    <w:rsid w:val="003E4C31"/>
    <w:rsid w:val="003E5317"/>
    <w:rsid w:val="003E6B4D"/>
    <w:rsid w:val="003E6D92"/>
    <w:rsid w:val="003E7AAF"/>
    <w:rsid w:val="003E7AF9"/>
    <w:rsid w:val="003E7D16"/>
    <w:rsid w:val="003F0138"/>
    <w:rsid w:val="003F20C7"/>
    <w:rsid w:val="003F27C5"/>
    <w:rsid w:val="003F2908"/>
    <w:rsid w:val="003F33C9"/>
    <w:rsid w:val="003F595B"/>
    <w:rsid w:val="003F5F4B"/>
    <w:rsid w:val="003F5F61"/>
    <w:rsid w:val="0040052D"/>
    <w:rsid w:val="004009B7"/>
    <w:rsid w:val="004011F7"/>
    <w:rsid w:val="00401C47"/>
    <w:rsid w:val="00402F09"/>
    <w:rsid w:val="00403D69"/>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B42"/>
    <w:rsid w:val="00422E9A"/>
    <w:rsid w:val="00422F82"/>
    <w:rsid w:val="00423220"/>
    <w:rsid w:val="004240FA"/>
    <w:rsid w:val="004251B6"/>
    <w:rsid w:val="004253DE"/>
    <w:rsid w:val="00426F9E"/>
    <w:rsid w:val="0042729C"/>
    <w:rsid w:val="00427719"/>
    <w:rsid w:val="00430B8A"/>
    <w:rsid w:val="004334FC"/>
    <w:rsid w:val="004345FE"/>
    <w:rsid w:val="00435381"/>
    <w:rsid w:val="004354DB"/>
    <w:rsid w:val="004357A0"/>
    <w:rsid w:val="0043581C"/>
    <w:rsid w:val="00437172"/>
    <w:rsid w:val="004371DF"/>
    <w:rsid w:val="00437239"/>
    <w:rsid w:val="00437941"/>
    <w:rsid w:val="00437DEE"/>
    <w:rsid w:val="00441B72"/>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6E69"/>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5C71"/>
    <w:rsid w:val="004D70C9"/>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7D9"/>
    <w:rsid w:val="00510B8A"/>
    <w:rsid w:val="00510DA0"/>
    <w:rsid w:val="00511E51"/>
    <w:rsid w:val="00512DA3"/>
    <w:rsid w:val="005137C3"/>
    <w:rsid w:val="005138C1"/>
    <w:rsid w:val="0051468A"/>
    <w:rsid w:val="00514690"/>
    <w:rsid w:val="005149FC"/>
    <w:rsid w:val="00515CE6"/>
    <w:rsid w:val="00515E01"/>
    <w:rsid w:val="00516152"/>
    <w:rsid w:val="00517428"/>
    <w:rsid w:val="005175F2"/>
    <w:rsid w:val="005202A9"/>
    <w:rsid w:val="00521E2E"/>
    <w:rsid w:val="00522A69"/>
    <w:rsid w:val="005235EF"/>
    <w:rsid w:val="00524785"/>
    <w:rsid w:val="00525679"/>
    <w:rsid w:val="005258A2"/>
    <w:rsid w:val="0052601A"/>
    <w:rsid w:val="005261EC"/>
    <w:rsid w:val="0052635F"/>
    <w:rsid w:val="00527A64"/>
    <w:rsid w:val="00527E30"/>
    <w:rsid w:val="005305E3"/>
    <w:rsid w:val="00530A6A"/>
    <w:rsid w:val="00531627"/>
    <w:rsid w:val="00531AA6"/>
    <w:rsid w:val="00531DFB"/>
    <w:rsid w:val="00531F51"/>
    <w:rsid w:val="00532E6D"/>
    <w:rsid w:val="00533616"/>
    <w:rsid w:val="005338AB"/>
    <w:rsid w:val="005346B3"/>
    <w:rsid w:val="005346DC"/>
    <w:rsid w:val="00535A8E"/>
    <w:rsid w:val="00535AAE"/>
    <w:rsid w:val="0053623A"/>
    <w:rsid w:val="005368A7"/>
    <w:rsid w:val="0053708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56F75"/>
    <w:rsid w:val="005573A1"/>
    <w:rsid w:val="0056029B"/>
    <w:rsid w:val="00560832"/>
    <w:rsid w:val="00560AA3"/>
    <w:rsid w:val="00560C1C"/>
    <w:rsid w:val="00560D39"/>
    <w:rsid w:val="00561ACF"/>
    <w:rsid w:val="00561E1D"/>
    <w:rsid w:val="0056261B"/>
    <w:rsid w:val="00563162"/>
    <w:rsid w:val="00563254"/>
    <w:rsid w:val="00563658"/>
    <w:rsid w:val="00563FCE"/>
    <w:rsid w:val="00564C0E"/>
    <w:rsid w:val="005656DA"/>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A001D"/>
    <w:rsid w:val="005A045F"/>
    <w:rsid w:val="005A1495"/>
    <w:rsid w:val="005A1D05"/>
    <w:rsid w:val="005A1FF4"/>
    <w:rsid w:val="005A2156"/>
    <w:rsid w:val="005A2852"/>
    <w:rsid w:val="005A2DFA"/>
    <w:rsid w:val="005A2F27"/>
    <w:rsid w:val="005A3621"/>
    <w:rsid w:val="005A3946"/>
    <w:rsid w:val="005A5245"/>
    <w:rsid w:val="005A55C4"/>
    <w:rsid w:val="005A59B0"/>
    <w:rsid w:val="005A747B"/>
    <w:rsid w:val="005A78CF"/>
    <w:rsid w:val="005A7960"/>
    <w:rsid w:val="005A7A8B"/>
    <w:rsid w:val="005B01EC"/>
    <w:rsid w:val="005B0412"/>
    <w:rsid w:val="005B1205"/>
    <w:rsid w:val="005B1513"/>
    <w:rsid w:val="005B238D"/>
    <w:rsid w:val="005B3CEE"/>
    <w:rsid w:val="005B4222"/>
    <w:rsid w:val="005B46E3"/>
    <w:rsid w:val="005B507B"/>
    <w:rsid w:val="005B548E"/>
    <w:rsid w:val="005B58E2"/>
    <w:rsid w:val="005B5CAA"/>
    <w:rsid w:val="005B5D15"/>
    <w:rsid w:val="005B691B"/>
    <w:rsid w:val="005B6F80"/>
    <w:rsid w:val="005B75B2"/>
    <w:rsid w:val="005B7811"/>
    <w:rsid w:val="005B79EC"/>
    <w:rsid w:val="005C020D"/>
    <w:rsid w:val="005C0273"/>
    <w:rsid w:val="005C1200"/>
    <w:rsid w:val="005C12AF"/>
    <w:rsid w:val="005C166A"/>
    <w:rsid w:val="005C3AB7"/>
    <w:rsid w:val="005C3ADE"/>
    <w:rsid w:val="005C4D16"/>
    <w:rsid w:val="005C4D91"/>
    <w:rsid w:val="005C561F"/>
    <w:rsid w:val="005C5900"/>
    <w:rsid w:val="005C5D1E"/>
    <w:rsid w:val="005C6164"/>
    <w:rsid w:val="005D03FC"/>
    <w:rsid w:val="005D12D3"/>
    <w:rsid w:val="005D194F"/>
    <w:rsid w:val="005D217A"/>
    <w:rsid w:val="005D2457"/>
    <w:rsid w:val="005D2A5A"/>
    <w:rsid w:val="005D30F6"/>
    <w:rsid w:val="005D4E64"/>
    <w:rsid w:val="005D6D75"/>
    <w:rsid w:val="005D723A"/>
    <w:rsid w:val="005D7B3E"/>
    <w:rsid w:val="005E0B75"/>
    <w:rsid w:val="005E1A49"/>
    <w:rsid w:val="005E3E4B"/>
    <w:rsid w:val="005E45EB"/>
    <w:rsid w:val="005E509D"/>
    <w:rsid w:val="005E5153"/>
    <w:rsid w:val="005E61B4"/>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4D64"/>
    <w:rsid w:val="00605440"/>
    <w:rsid w:val="006062D0"/>
    <w:rsid w:val="006104A0"/>
    <w:rsid w:val="006105C9"/>
    <w:rsid w:val="00610CF1"/>
    <w:rsid w:val="00611F5D"/>
    <w:rsid w:val="006129EF"/>
    <w:rsid w:val="006133BB"/>
    <w:rsid w:val="006133DE"/>
    <w:rsid w:val="00613E87"/>
    <w:rsid w:val="00614734"/>
    <w:rsid w:val="0061501D"/>
    <w:rsid w:val="00615CD2"/>
    <w:rsid w:val="0061671A"/>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2687"/>
    <w:rsid w:val="0063274A"/>
    <w:rsid w:val="006342CA"/>
    <w:rsid w:val="006344DD"/>
    <w:rsid w:val="00634E98"/>
    <w:rsid w:val="00635EB8"/>
    <w:rsid w:val="00636C60"/>
    <w:rsid w:val="0063743D"/>
    <w:rsid w:val="00641C5F"/>
    <w:rsid w:val="006425DB"/>
    <w:rsid w:val="00643C7C"/>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4E3"/>
    <w:rsid w:val="00665B88"/>
    <w:rsid w:val="00665FEA"/>
    <w:rsid w:val="00666395"/>
    <w:rsid w:val="006667F8"/>
    <w:rsid w:val="00666986"/>
    <w:rsid w:val="00666C43"/>
    <w:rsid w:val="00666EBB"/>
    <w:rsid w:val="00667261"/>
    <w:rsid w:val="00667611"/>
    <w:rsid w:val="006700DF"/>
    <w:rsid w:val="006732E7"/>
    <w:rsid w:val="0067348E"/>
    <w:rsid w:val="00675016"/>
    <w:rsid w:val="006750D2"/>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0BC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7C1"/>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4ECD"/>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0814"/>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09A"/>
    <w:rsid w:val="007C76AD"/>
    <w:rsid w:val="007D01E1"/>
    <w:rsid w:val="007D4279"/>
    <w:rsid w:val="007D6AC0"/>
    <w:rsid w:val="007D7B8E"/>
    <w:rsid w:val="007D7C2A"/>
    <w:rsid w:val="007E054C"/>
    <w:rsid w:val="007E12D0"/>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5533"/>
    <w:rsid w:val="00807A5D"/>
    <w:rsid w:val="00807B7D"/>
    <w:rsid w:val="00807D7C"/>
    <w:rsid w:val="00811542"/>
    <w:rsid w:val="00811D94"/>
    <w:rsid w:val="008123DC"/>
    <w:rsid w:val="00813543"/>
    <w:rsid w:val="00813F3E"/>
    <w:rsid w:val="00813FA9"/>
    <w:rsid w:val="00814004"/>
    <w:rsid w:val="0081524F"/>
    <w:rsid w:val="00815E44"/>
    <w:rsid w:val="0081690B"/>
    <w:rsid w:val="008175B3"/>
    <w:rsid w:val="00817C9C"/>
    <w:rsid w:val="008201BF"/>
    <w:rsid w:val="00820F6F"/>
    <w:rsid w:val="0082104B"/>
    <w:rsid w:val="0082233E"/>
    <w:rsid w:val="00822BAC"/>
    <w:rsid w:val="00822D51"/>
    <w:rsid w:val="00822F73"/>
    <w:rsid w:val="008235CA"/>
    <w:rsid w:val="00823E27"/>
    <w:rsid w:val="00825AF1"/>
    <w:rsid w:val="00825BFA"/>
    <w:rsid w:val="00825C60"/>
    <w:rsid w:val="00826299"/>
    <w:rsid w:val="00826BF5"/>
    <w:rsid w:val="00827413"/>
    <w:rsid w:val="00830EBF"/>
    <w:rsid w:val="00832082"/>
    <w:rsid w:val="00832A40"/>
    <w:rsid w:val="0083321A"/>
    <w:rsid w:val="00835B15"/>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4E05"/>
    <w:rsid w:val="008761C6"/>
    <w:rsid w:val="008775D5"/>
    <w:rsid w:val="00877F6B"/>
    <w:rsid w:val="00880F23"/>
    <w:rsid w:val="00880FB0"/>
    <w:rsid w:val="0088121F"/>
    <w:rsid w:val="00881A85"/>
    <w:rsid w:val="00882166"/>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4FBC"/>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402"/>
    <w:rsid w:val="008E5682"/>
    <w:rsid w:val="008E570A"/>
    <w:rsid w:val="008E5813"/>
    <w:rsid w:val="008E59DD"/>
    <w:rsid w:val="008E63A6"/>
    <w:rsid w:val="008E6900"/>
    <w:rsid w:val="008E6ADB"/>
    <w:rsid w:val="008E6E0D"/>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392"/>
    <w:rsid w:val="00911F34"/>
    <w:rsid w:val="00913162"/>
    <w:rsid w:val="00913804"/>
    <w:rsid w:val="0091572C"/>
    <w:rsid w:val="00915E5E"/>
    <w:rsid w:val="009167F4"/>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86"/>
    <w:rsid w:val="009362F1"/>
    <w:rsid w:val="00936513"/>
    <w:rsid w:val="009365CE"/>
    <w:rsid w:val="0093771B"/>
    <w:rsid w:val="00940773"/>
    <w:rsid w:val="00940A88"/>
    <w:rsid w:val="00941396"/>
    <w:rsid w:val="0094398E"/>
    <w:rsid w:val="00943B26"/>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16"/>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0F03"/>
    <w:rsid w:val="009C1622"/>
    <w:rsid w:val="009C270B"/>
    <w:rsid w:val="009C2DBF"/>
    <w:rsid w:val="009C38F6"/>
    <w:rsid w:val="009C3B14"/>
    <w:rsid w:val="009C42DE"/>
    <w:rsid w:val="009C44BA"/>
    <w:rsid w:val="009C4E91"/>
    <w:rsid w:val="009C510E"/>
    <w:rsid w:val="009C6A60"/>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A2D"/>
    <w:rsid w:val="00A05EF9"/>
    <w:rsid w:val="00A05F28"/>
    <w:rsid w:val="00A0637F"/>
    <w:rsid w:val="00A075AB"/>
    <w:rsid w:val="00A07BD8"/>
    <w:rsid w:val="00A104D8"/>
    <w:rsid w:val="00A11734"/>
    <w:rsid w:val="00A11CC8"/>
    <w:rsid w:val="00A11E84"/>
    <w:rsid w:val="00A1249E"/>
    <w:rsid w:val="00A12905"/>
    <w:rsid w:val="00A138CE"/>
    <w:rsid w:val="00A139C7"/>
    <w:rsid w:val="00A16105"/>
    <w:rsid w:val="00A16F93"/>
    <w:rsid w:val="00A177C1"/>
    <w:rsid w:val="00A204BF"/>
    <w:rsid w:val="00A2050F"/>
    <w:rsid w:val="00A20513"/>
    <w:rsid w:val="00A20D53"/>
    <w:rsid w:val="00A214F5"/>
    <w:rsid w:val="00A21925"/>
    <w:rsid w:val="00A21EF9"/>
    <w:rsid w:val="00A22A4C"/>
    <w:rsid w:val="00A22A83"/>
    <w:rsid w:val="00A22B62"/>
    <w:rsid w:val="00A23136"/>
    <w:rsid w:val="00A23360"/>
    <w:rsid w:val="00A23616"/>
    <w:rsid w:val="00A23DA6"/>
    <w:rsid w:val="00A24346"/>
    <w:rsid w:val="00A24DF6"/>
    <w:rsid w:val="00A25C90"/>
    <w:rsid w:val="00A267CF"/>
    <w:rsid w:val="00A26876"/>
    <w:rsid w:val="00A26DA7"/>
    <w:rsid w:val="00A2789C"/>
    <w:rsid w:val="00A27C64"/>
    <w:rsid w:val="00A27CB3"/>
    <w:rsid w:val="00A30061"/>
    <w:rsid w:val="00A30906"/>
    <w:rsid w:val="00A30CA8"/>
    <w:rsid w:val="00A322B4"/>
    <w:rsid w:val="00A32582"/>
    <w:rsid w:val="00A32635"/>
    <w:rsid w:val="00A32F4B"/>
    <w:rsid w:val="00A33D72"/>
    <w:rsid w:val="00A35DC3"/>
    <w:rsid w:val="00A361C4"/>
    <w:rsid w:val="00A36480"/>
    <w:rsid w:val="00A36E03"/>
    <w:rsid w:val="00A375E2"/>
    <w:rsid w:val="00A418D9"/>
    <w:rsid w:val="00A41B89"/>
    <w:rsid w:val="00A41FAC"/>
    <w:rsid w:val="00A436EB"/>
    <w:rsid w:val="00A43A8B"/>
    <w:rsid w:val="00A4422E"/>
    <w:rsid w:val="00A442B0"/>
    <w:rsid w:val="00A44929"/>
    <w:rsid w:val="00A44960"/>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217B"/>
    <w:rsid w:val="00AA33A6"/>
    <w:rsid w:val="00AA49D8"/>
    <w:rsid w:val="00AA4F8A"/>
    <w:rsid w:val="00AA5269"/>
    <w:rsid w:val="00AA68A9"/>
    <w:rsid w:val="00AB0448"/>
    <w:rsid w:val="00AB0FF4"/>
    <w:rsid w:val="00AB1E74"/>
    <w:rsid w:val="00AB2209"/>
    <w:rsid w:val="00AB260A"/>
    <w:rsid w:val="00AB2B62"/>
    <w:rsid w:val="00AB2F74"/>
    <w:rsid w:val="00AB470E"/>
    <w:rsid w:val="00AB48C0"/>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3047"/>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363"/>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7A96"/>
    <w:rsid w:val="00B37DAB"/>
    <w:rsid w:val="00B401FB"/>
    <w:rsid w:val="00B404B1"/>
    <w:rsid w:val="00B4127E"/>
    <w:rsid w:val="00B41622"/>
    <w:rsid w:val="00B4243C"/>
    <w:rsid w:val="00B42993"/>
    <w:rsid w:val="00B4301E"/>
    <w:rsid w:val="00B440E8"/>
    <w:rsid w:val="00B443FD"/>
    <w:rsid w:val="00B4522F"/>
    <w:rsid w:val="00B459D7"/>
    <w:rsid w:val="00B45E66"/>
    <w:rsid w:val="00B472D2"/>
    <w:rsid w:val="00B4756A"/>
    <w:rsid w:val="00B51073"/>
    <w:rsid w:val="00B52001"/>
    <w:rsid w:val="00B52411"/>
    <w:rsid w:val="00B5336E"/>
    <w:rsid w:val="00B55248"/>
    <w:rsid w:val="00B55609"/>
    <w:rsid w:val="00B55F7B"/>
    <w:rsid w:val="00B56561"/>
    <w:rsid w:val="00B601B9"/>
    <w:rsid w:val="00B60C5E"/>
    <w:rsid w:val="00B617A0"/>
    <w:rsid w:val="00B622E1"/>
    <w:rsid w:val="00B6321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5EA1"/>
    <w:rsid w:val="00B76023"/>
    <w:rsid w:val="00B7643C"/>
    <w:rsid w:val="00B7697D"/>
    <w:rsid w:val="00B76E9B"/>
    <w:rsid w:val="00B7768E"/>
    <w:rsid w:val="00B800AF"/>
    <w:rsid w:val="00B80E6E"/>
    <w:rsid w:val="00B81D25"/>
    <w:rsid w:val="00B82E47"/>
    <w:rsid w:val="00B83C30"/>
    <w:rsid w:val="00B842E4"/>
    <w:rsid w:val="00B8469F"/>
    <w:rsid w:val="00B8484F"/>
    <w:rsid w:val="00B864A8"/>
    <w:rsid w:val="00B868A7"/>
    <w:rsid w:val="00B86FF0"/>
    <w:rsid w:val="00B878ED"/>
    <w:rsid w:val="00B905FB"/>
    <w:rsid w:val="00B90EAD"/>
    <w:rsid w:val="00B914A7"/>
    <w:rsid w:val="00B92362"/>
    <w:rsid w:val="00B923A2"/>
    <w:rsid w:val="00B92BF4"/>
    <w:rsid w:val="00B939FB"/>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A6293"/>
    <w:rsid w:val="00BB0D4F"/>
    <w:rsid w:val="00BB0ED5"/>
    <w:rsid w:val="00BB0F63"/>
    <w:rsid w:val="00BB1B1C"/>
    <w:rsid w:val="00BB2459"/>
    <w:rsid w:val="00BB2FAD"/>
    <w:rsid w:val="00BB366F"/>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411B"/>
    <w:rsid w:val="00BC5542"/>
    <w:rsid w:val="00BC5D7F"/>
    <w:rsid w:val="00BC5F07"/>
    <w:rsid w:val="00BC6776"/>
    <w:rsid w:val="00BC7F43"/>
    <w:rsid w:val="00BD43ED"/>
    <w:rsid w:val="00BD4783"/>
    <w:rsid w:val="00BD60A6"/>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10CB"/>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823"/>
    <w:rsid w:val="00C22494"/>
    <w:rsid w:val="00C230E7"/>
    <w:rsid w:val="00C2370C"/>
    <w:rsid w:val="00C24EC6"/>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32E9"/>
    <w:rsid w:val="00C45C02"/>
    <w:rsid w:val="00C4618C"/>
    <w:rsid w:val="00C46A9B"/>
    <w:rsid w:val="00C47EE3"/>
    <w:rsid w:val="00C5032B"/>
    <w:rsid w:val="00C51A4A"/>
    <w:rsid w:val="00C52D99"/>
    <w:rsid w:val="00C52EC9"/>
    <w:rsid w:val="00C54452"/>
    <w:rsid w:val="00C545BF"/>
    <w:rsid w:val="00C54B67"/>
    <w:rsid w:val="00C54E81"/>
    <w:rsid w:val="00C563CD"/>
    <w:rsid w:val="00C565B1"/>
    <w:rsid w:val="00C56886"/>
    <w:rsid w:val="00C575D3"/>
    <w:rsid w:val="00C612B3"/>
    <w:rsid w:val="00C6171B"/>
    <w:rsid w:val="00C63443"/>
    <w:rsid w:val="00C63957"/>
    <w:rsid w:val="00C63CE2"/>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81C3A"/>
    <w:rsid w:val="00C81E29"/>
    <w:rsid w:val="00C82A9F"/>
    <w:rsid w:val="00C83A2A"/>
    <w:rsid w:val="00C8442A"/>
    <w:rsid w:val="00C84835"/>
    <w:rsid w:val="00C84DB1"/>
    <w:rsid w:val="00C86628"/>
    <w:rsid w:val="00C8775D"/>
    <w:rsid w:val="00C87C58"/>
    <w:rsid w:val="00C90A24"/>
    <w:rsid w:val="00C90A82"/>
    <w:rsid w:val="00C93773"/>
    <w:rsid w:val="00C94057"/>
    <w:rsid w:val="00C9439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7A"/>
    <w:rsid w:val="00CA28C4"/>
    <w:rsid w:val="00CA37C1"/>
    <w:rsid w:val="00CA49F9"/>
    <w:rsid w:val="00CA56AF"/>
    <w:rsid w:val="00CA577D"/>
    <w:rsid w:val="00CA637B"/>
    <w:rsid w:val="00CA6B9F"/>
    <w:rsid w:val="00CA7372"/>
    <w:rsid w:val="00CA7503"/>
    <w:rsid w:val="00CA7986"/>
    <w:rsid w:val="00CA7A69"/>
    <w:rsid w:val="00CA7D32"/>
    <w:rsid w:val="00CB073A"/>
    <w:rsid w:val="00CB1060"/>
    <w:rsid w:val="00CB1364"/>
    <w:rsid w:val="00CB218A"/>
    <w:rsid w:val="00CB3455"/>
    <w:rsid w:val="00CB3C61"/>
    <w:rsid w:val="00CB4AC9"/>
    <w:rsid w:val="00CB4F76"/>
    <w:rsid w:val="00CB6058"/>
    <w:rsid w:val="00CB6A98"/>
    <w:rsid w:val="00CB6E29"/>
    <w:rsid w:val="00CB74E9"/>
    <w:rsid w:val="00CC04E4"/>
    <w:rsid w:val="00CC055C"/>
    <w:rsid w:val="00CC0A56"/>
    <w:rsid w:val="00CC0E80"/>
    <w:rsid w:val="00CC0FAC"/>
    <w:rsid w:val="00CC12A5"/>
    <w:rsid w:val="00CC1DEF"/>
    <w:rsid w:val="00CC2CC6"/>
    <w:rsid w:val="00CC44C7"/>
    <w:rsid w:val="00CC46F3"/>
    <w:rsid w:val="00CC4F7F"/>
    <w:rsid w:val="00CC68A1"/>
    <w:rsid w:val="00CC73CA"/>
    <w:rsid w:val="00CD0141"/>
    <w:rsid w:val="00CD1083"/>
    <w:rsid w:val="00CD284F"/>
    <w:rsid w:val="00CD2B2E"/>
    <w:rsid w:val="00CD2F56"/>
    <w:rsid w:val="00CD3CE4"/>
    <w:rsid w:val="00CD479E"/>
    <w:rsid w:val="00CD4D3F"/>
    <w:rsid w:val="00CD4E47"/>
    <w:rsid w:val="00CD5D53"/>
    <w:rsid w:val="00CD6267"/>
    <w:rsid w:val="00CD6E00"/>
    <w:rsid w:val="00CD7745"/>
    <w:rsid w:val="00CE0708"/>
    <w:rsid w:val="00CE087C"/>
    <w:rsid w:val="00CE0EB8"/>
    <w:rsid w:val="00CE3BDF"/>
    <w:rsid w:val="00CE3E2B"/>
    <w:rsid w:val="00CE56DB"/>
    <w:rsid w:val="00CE5FB2"/>
    <w:rsid w:val="00CE7EFD"/>
    <w:rsid w:val="00CF0147"/>
    <w:rsid w:val="00CF02FF"/>
    <w:rsid w:val="00CF12F6"/>
    <w:rsid w:val="00CF1E74"/>
    <w:rsid w:val="00CF1F35"/>
    <w:rsid w:val="00CF4455"/>
    <w:rsid w:val="00CF44DF"/>
    <w:rsid w:val="00CF5826"/>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EF5"/>
    <w:rsid w:val="00D23828"/>
    <w:rsid w:val="00D24B76"/>
    <w:rsid w:val="00D253D6"/>
    <w:rsid w:val="00D26027"/>
    <w:rsid w:val="00D261FD"/>
    <w:rsid w:val="00D26219"/>
    <w:rsid w:val="00D26CC1"/>
    <w:rsid w:val="00D27085"/>
    <w:rsid w:val="00D27373"/>
    <w:rsid w:val="00D311F7"/>
    <w:rsid w:val="00D31338"/>
    <w:rsid w:val="00D31967"/>
    <w:rsid w:val="00D325D0"/>
    <w:rsid w:val="00D33296"/>
    <w:rsid w:val="00D35CEB"/>
    <w:rsid w:val="00D36DF4"/>
    <w:rsid w:val="00D409B9"/>
    <w:rsid w:val="00D41145"/>
    <w:rsid w:val="00D417CD"/>
    <w:rsid w:val="00D42A2E"/>
    <w:rsid w:val="00D42A59"/>
    <w:rsid w:val="00D4460C"/>
    <w:rsid w:val="00D45090"/>
    <w:rsid w:val="00D4570A"/>
    <w:rsid w:val="00D470DE"/>
    <w:rsid w:val="00D477C5"/>
    <w:rsid w:val="00D5094C"/>
    <w:rsid w:val="00D50B37"/>
    <w:rsid w:val="00D5119C"/>
    <w:rsid w:val="00D53190"/>
    <w:rsid w:val="00D53259"/>
    <w:rsid w:val="00D5412C"/>
    <w:rsid w:val="00D54FC3"/>
    <w:rsid w:val="00D55274"/>
    <w:rsid w:val="00D55A77"/>
    <w:rsid w:val="00D60066"/>
    <w:rsid w:val="00D61D12"/>
    <w:rsid w:val="00D62698"/>
    <w:rsid w:val="00D627B6"/>
    <w:rsid w:val="00D633CD"/>
    <w:rsid w:val="00D64177"/>
    <w:rsid w:val="00D6520D"/>
    <w:rsid w:val="00D65457"/>
    <w:rsid w:val="00D65B82"/>
    <w:rsid w:val="00D6698E"/>
    <w:rsid w:val="00D67437"/>
    <w:rsid w:val="00D71A36"/>
    <w:rsid w:val="00D71F56"/>
    <w:rsid w:val="00D723BD"/>
    <w:rsid w:val="00D737D5"/>
    <w:rsid w:val="00D7579F"/>
    <w:rsid w:val="00D75BF8"/>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7B8"/>
    <w:rsid w:val="00D857F7"/>
    <w:rsid w:val="00D86ECC"/>
    <w:rsid w:val="00D87A6F"/>
    <w:rsid w:val="00D90F28"/>
    <w:rsid w:val="00D915F2"/>
    <w:rsid w:val="00D91ECA"/>
    <w:rsid w:val="00D9456E"/>
    <w:rsid w:val="00D94B15"/>
    <w:rsid w:val="00D95D4B"/>
    <w:rsid w:val="00D97D65"/>
    <w:rsid w:val="00DA1BA5"/>
    <w:rsid w:val="00DA50A3"/>
    <w:rsid w:val="00DA6F62"/>
    <w:rsid w:val="00DA6F9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5065"/>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A2E"/>
    <w:rsid w:val="00DE3D5E"/>
    <w:rsid w:val="00DE4939"/>
    <w:rsid w:val="00DE5B3C"/>
    <w:rsid w:val="00DE5ECA"/>
    <w:rsid w:val="00DE6955"/>
    <w:rsid w:val="00DE6B65"/>
    <w:rsid w:val="00DE6F59"/>
    <w:rsid w:val="00DF0209"/>
    <w:rsid w:val="00DF0F1F"/>
    <w:rsid w:val="00DF19CB"/>
    <w:rsid w:val="00DF1AA3"/>
    <w:rsid w:val="00DF1EC8"/>
    <w:rsid w:val="00DF2F17"/>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13"/>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4DE3"/>
    <w:rsid w:val="00E550DC"/>
    <w:rsid w:val="00E55124"/>
    <w:rsid w:val="00E55425"/>
    <w:rsid w:val="00E55D48"/>
    <w:rsid w:val="00E60BDA"/>
    <w:rsid w:val="00E6112F"/>
    <w:rsid w:val="00E620CA"/>
    <w:rsid w:val="00E629F4"/>
    <w:rsid w:val="00E651F8"/>
    <w:rsid w:val="00E66F72"/>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5091"/>
    <w:rsid w:val="00E865F8"/>
    <w:rsid w:val="00E87CD3"/>
    <w:rsid w:val="00E9334F"/>
    <w:rsid w:val="00E944CA"/>
    <w:rsid w:val="00E94C29"/>
    <w:rsid w:val="00E94D27"/>
    <w:rsid w:val="00E96C14"/>
    <w:rsid w:val="00E9708F"/>
    <w:rsid w:val="00E97282"/>
    <w:rsid w:val="00E97A68"/>
    <w:rsid w:val="00EA0BEA"/>
    <w:rsid w:val="00EA1F60"/>
    <w:rsid w:val="00EA250D"/>
    <w:rsid w:val="00EA2BFE"/>
    <w:rsid w:val="00EA2C1C"/>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1C47"/>
    <w:rsid w:val="00EE275F"/>
    <w:rsid w:val="00EE2C1D"/>
    <w:rsid w:val="00EE2C99"/>
    <w:rsid w:val="00EE2D77"/>
    <w:rsid w:val="00EE36F5"/>
    <w:rsid w:val="00EE3893"/>
    <w:rsid w:val="00EE41D5"/>
    <w:rsid w:val="00EE49FD"/>
    <w:rsid w:val="00EE4E96"/>
    <w:rsid w:val="00EE587C"/>
    <w:rsid w:val="00EE5BDB"/>
    <w:rsid w:val="00EE61F0"/>
    <w:rsid w:val="00EE6370"/>
    <w:rsid w:val="00EE6D6C"/>
    <w:rsid w:val="00EE6EB7"/>
    <w:rsid w:val="00EE7405"/>
    <w:rsid w:val="00EE781F"/>
    <w:rsid w:val="00EE7B71"/>
    <w:rsid w:val="00EF17D5"/>
    <w:rsid w:val="00EF1B3E"/>
    <w:rsid w:val="00EF2474"/>
    <w:rsid w:val="00EF2621"/>
    <w:rsid w:val="00EF346F"/>
    <w:rsid w:val="00EF387A"/>
    <w:rsid w:val="00EF3C7B"/>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75F"/>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6B75"/>
    <w:rsid w:val="00F5752A"/>
    <w:rsid w:val="00F57694"/>
    <w:rsid w:val="00F577A5"/>
    <w:rsid w:val="00F6047F"/>
    <w:rsid w:val="00F60C36"/>
    <w:rsid w:val="00F6160B"/>
    <w:rsid w:val="00F6294D"/>
    <w:rsid w:val="00F62AA1"/>
    <w:rsid w:val="00F634AA"/>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14D"/>
    <w:rsid w:val="00F8647A"/>
    <w:rsid w:val="00F87713"/>
    <w:rsid w:val="00F87CF7"/>
    <w:rsid w:val="00F9099C"/>
    <w:rsid w:val="00F91DAE"/>
    <w:rsid w:val="00F92547"/>
    <w:rsid w:val="00F9435D"/>
    <w:rsid w:val="00F94BF1"/>
    <w:rsid w:val="00F94D31"/>
    <w:rsid w:val="00F95369"/>
    <w:rsid w:val="00F9593C"/>
    <w:rsid w:val="00F95FC6"/>
    <w:rsid w:val="00F96677"/>
    <w:rsid w:val="00F96813"/>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B8E"/>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297375"/>
  <w15:docId w15:val="{88602063-1A38-4FD5-8581-451F4D637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uiPriority w:val="99"/>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C563CD"/>
    <w:rPr>
      <w:color w:val="605E5C"/>
      <w:shd w:val="clear" w:color="auto" w:fill="E1DFDD"/>
    </w:rPr>
  </w:style>
  <w:style w:type="character" w:customStyle="1" w:styleId="TitleChar">
    <w:name w:val="Title Char"/>
    <w:basedOn w:val="DefaultParagraphFont"/>
    <w:link w:val="Title"/>
    <w:rsid w:val="00B25363"/>
    <w:rPr>
      <w:rFonts w:ascii="Verdana" w:hAnsi="Verdana" w:cs="Arial"/>
      <w:b/>
      <w:bCs/>
      <w:kern w:val="28"/>
      <w:sz w:val="32"/>
      <w:szCs w:val="32"/>
    </w:rPr>
  </w:style>
  <w:style w:type="character" w:customStyle="1" w:styleId="SubtitleChar">
    <w:name w:val="Subtitle Char"/>
    <w:basedOn w:val="DefaultParagraphFont"/>
    <w:link w:val="Subtitle"/>
    <w:rsid w:val="00B25363"/>
    <w:rPr>
      <w:rFonts w:ascii="Verdana" w:hAnsi="Verdana" w:cs="Arial"/>
      <w:sz w:val="24"/>
      <w:szCs w:val="24"/>
    </w:rPr>
  </w:style>
  <w:style w:type="character" w:customStyle="1" w:styleId="FootnoteTextChar1">
    <w:name w:val="Footnote Text Char1"/>
    <w:basedOn w:val="DefaultParagraphFont"/>
    <w:semiHidden/>
    <w:rsid w:val="00B25363"/>
    <w:rPr>
      <w:rFonts w:ascii="Verdana" w:hAnsi="Verdana"/>
    </w:rPr>
  </w:style>
  <w:style w:type="character" w:customStyle="1" w:styleId="FootnoteTextChar2">
    <w:name w:val="Footnote Text Char2"/>
    <w:basedOn w:val="DefaultParagraphFont"/>
    <w:semiHidden/>
    <w:rsid w:val="00B25363"/>
    <w:rPr>
      <w:rFonts w:ascii="Verdana" w:hAnsi="Verdana"/>
    </w:rPr>
  </w:style>
  <w:style w:type="character" w:customStyle="1" w:styleId="Heading1Char1">
    <w:name w:val="Heading 1 Char1"/>
    <w:basedOn w:val="DefaultParagraphFont"/>
    <w:rsid w:val="00B25363"/>
    <w:rPr>
      <w:rFonts w:ascii="Arial" w:hAnsi="Arial" w:cs="Arial"/>
      <w:b/>
      <w:bCs/>
      <w:color w:val="000080"/>
      <w:kern w:val="32"/>
      <w:sz w:val="40"/>
      <w:szCs w:val="40"/>
    </w:rPr>
  </w:style>
  <w:style w:type="character" w:customStyle="1" w:styleId="Heading2Char1">
    <w:name w:val="Heading 2 Char1"/>
    <w:basedOn w:val="DefaultParagraphFont"/>
    <w:rsid w:val="00B25363"/>
    <w:rPr>
      <w:rFonts w:ascii="Arial" w:hAnsi="Arial" w:cs="Arial"/>
      <w:b/>
      <w:bCs/>
      <w:i/>
      <w:iCs/>
      <w:sz w:val="28"/>
      <w:szCs w:val="28"/>
    </w:rPr>
  </w:style>
  <w:style w:type="character" w:customStyle="1" w:styleId="Heading3Char1">
    <w:name w:val="Heading 3 Char1"/>
    <w:basedOn w:val="DefaultParagraphFont"/>
    <w:rsid w:val="00B25363"/>
    <w:rPr>
      <w:rFonts w:ascii="Arial" w:hAnsi="Arial" w:cs="Arial"/>
      <w:b/>
      <w:bCs/>
      <w:i/>
      <w:szCs w:val="26"/>
      <w:lang w:val="en-GB"/>
    </w:rPr>
  </w:style>
  <w:style w:type="character" w:customStyle="1" w:styleId="Heading4Char">
    <w:name w:val="Heading 4 Char"/>
    <w:basedOn w:val="DefaultParagraphFont"/>
    <w:link w:val="Heading4"/>
    <w:rsid w:val="00B25363"/>
    <w:rPr>
      <w:rFonts w:ascii="Arial" w:hAnsi="Arial"/>
      <w:b/>
      <w:bCs/>
      <w:sz w:val="24"/>
      <w:szCs w:val="28"/>
    </w:rPr>
  </w:style>
  <w:style w:type="character" w:customStyle="1" w:styleId="Heading5Char">
    <w:name w:val="Heading 5 Char"/>
    <w:basedOn w:val="DefaultParagraphFont"/>
    <w:link w:val="Heading5"/>
    <w:rsid w:val="00B25363"/>
    <w:rPr>
      <w:rFonts w:ascii="Verdana" w:hAnsi="Verdana"/>
      <w:b/>
      <w:bCs/>
      <w:i/>
      <w:iCs/>
      <w:sz w:val="26"/>
      <w:szCs w:val="26"/>
    </w:rPr>
  </w:style>
  <w:style w:type="character" w:customStyle="1" w:styleId="HeaderChar1">
    <w:name w:val="Header Char1"/>
    <w:basedOn w:val="DefaultParagraphFont"/>
    <w:uiPriority w:val="99"/>
    <w:rsid w:val="00B25363"/>
    <w:rPr>
      <w:rFonts w:ascii="Verdana" w:hAnsi="Verdana"/>
      <w:szCs w:val="24"/>
    </w:rPr>
  </w:style>
  <w:style w:type="character" w:customStyle="1" w:styleId="FooterChar1">
    <w:name w:val="Footer Char1"/>
    <w:basedOn w:val="DefaultParagraphFont"/>
    <w:uiPriority w:val="99"/>
    <w:rsid w:val="00B25363"/>
    <w:rPr>
      <w:rFonts w:ascii="Verdana" w:hAnsi="Verdana"/>
      <w:szCs w:val="24"/>
    </w:rPr>
  </w:style>
  <w:style w:type="character" w:customStyle="1" w:styleId="BalloonTextChar1">
    <w:name w:val="Balloon Text Char1"/>
    <w:basedOn w:val="DefaultParagraphFont"/>
    <w:rsid w:val="00B25363"/>
    <w:rPr>
      <w:rFonts w:ascii="Tahoma" w:hAnsi="Tahoma" w:cs="Tahoma"/>
      <w:sz w:val="16"/>
      <w:szCs w:val="16"/>
    </w:rPr>
  </w:style>
  <w:style w:type="character" w:customStyle="1" w:styleId="CommentTextChar1">
    <w:name w:val="Comment Text Char1"/>
    <w:basedOn w:val="DefaultParagraphFont"/>
    <w:uiPriority w:val="99"/>
    <w:semiHidden/>
    <w:rsid w:val="00B25363"/>
    <w:rPr>
      <w:rFonts w:ascii="Verdana" w:hAnsi="Verdana"/>
    </w:rPr>
  </w:style>
  <w:style w:type="character" w:customStyle="1" w:styleId="CommentSubjectChar">
    <w:name w:val="Comment Subject Char"/>
    <w:basedOn w:val="CommentTextChar"/>
    <w:link w:val="CommentSubject"/>
    <w:semiHidden/>
    <w:rsid w:val="00B25363"/>
    <w:rPr>
      <w:rFonts w:ascii="Verdana" w:hAnsi="Verdana"/>
      <w:b/>
      <w:bCs/>
    </w:rPr>
  </w:style>
  <w:style w:type="paragraph" w:customStyle="1" w:styleId="DefinitionList1">
    <w:name w:val="Definition List1"/>
    <w:basedOn w:val="Normal"/>
    <w:next w:val="Normal"/>
    <w:rsid w:val="00B25363"/>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B25363"/>
    <w:rPr>
      <w:rFonts w:ascii="Verdana" w:hAnsi="Verdana"/>
    </w:rPr>
  </w:style>
  <w:style w:type="paragraph" w:customStyle="1" w:styleId="Preformatted1">
    <w:name w:val="Preformatted1"/>
    <w:basedOn w:val="Normal"/>
    <w:rsid w:val="00B25363"/>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B25363"/>
    <w:pPr>
      <w:autoSpaceDE w:val="0"/>
      <w:autoSpaceDN w:val="0"/>
      <w:spacing w:before="0"/>
    </w:pPr>
    <w:rPr>
      <w:rFonts w:cs="Verdana"/>
      <w:sz w:val="18"/>
      <w:szCs w:val="18"/>
      <w:lang w:val="en-GB"/>
    </w:rPr>
  </w:style>
  <w:style w:type="paragraph" w:customStyle="1" w:styleId="Level2Text1">
    <w:name w:val="Level 2 Text1"/>
    <w:basedOn w:val="BodyText"/>
    <w:rsid w:val="00B25363"/>
    <w:pPr>
      <w:autoSpaceDE w:val="0"/>
      <w:autoSpaceDN w:val="0"/>
      <w:spacing w:before="0"/>
    </w:pPr>
    <w:rPr>
      <w:rFonts w:cs="Verdana"/>
      <w:sz w:val="18"/>
      <w:szCs w:val="18"/>
      <w:lang w:val="en-GB"/>
    </w:rPr>
  </w:style>
  <w:style w:type="paragraph" w:customStyle="1" w:styleId="Level3Text1">
    <w:name w:val="Level 3 Text1"/>
    <w:basedOn w:val="BodyText"/>
    <w:rsid w:val="00B25363"/>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B25363"/>
    <w:pPr>
      <w:autoSpaceDE w:val="0"/>
      <w:autoSpaceDN w:val="0"/>
    </w:pPr>
    <w:rPr>
      <w:rFonts w:cs="Verdana"/>
      <w:sz w:val="18"/>
      <w:szCs w:val="18"/>
      <w:lang w:val="en-GB"/>
    </w:rPr>
  </w:style>
  <w:style w:type="paragraph" w:customStyle="1" w:styleId="ColumnHeading1">
    <w:name w:val="Column Heading1"/>
    <w:basedOn w:val="TableText"/>
    <w:next w:val="BodyText"/>
    <w:rsid w:val="00B25363"/>
    <w:pPr>
      <w:jc w:val="center"/>
    </w:pPr>
  </w:style>
  <w:style w:type="paragraph" w:customStyle="1" w:styleId="Non-normativeExample1">
    <w:name w:val="Non-normative Example1"/>
    <w:basedOn w:val="Normal"/>
    <w:rsid w:val="00B25363"/>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B25363"/>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B25363"/>
    <w:pPr>
      <w:shd w:val="clear" w:color="auto" w:fill="FF9999"/>
    </w:pPr>
  </w:style>
  <w:style w:type="paragraph" w:customStyle="1" w:styleId="StyleHeading1Left-0251">
    <w:name w:val="Style Heading 1 + Left:  -0.25&quot;1"/>
    <w:basedOn w:val="Heading1"/>
    <w:rsid w:val="00B25363"/>
    <w:pPr>
      <w:numPr>
        <w:numId w:val="0"/>
      </w:numPr>
      <w:ind w:left="-360"/>
    </w:pPr>
    <w:rPr>
      <w:rFonts w:cs="Times New Roman"/>
      <w:szCs w:val="20"/>
    </w:rPr>
  </w:style>
  <w:style w:type="character" w:customStyle="1" w:styleId="DocumentMapChar">
    <w:name w:val="Document Map Char"/>
    <w:basedOn w:val="DefaultParagraphFont"/>
    <w:link w:val="DocumentMap"/>
    <w:semiHidden/>
    <w:rsid w:val="00B25363"/>
    <w:rPr>
      <w:rFonts w:ascii="Tahoma" w:hAnsi="Tahoma" w:cs="Tahoma"/>
      <w:shd w:val="clear" w:color="auto" w:fill="000080"/>
    </w:rPr>
  </w:style>
  <w:style w:type="character" w:customStyle="1" w:styleId="EndnoteTextChar">
    <w:name w:val="Endnote Text Char"/>
    <w:basedOn w:val="DefaultParagraphFont"/>
    <w:link w:val="EndnoteText"/>
    <w:rsid w:val="00B25363"/>
    <w:rPr>
      <w:rFonts w:ascii="Verdana" w:hAnsi="Verdana"/>
    </w:rPr>
  </w:style>
  <w:style w:type="paragraph" w:customStyle="1" w:styleId="TBBody1">
    <w:name w:val="TB Body1"/>
    <w:rsid w:val="00B25363"/>
    <w:pPr>
      <w:widowControl w:val="0"/>
      <w:spacing w:before="40" w:after="100" w:line="220" w:lineRule="exact"/>
    </w:pPr>
    <w:rPr>
      <w:rFonts w:ascii="Arial" w:hAnsi="Arial"/>
      <w:sz w:val="19"/>
    </w:rPr>
  </w:style>
  <w:style w:type="paragraph" w:customStyle="1" w:styleId="TBColHead1">
    <w:name w:val="TB Col Head1"/>
    <w:next w:val="TBBody"/>
    <w:rsid w:val="00B25363"/>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B25363"/>
    <w:pPr>
      <w:keepNext/>
      <w:widowControl w:val="0"/>
      <w:spacing w:before="180" w:after="110" w:line="360" w:lineRule="exact"/>
      <w:jc w:val="center"/>
    </w:pPr>
    <w:rPr>
      <w:rFonts w:ascii="Arial" w:hAnsi="Arial"/>
      <w:b/>
      <w:sz w:val="32"/>
    </w:rPr>
  </w:style>
  <w:style w:type="paragraph" w:customStyle="1" w:styleId="SBBody1">
    <w:name w:val="SB Body1"/>
    <w:rsid w:val="00B25363"/>
    <w:pPr>
      <w:spacing w:after="120" w:line="220" w:lineRule="exact"/>
    </w:pPr>
    <w:rPr>
      <w:rFonts w:ascii="Arial" w:hAnsi="Arial"/>
      <w:sz w:val="18"/>
    </w:rPr>
  </w:style>
  <w:style w:type="table" w:customStyle="1" w:styleId="TableGrid11">
    <w:name w:val="Table Grid11"/>
    <w:basedOn w:val="TableNormal"/>
    <w:next w:val="TableGrid"/>
    <w:uiPriority w:val="59"/>
    <w:rsid w:val="00B2536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B25363"/>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styleId="NormalWeb">
    <w:name w:val="Normal (Web)"/>
    <w:basedOn w:val="Normal"/>
    <w:uiPriority w:val="99"/>
    <w:unhideWhenUsed/>
    <w:rsid w:val="00B25363"/>
    <w:pPr>
      <w:spacing w:before="100" w:beforeAutospacing="1" w:after="100" w:afterAutospacing="1"/>
    </w:pPr>
    <w:rPr>
      <w:rFonts w:ascii="Times New Roman" w:eastAsiaTheme="minorHAnsi" w:hAnsi="Times New Roman"/>
      <w:sz w:val="24"/>
    </w:rPr>
  </w:style>
  <w:style w:type="paragraph" w:customStyle="1" w:styleId="Bullet">
    <w:name w:val="Bullet"/>
    <w:rsid w:val="00B25363"/>
    <w:pPr>
      <w:tabs>
        <w:tab w:val="right" w:pos="1340"/>
        <w:tab w:val="left" w:pos="1440"/>
      </w:tabs>
      <w:spacing w:after="110" w:line="220" w:lineRule="exact"/>
      <w:ind w:left="1440" w:hanging="1440"/>
    </w:pPr>
    <w:rPr>
      <w:spacing w:val="6"/>
    </w:rPr>
  </w:style>
  <w:style w:type="paragraph" w:customStyle="1" w:styleId="Chap">
    <w:name w:val="Chap #"/>
    <w:next w:val="Normal"/>
    <w:rsid w:val="00B25363"/>
    <w:pPr>
      <w:widowControl w:val="0"/>
      <w:spacing w:after="240" w:line="500" w:lineRule="exact"/>
      <w:jc w:val="center"/>
    </w:pPr>
    <w:rPr>
      <w:rFonts w:ascii="Arial" w:hAnsi="Arial"/>
      <w:b/>
      <w:sz w:val="36"/>
      <w:u w:val="single"/>
    </w:rPr>
  </w:style>
  <w:style w:type="paragraph" w:customStyle="1" w:styleId="Unnumbered">
    <w:name w:val="Unnumbered"/>
    <w:rsid w:val="00B25363"/>
    <w:pPr>
      <w:widowControl w:val="0"/>
      <w:spacing w:after="110" w:line="220" w:lineRule="exact"/>
      <w:ind w:left="1440"/>
    </w:pPr>
    <w:rPr>
      <w:spacing w:val="6"/>
    </w:rPr>
  </w:style>
  <w:style w:type="paragraph" w:customStyle="1" w:styleId="NumList">
    <w:name w:val="Num List"/>
    <w:rsid w:val="00B25363"/>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B25363"/>
    <w:pPr>
      <w:widowControl w:val="0"/>
    </w:pPr>
    <w:rPr>
      <w:b/>
      <w:i/>
      <w:color w:val="0000FF"/>
      <w:sz w:val="24"/>
    </w:rPr>
  </w:style>
  <w:style w:type="character" w:customStyle="1" w:styleId="ProductionChar">
    <w:name w:val="Production Char"/>
    <w:basedOn w:val="DefaultParagraphFont"/>
    <w:link w:val="Production"/>
    <w:rsid w:val="00B25363"/>
    <w:rPr>
      <w:b/>
      <w:i/>
      <w:color w:val="0000FF"/>
      <w:sz w:val="24"/>
    </w:rPr>
  </w:style>
  <w:style w:type="paragraph" w:customStyle="1" w:styleId="TBHead">
    <w:name w:val="TB Head"/>
    <w:next w:val="TBColHead"/>
    <w:rsid w:val="00B25363"/>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B25363"/>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B25363"/>
    <w:pPr>
      <w:widowControl w:val="0"/>
      <w:spacing w:after="80" w:line="220" w:lineRule="exact"/>
      <w:ind w:left="200"/>
    </w:pPr>
    <w:rPr>
      <w:rFonts w:ascii="Georgia" w:hAnsi="Georgia"/>
      <w:b/>
      <w:i/>
    </w:rPr>
  </w:style>
  <w:style w:type="paragraph" w:customStyle="1" w:styleId="IntroText">
    <w:name w:val="Intro Text"/>
    <w:rsid w:val="00B25363"/>
    <w:pPr>
      <w:widowControl w:val="0"/>
      <w:tabs>
        <w:tab w:val="left" w:pos="360"/>
      </w:tabs>
      <w:spacing w:after="80" w:line="220" w:lineRule="exact"/>
      <w:ind w:left="200"/>
    </w:pPr>
    <w:rPr>
      <w:sz w:val="19"/>
    </w:rPr>
  </w:style>
  <w:style w:type="paragraph" w:customStyle="1" w:styleId="IntroLast">
    <w:name w:val="Intro Last"/>
    <w:basedOn w:val="IntroText"/>
    <w:next w:val="Normal"/>
    <w:rsid w:val="00B25363"/>
    <w:pPr>
      <w:pBdr>
        <w:bottom w:val="dotted" w:sz="18" w:space="12" w:color="808080"/>
      </w:pBdr>
      <w:spacing w:after="480"/>
    </w:pPr>
  </w:style>
  <w:style w:type="paragraph" w:customStyle="1" w:styleId="CodeLast">
    <w:name w:val="Code Last"/>
    <w:next w:val="Normal"/>
    <w:rsid w:val="00B25363"/>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B25363"/>
    <w:pPr>
      <w:spacing w:after="440"/>
    </w:pPr>
  </w:style>
  <w:style w:type="paragraph" w:customStyle="1" w:styleId="NumList2">
    <w:name w:val="Num List 2"/>
    <w:basedOn w:val="NumList"/>
    <w:rsid w:val="00B25363"/>
    <w:pPr>
      <w:tabs>
        <w:tab w:val="clear" w:pos="1340"/>
        <w:tab w:val="clear" w:pos="1440"/>
        <w:tab w:val="right" w:pos="1860"/>
        <w:tab w:val="left" w:pos="1920"/>
      </w:tabs>
      <w:ind w:left="1920" w:hanging="1920"/>
    </w:pPr>
  </w:style>
  <w:style w:type="paragraph" w:customStyle="1" w:styleId="NumLast">
    <w:name w:val="Num Last"/>
    <w:basedOn w:val="NumList"/>
    <w:next w:val="Normal"/>
    <w:rsid w:val="00B25363"/>
    <w:pPr>
      <w:spacing w:after="220"/>
    </w:pPr>
  </w:style>
  <w:style w:type="paragraph" w:customStyle="1" w:styleId="Bullet2">
    <w:name w:val="Bullet 2"/>
    <w:basedOn w:val="Bullet"/>
    <w:rsid w:val="00B25363"/>
    <w:pPr>
      <w:tabs>
        <w:tab w:val="clear" w:pos="1340"/>
        <w:tab w:val="clear" w:pos="1440"/>
        <w:tab w:val="right" w:pos="1860"/>
        <w:tab w:val="left" w:pos="1920"/>
      </w:tabs>
      <w:ind w:left="1920" w:hanging="1920"/>
    </w:pPr>
  </w:style>
  <w:style w:type="paragraph" w:customStyle="1" w:styleId="BulletLast">
    <w:name w:val="Bullet Last"/>
    <w:basedOn w:val="Bullet"/>
    <w:next w:val="Normal"/>
    <w:rsid w:val="00B25363"/>
    <w:pPr>
      <w:spacing w:after="220"/>
    </w:pPr>
  </w:style>
  <w:style w:type="paragraph" w:customStyle="1" w:styleId="AuthorQuery">
    <w:name w:val="Author Query"/>
    <w:basedOn w:val="Production"/>
    <w:link w:val="AuthorQueryChar"/>
    <w:rsid w:val="00B25363"/>
    <w:rPr>
      <w:color w:val="FF0000"/>
    </w:rPr>
  </w:style>
  <w:style w:type="character" w:customStyle="1" w:styleId="AuthorQueryChar">
    <w:name w:val="Author Query Char"/>
    <w:basedOn w:val="ProductionChar"/>
    <w:link w:val="AuthorQuery"/>
    <w:rsid w:val="00B25363"/>
    <w:rPr>
      <w:b/>
      <w:i/>
      <w:color w:val="FF0000"/>
      <w:sz w:val="24"/>
    </w:rPr>
  </w:style>
  <w:style w:type="paragraph" w:customStyle="1" w:styleId="Bullet2Last">
    <w:name w:val="Bullet 2 Last"/>
    <w:basedOn w:val="Bullet2"/>
    <w:next w:val="Normal"/>
    <w:rsid w:val="00B25363"/>
    <w:pPr>
      <w:spacing w:after="220"/>
    </w:pPr>
  </w:style>
  <w:style w:type="paragraph" w:customStyle="1" w:styleId="Num2Last">
    <w:name w:val="Num 2 Last"/>
    <w:basedOn w:val="NumList2"/>
    <w:next w:val="Normal"/>
    <w:rsid w:val="00B25363"/>
    <w:pPr>
      <w:spacing w:after="220"/>
    </w:pPr>
  </w:style>
  <w:style w:type="paragraph" w:customStyle="1" w:styleId="SBCode">
    <w:name w:val="SB Code"/>
    <w:basedOn w:val="SBBody"/>
    <w:rsid w:val="00B25363"/>
    <w:pPr>
      <w:spacing w:after="0"/>
    </w:pPr>
    <w:rPr>
      <w:rFonts w:ascii="Courier New" w:hAnsi="Courier New"/>
      <w:sz w:val="19"/>
    </w:rPr>
  </w:style>
  <w:style w:type="paragraph" w:customStyle="1" w:styleId="Unnumbered-Last">
    <w:name w:val="Unnumbered-Last"/>
    <w:basedOn w:val="Unnumbered"/>
    <w:next w:val="Normal"/>
    <w:rsid w:val="00B25363"/>
    <w:pPr>
      <w:spacing w:after="220"/>
    </w:pPr>
  </w:style>
  <w:style w:type="paragraph" w:customStyle="1" w:styleId="SBIndent">
    <w:name w:val="SB Indent"/>
    <w:basedOn w:val="SBBody"/>
    <w:rsid w:val="00B25363"/>
    <w:pPr>
      <w:tabs>
        <w:tab w:val="left" w:pos="216"/>
        <w:tab w:val="left" w:pos="432"/>
      </w:tabs>
      <w:ind w:left="432" w:hanging="432"/>
    </w:pPr>
  </w:style>
  <w:style w:type="paragraph" w:customStyle="1" w:styleId="Code-Indent">
    <w:name w:val="Code-Indent"/>
    <w:rsid w:val="00B25363"/>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B25363"/>
    <w:pPr>
      <w:spacing w:after="220"/>
    </w:pPr>
  </w:style>
  <w:style w:type="paragraph" w:customStyle="1" w:styleId="InThisPart">
    <w:name w:val="In This Part"/>
    <w:basedOn w:val="Heading2"/>
    <w:next w:val="Normal"/>
    <w:rsid w:val="00B25363"/>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B25363"/>
  </w:style>
  <w:style w:type="paragraph" w:customStyle="1" w:styleId="PartTitle">
    <w:name w:val="Part Title"/>
    <w:basedOn w:val="ChapTitle"/>
    <w:next w:val="InThisPart"/>
    <w:rsid w:val="00B25363"/>
  </w:style>
  <w:style w:type="paragraph" w:customStyle="1" w:styleId="EditorQuery">
    <w:name w:val="Editor Query"/>
    <w:basedOn w:val="AuthorQuery"/>
    <w:rsid w:val="00B25363"/>
    <w:rPr>
      <w:color w:val="FF00FF"/>
    </w:rPr>
  </w:style>
  <w:style w:type="paragraph" w:customStyle="1" w:styleId="MarginArtDirective">
    <w:name w:val="Margin Art Directive"/>
    <w:basedOn w:val="Production"/>
    <w:next w:val="Normal"/>
    <w:rsid w:val="00B25363"/>
    <w:rPr>
      <w:color w:val="800080"/>
    </w:rPr>
  </w:style>
  <w:style w:type="paragraph" w:customStyle="1" w:styleId="ChapTitlewointro">
    <w:name w:val="Chap Title w/o intro"/>
    <w:basedOn w:val="ChapTitle"/>
    <w:rsid w:val="00B25363"/>
    <w:pPr>
      <w:spacing w:after="520"/>
    </w:pPr>
  </w:style>
  <w:style w:type="paragraph" w:customStyle="1" w:styleId="Figure">
    <w:name w:val="Figure"/>
    <w:next w:val="Normal"/>
    <w:rsid w:val="00B25363"/>
    <w:pPr>
      <w:spacing w:before="60" w:after="120"/>
      <w:ind w:left="1022"/>
    </w:pPr>
  </w:style>
  <w:style w:type="paragraph" w:customStyle="1" w:styleId="ChapTitleworule">
    <w:name w:val="Chap Title w/o rule"/>
    <w:basedOn w:val="ChapTitle"/>
    <w:rsid w:val="00B25363"/>
    <w:pPr>
      <w:pBdr>
        <w:bottom w:val="none" w:sz="0" w:space="0" w:color="auto"/>
      </w:pBdr>
    </w:pPr>
  </w:style>
  <w:style w:type="paragraph" w:styleId="Quote">
    <w:name w:val="Quote"/>
    <w:basedOn w:val="Normal"/>
    <w:link w:val="QuoteChar"/>
    <w:qFormat/>
    <w:rsid w:val="00B25363"/>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B25363"/>
    <w:rPr>
      <w:i/>
      <w:spacing w:val="6"/>
    </w:rPr>
  </w:style>
  <w:style w:type="character" w:customStyle="1" w:styleId="QuoteChar1">
    <w:name w:val="Quote Char1"/>
    <w:basedOn w:val="DefaultParagraphFont"/>
    <w:rsid w:val="00B25363"/>
    <w:rPr>
      <w:i/>
      <w:spacing w:val="6"/>
    </w:rPr>
  </w:style>
  <w:style w:type="paragraph" w:customStyle="1" w:styleId="QuoteLast">
    <w:name w:val="Quote Last"/>
    <w:basedOn w:val="Quote"/>
    <w:next w:val="Normal"/>
    <w:rsid w:val="00B25363"/>
    <w:pPr>
      <w:spacing w:after="220"/>
      <w:jc w:val="right"/>
    </w:pPr>
  </w:style>
  <w:style w:type="paragraph" w:customStyle="1" w:styleId="ListingHead">
    <w:name w:val="Listing Head"/>
    <w:rsid w:val="00B25363"/>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B25363"/>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B25363"/>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B25363"/>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B25363"/>
    <w:pPr>
      <w:spacing w:after="220"/>
    </w:pPr>
  </w:style>
  <w:style w:type="paragraph" w:customStyle="1" w:styleId="PhotoCredit">
    <w:name w:val="Photo Credit"/>
    <w:next w:val="Normal"/>
    <w:rsid w:val="00B25363"/>
    <w:pPr>
      <w:spacing w:after="80" w:line="160" w:lineRule="exact"/>
    </w:pPr>
    <w:rPr>
      <w:i/>
      <w:sz w:val="16"/>
    </w:rPr>
  </w:style>
  <w:style w:type="paragraph" w:customStyle="1" w:styleId="Byline">
    <w:name w:val="Byline"/>
    <w:rsid w:val="00B25363"/>
    <w:pPr>
      <w:pBdr>
        <w:bottom w:val="dotted" w:sz="18" w:space="20" w:color="808080"/>
      </w:pBdr>
      <w:spacing w:before="120" w:after="220" w:line="200" w:lineRule="exact"/>
      <w:jc w:val="center"/>
    </w:pPr>
    <w:rPr>
      <w:rFonts w:ascii="Arial" w:hAnsi="Arial"/>
      <w:sz w:val="16"/>
    </w:rPr>
  </w:style>
  <w:style w:type="paragraph" w:customStyle="1" w:styleId="Code80">
    <w:name w:val="Code80"/>
    <w:rsid w:val="00B25363"/>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B25363"/>
    <w:pPr>
      <w:spacing w:after="220"/>
    </w:pPr>
  </w:style>
  <w:style w:type="paragraph" w:customStyle="1" w:styleId="Code80-Indent">
    <w:name w:val="Code80-Indent"/>
    <w:basedOn w:val="Code80"/>
    <w:rsid w:val="00B25363"/>
    <w:pPr>
      <w:ind w:left="2520" w:hanging="920"/>
    </w:pPr>
  </w:style>
  <w:style w:type="paragraph" w:customStyle="1" w:styleId="Code80-IndentLast">
    <w:name w:val="Code80-Indent Last"/>
    <w:basedOn w:val="Code80-Indent"/>
    <w:next w:val="Normal"/>
    <w:rsid w:val="00B25363"/>
    <w:pPr>
      <w:spacing w:after="220"/>
    </w:pPr>
  </w:style>
  <w:style w:type="paragraph" w:customStyle="1" w:styleId="ChapterTitlewointro">
    <w:name w:val="Chapter Title w/o intro"/>
    <w:basedOn w:val="ChapTitle"/>
    <w:rsid w:val="00B25363"/>
    <w:pPr>
      <w:spacing w:after="480"/>
    </w:pPr>
  </w:style>
  <w:style w:type="paragraph" w:customStyle="1" w:styleId="TBLastwSource">
    <w:name w:val="TB Last w/Source"/>
    <w:basedOn w:val="TBLast"/>
    <w:rsid w:val="00B25363"/>
    <w:pPr>
      <w:spacing w:after="100"/>
    </w:pPr>
  </w:style>
  <w:style w:type="paragraph" w:customStyle="1" w:styleId="TBSource">
    <w:name w:val="TB Source"/>
    <w:rsid w:val="00B25363"/>
    <w:pPr>
      <w:spacing w:after="360" w:line="220" w:lineRule="exact"/>
      <w:ind w:left="1440" w:right="240"/>
    </w:pPr>
    <w:rPr>
      <w:rFonts w:ascii="Arial" w:hAnsi="Arial"/>
      <w:i/>
      <w:sz w:val="15"/>
    </w:rPr>
  </w:style>
  <w:style w:type="paragraph" w:customStyle="1" w:styleId="PartNormal">
    <w:name w:val="Part Normal"/>
    <w:basedOn w:val="Normal"/>
    <w:rsid w:val="00B25363"/>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B25363"/>
    <w:pPr>
      <w:tabs>
        <w:tab w:val="clear" w:pos="1340"/>
        <w:tab w:val="clear" w:pos="1440"/>
        <w:tab w:val="right" w:pos="1570"/>
        <w:tab w:val="left" w:pos="1714"/>
      </w:tabs>
      <w:ind w:left="1714" w:hanging="1714"/>
    </w:pPr>
  </w:style>
  <w:style w:type="paragraph" w:customStyle="1" w:styleId="PartBulletLast">
    <w:name w:val="Part Bullet Last"/>
    <w:basedOn w:val="PartBullet"/>
    <w:rsid w:val="00B25363"/>
    <w:pPr>
      <w:spacing w:after="220"/>
    </w:pPr>
  </w:style>
  <w:style w:type="paragraph" w:customStyle="1" w:styleId="Bylinewithoutintro">
    <w:name w:val="Byline without intro"/>
    <w:basedOn w:val="Byline"/>
    <w:next w:val="Normal"/>
    <w:rsid w:val="00B25363"/>
    <w:pPr>
      <w:pBdr>
        <w:bottom w:val="dotted" w:sz="18" w:space="4" w:color="auto"/>
      </w:pBdr>
    </w:pPr>
  </w:style>
  <w:style w:type="paragraph" w:customStyle="1" w:styleId="ActivitiesHead">
    <w:name w:val="Activities Head"/>
    <w:basedOn w:val="Normal"/>
    <w:rsid w:val="00B25363"/>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B25363"/>
    <w:pPr>
      <w:spacing w:line="220" w:lineRule="exact"/>
      <w:ind w:left="1022"/>
    </w:pPr>
    <w:rPr>
      <w:rFonts w:ascii="Arial" w:hAnsi="Arial"/>
      <w:sz w:val="18"/>
    </w:rPr>
  </w:style>
  <w:style w:type="paragraph" w:customStyle="1" w:styleId="SBCode80">
    <w:name w:val="SB Code 80"/>
    <w:basedOn w:val="Code80"/>
    <w:rsid w:val="00B25363"/>
    <w:pPr>
      <w:ind w:left="780" w:hanging="780"/>
    </w:pPr>
  </w:style>
  <w:style w:type="paragraph" w:customStyle="1" w:styleId="SBCode80Indent">
    <w:name w:val="SB Code 80 Indent"/>
    <w:basedOn w:val="SBCode80"/>
    <w:rsid w:val="00B25363"/>
    <w:pPr>
      <w:ind w:left="1200"/>
    </w:pPr>
  </w:style>
  <w:style w:type="paragraph" w:customStyle="1" w:styleId="SBCode80Last">
    <w:name w:val="SB Code 80 Last"/>
    <w:basedOn w:val="SBCode80"/>
    <w:rsid w:val="00B25363"/>
    <w:pPr>
      <w:spacing w:after="110"/>
    </w:pPr>
  </w:style>
  <w:style w:type="paragraph" w:customStyle="1" w:styleId="SBCode80IndentLast">
    <w:name w:val="SB Code 80 Indent Last"/>
    <w:basedOn w:val="SBCode80Indent"/>
    <w:rsid w:val="00B25363"/>
    <w:pPr>
      <w:spacing w:after="110"/>
    </w:pPr>
  </w:style>
  <w:style w:type="paragraph" w:customStyle="1" w:styleId="CBBulletwArrowLast">
    <w:name w:val="CB Bullet w/Arrow Last"/>
    <w:basedOn w:val="Normal"/>
    <w:rsid w:val="00B25363"/>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B25363"/>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B25363"/>
    <w:pPr>
      <w:pBdr>
        <w:bottom w:val="single" w:sz="4" w:space="1" w:color="auto"/>
      </w:pBdr>
    </w:pPr>
  </w:style>
  <w:style w:type="paragraph" w:customStyle="1" w:styleId="Code80Lastwrule">
    <w:name w:val="Code80 Last w/rule"/>
    <w:basedOn w:val="Code80Last"/>
    <w:rsid w:val="00B25363"/>
    <w:pPr>
      <w:pBdr>
        <w:bottom w:val="single" w:sz="4" w:space="1" w:color="auto"/>
      </w:pBdr>
    </w:pPr>
  </w:style>
  <w:style w:type="paragraph" w:customStyle="1" w:styleId="CBBulletw">
    <w:name w:val="CB Bullet w/#"/>
    <w:basedOn w:val="CBBulletwArrow"/>
    <w:rsid w:val="00B25363"/>
    <w:pPr>
      <w:tabs>
        <w:tab w:val="clear" w:pos="1340"/>
        <w:tab w:val="clear" w:pos="1860"/>
        <w:tab w:val="left" w:pos="1001"/>
        <w:tab w:val="left" w:pos="1716"/>
      </w:tabs>
      <w:ind w:left="1714" w:hanging="1714"/>
    </w:pPr>
  </w:style>
  <w:style w:type="paragraph" w:customStyle="1" w:styleId="CBBullet2w">
    <w:name w:val="CB Bullet 2 w/#"/>
    <w:basedOn w:val="CBBulletw"/>
    <w:rsid w:val="00B25363"/>
    <w:pPr>
      <w:tabs>
        <w:tab w:val="clear" w:pos="1001"/>
        <w:tab w:val="left" w:pos="2145"/>
      </w:tabs>
      <w:ind w:left="2145" w:hanging="2145"/>
    </w:pPr>
  </w:style>
  <w:style w:type="paragraph" w:customStyle="1" w:styleId="CBBulletwLast">
    <w:name w:val="CB Bullet w/# Last"/>
    <w:basedOn w:val="CBBulletw"/>
    <w:rsid w:val="00B25363"/>
    <w:pPr>
      <w:spacing w:after="220"/>
    </w:pPr>
  </w:style>
  <w:style w:type="paragraph" w:customStyle="1" w:styleId="CBBullet2wLast">
    <w:name w:val="CB Bullet 2 w/# Last"/>
    <w:basedOn w:val="CBBullet2w"/>
    <w:rsid w:val="00B25363"/>
    <w:pPr>
      <w:spacing w:after="220"/>
      <w:ind w:left="2146" w:hanging="2146"/>
    </w:pPr>
  </w:style>
  <w:style w:type="paragraph" w:customStyle="1" w:styleId="Code-Indentpre-List">
    <w:name w:val="Code-Indent pre-List"/>
    <w:basedOn w:val="Code-Indent"/>
    <w:rsid w:val="00B25363"/>
    <w:pPr>
      <w:spacing w:after="110"/>
    </w:pPr>
  </w:style>
  <w:style w:type="paragraph" w:customStyle="1" w:styleId="Code80-Indentpre-List">
    <w:name w:val="Code80-Indent pre-List"/>
    <w:basedOn w:val="Code80-Indent"/>
    <w:rsid w:val="00B25363"/>
    <w:pPr>
      <w:spacing w:after="110"/>
      <w:ind w:hanging="922"/>
    </w:pPr>
  </w:style>
  <w:style w:type="paragraph" w:customStyle="1" w:styleId="SBCodelast">
    <w:name w:val="SB Code last"/>
    <w:basedOn w:val="SBCode"/>
    <w:rsid w:val="00B25363"/>
    <w:pPr>
      <w:spacing w:after="110"/>
    </w:pPr>
  </w:style>
  <w:style w:type="paragraph" w:styleId="Bibliography">
    <w:name w:val="Bibliography"/>
    <w:basedOn w:val="Normal"/>
    <w:next w:val="Normal"/>
    <w:uiPriority w:val="37"/>
    <w:unhideWhenUsed/>
    <w:rsid w:val="00B25363"/>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B25363"/>
    <w:rPr>
      <w:rFonts w:eastAsia="Times"/>
      <w:i w:val="0"/>
    </w:rPr>
  </w:style>
  <w:style w:type="character" w:customStyle="1" w:styleId="AuthorQueryNotItalicChar">
    <w:name w:val="Author Query + Not Italic Char"/>
    <w:basedOn w:val="AuthorQueryChar"/>
    <w:link w:val="AuthorQueryNotItalic"/>
    <w:rsid w:val="00B25363"/>
    <w:rPr>
      <w:rFonts w:eastAsia="Times"/>
      <w:b/>
      <w:i w:val="0"/>
      <w:color w:val="FF0000"/>
      <w:sz w:val="24"/>
    </w:rPr>
  </w:style>
  <w:style w:type="character" w:customStyle="1" w:styleId="CodeChar">
    <w:name w:val="Code Char"/>
    <w:basedOn w:val="DefaultParagraphFont"/>
    <w:rsid w:val="00B25363"/>
    <w:rPr>
      <w:rFonts w:ascii="Courier New" w:eastAsia="Times New Roman" w:hAnsi="Courier New" w:cs="Times New Roman"/>
      <w:sz w:val="19"/>
      <w:szCs w:val="20"/>
    </w:rPr>
  </w:style>
  <w:style w:type="character" w:customStyle="1" w:styleId="FootnoteTextChar4">
    <w:name w:val="Footnote Text Char4"/>
    <w:basedOn w:val="DefaultParagraphFont"/>
    <w:uiPriority w:val="99"/>
    <w:rsid w:val="00B25363"/>
    <w:rPr>
      <w:rFonts w:ascii="Verdana" w:hAnsi="Verdana"/>
    </w:rPr>
  </w:style>
  <w:style w:type="character" w:customStyle="1" w:styleId="Heading4Char1">
    <w:name w:val="Heading 4 Char1"/>
    <w:basedOn w:val="DefaultParagraphFont"/>
    <w:rsid w:val="00B25363"/>
    <w:rPr>
      <w:rFonts w:ascii="Arial" w:hAnsi="Arial"/>
      <w:b/>
      <w:bCs/>
      <w:sz w:val="24"/>
      <w:szCs w:val="28"/>
    </w:rPr>
  </w:style>
  <w:style w:type="character" w:customStyle="1" w:styleId="Heading5Char1">
    <w:name w:val="Heading 5 Char1"/>
    <w:basedOn w:val="DefaultParagraphFont"/>
    <w:rsid w:val="00B25363"/>
    <w:rPr>
      <w:rFonts w:ascii="Verdana" w:hAnsi="Verdana"/>
      <w:b/>
      <w:bCs/>
      <w:i/>
      <w:iCs/>
      <w:sz w:val="26"/>
      <w:szCs w:val="26"/>
    </w:rPr>
  </w:style>
  <w:style w:type="character" w:customStyle="1" w:styleId="Heading6Char">
    <w:name w:val="Heading 6 Char"/>
    <w:basedOn w:val="DefaultParagraphFont"/>
    <w:link w:val="Heading6"/>
    <w:rsid w:val="00B25363"/>
    <w:rPr>
      <w:b/>
      <w:bCs/>
      <w:sz w:val="22"/>
      <w:szCs w:val="22"/>
    </w:rPr>
  </w:style>
  <w:style w:type="character" w:customStyle="1" w:styleId="Heading7Char">
    <w:name w:val="Heading 7 Char"/>
    <w:basedOn w:val="DefaultParagraphFont"/>
    <w:link w:val="Heading7"/>
    <w:rsid w:val="00B25363"/>
    <w:rPr>
      <w:rFonts w:ascii="Arial" w:hAnsi="Arial"/>
      <w:sz w:val="24"/>
    </w:rPr>
  </w:style>
  <w:style w:type="character" w:customStyle="1" w:styleId="Heading8Char">
    <w:name w:val="Heading 8 Char"/>
    <w:basedOn w:val="DefaultParagraphFont"/>
    <w:link w:val="Heading8"/>
    <w:rsid w:val="00B25363"/>
    <w:rPr>
      <w:rFonts w:ascii="Arial" w:hAnsi="Arial"/>
      <w:i/>
      <w:sz w:val="24"/>
    </w:rPr>
  </w:style>
  <w:style w:type="character" w:customStyle="1" w:styleId="Heading9Char">
    <w:name w:val="Heading 9 Char"/>
    <w:basedOn w:val="DefaultParagraphFont"/>
    <w:link w:val="Heading9"/>
    <w:rsid w:val="00B25363"/>
    <w:rPr>
      <w:rFonts w:ascii="Arial" w:hAnsi="Arial"/>
      <w:i/>
      <w:sz w:val="18"/>
    </w:rPr>
  </w:style>
  <w:style w:type="character" w:customStyle="1" w:styleId="CommentSubjectChar1">
    <w:name w:val="Comment Subject Char1"/>
    <w:basedOn w:val="CommentTextChar"/>
    <w:semiHidden/>
    <w:rsid w:val="00B25363"/>
    <w:rPr>
      <w:rFonts w:ascii="Verdana" w:hAnsi="Verdana"/>
      <w:b/>
      <w:bCs/>
    </w:rPr>
  </w:style>
  <w:style w:type="character" w:customStyle="1" w:styleId="DocumentMapChar1">
    <w:name w:val="Document Map Char1"/>
    <w:basedOn w:val="DefaultParagraphFont"/>
    <w:semiHidden/>
    <w:rsid w:val="00B25363"/>
    <w:rPr>
      <w:rFonts w:ascii="Tahoma" w:hAnsi="Tahoma" w:cs="Tahoma"/>
      <w:shd w:val="clear" w:color="auto" w:fill="000080"/>
    </w:rPr>
  </w:style>
  <w:style w:type="character" w:customStyle="1" w:styleId="EndnoteTextChar1">
    <w:name w:val="Endnote Text Char1"/>
    <w:basedOn w:val="DefaultParagraphFont"/>
    <w:semiHidden/>
    <w:rsid w:val="00B25363"/>
    <w:rPr>
      <w:rFonts w:ascii="Verdana" w:hAnsi="Verdana"/>
    </w:rPr>
  </w:style>
  <w:style w:type="character" w:customStyle="1" w:styleId="Heading4Char2">
    <w:name w:val="Heading 4 Char2"/>
    <w:basedOn w:val="DefaultParagraphFont"/>
    <w:rsid w:val="00B25363"/>
    <w:rPr>
      <w:rFonts w:ascii="Arial" w:hAnsi="Arial"/>
      <w:b/>
      <w:bCs/>
      <w:sz w:val="24"/>
      <w:szCs w:val="28"/>
    </w:rPr>
  </w:style>
  <w:style w:type="character" w:customStyle="1" w:styleId="Heading5Char2">
    <w:name w:val="Heading 5 Char2"/>
    <w:basedOn w:val="DefaultParagraphFont"/>
    <w:rsid w:val="00B25363"/>
    <w:rPr>
      <w:rFonts w:ascii="Verdana" w:hAnsi="Verdana"/>
      <w:b/>
      <w:bCs/>
      <w:i/>
      <w:iCs/>
      <w:sz w:val="26"/>
      <w:szCs w:val="26"/>
    </w:rPr>
  </w:style>
  <w:style w:type="character" w:customStyle="1" w:styleId="Heading6Char1">
    <w:name w:val="Heading 6 Char1"/>
    <w:basedOn w:val="DefaultParagraphFont"/>
    <w:rsid w:val="00B25363"/>
    <w:rPr>
      <w:b/>
      <w:bCs/>
      <w:sz w:val="22"/>
      <w:szCs w:val="22"/>
    </w:rPr>
  </w:style>
  <w:style w:type="character" w:customStyle="1" w:styleId="Heading7Char1">
    <w:name w:val="Heading 7 Char1"/>
    <w:basedOn w:val="DefaultParagraphFont"/>
    <w:rsid w:val="00B25363"/>
    <w:rPr>
      <w:rFonts w:ascii="Arial" w:hAnsi="Arial"/>
      <w:sz w:val="24"/>
    </w:rPr>
  </w:style>
  <w:style w:type="character" w:customStyle="1" w:styleId="Heading8Char1">
    <w:name w:val="Heading 8 Char1"/>
    <w:basedOn w:val="DefaultParagraphFont"/>
    <w:rsid w:val="00B25363"/>
    <w:rPr>
      <w:rFonts w:ascii="Arial" w:hAnsi="Arial"/>
      <w:i/>
      <w:sz w:val="24"/>
    </w:rPr>
  </w:style>
  <w:style w:type="character" w:customStyle="1" w:styleId="Heading9Char1">
    <w:name w:val="Heading 9 Char1"/>
    <w:basedOn w:val="DefaultParagraphFont"/>
    <w:rsid w:val="00B25363"/>
    <w:rPr>
      <w:rFonts w:ascii="Arial" w:hAnsi="Arial"/>
      <w:i/>
      <w:sz w:val="18"/>
    </w:rPr>
  </w:style>
  <w:style w:type="character" w:customStyle="1" w:styleId="CommentSubjectChar2">
    <w:name w:val="Comment Subject Char2"/>
    <w:basedOn w:val="CommentTextChar"/>
    <w:semiHidden/>
    <w:rsid w:val="00B25363"/>
    <w:rPr>
      <w:rFonts w:ascii="Verdana" w:hAnsi="Verdana"/>
      <w:b/>
      <w:bCs/>
    </w:rPr>
  </w:style>
  <w:style w:type="character" w:customStyle="1" w:styleId="DocumentMapChar2">
    <w:name w:val="Document Map Char2"/>
    <w:basedOn w:val="DefaultParagraphFont"/>
    <w:semiHidden/>
    <w:rsid w:val="00B25363"/>
    <w:rPr>
      <w:rFonts w:ascii="Tahoma" w:hAnsi="Tahoma" w:cs="Tahoma"/>
      <w:shd w:val="clear" w:color="auto" w:fill="000080"/>
    </w:rPr>
  </w:style>
  <w:style w:type="character" w:customStyle="1" w:styleId="EndnoteTextChar2">
    <w:name w:val="Endnote Text Char2"/>
    <w:basedOn w:val="DefaultParagraphFont"/>
    <w:semiHidden/>
    <w:rsid w:val="00B25363"/>
    <w:rPr>
      <w:rFonts w:ascii="Verdana" w:hAnsi="Verdana"/>
    </w:rPr>
  </w:style>
  <w:style w:type="character" w:customStyle="1" w:styleId="Heading4Char3">
    <w:name w:val="Heading 4 Char3"/>
    <w:basedOn w:val="DefaultParagraphFont"/>
    <w:rsid w:val="00B25363"/>
    <w:rPr>
      <w:rFonts w:ascii="Arial" w:hAnsi="Arial"/>
      <w:b/>
      <w:bCs/>
      <w:sz w:val="24"/>
      <w:szCs w:val="28"/>
    </w:rPr>
  </w:style>
  <w:style w:type="character" w:customStyle="1" w:styleId="Heading5Char3">
    <w:name w:val="Heading 5 Char3"/>
    <w:basedOn w:val="DefaultParagraphFont"/>
    <w:rsid w:val="00B25363"/>
    <w:rPr>
      <w:rFonts w:ascii="Verdana" w:hAnsi="Verdana"/>
      <w:b/>
      <w:bCs/>
      <w:i/>
      <w:iCs/>
      <w:sz w:val="26"/>
      <w:szCs w:val="26"/>
    </w:rPr>
  </w:style>
  <w:style w:type="character" w:customStyle="1" w:styleId="Heading6Char2">
    <w:name w:val="Heading 6 Char2"/>
    <w:basedOn w:val="DefaultParagraphFont"/>
    <w:rsid w:val="00B25363"/>
    <w:rPr>
      <w:b/>
      <w:bCs/>
      <w:sz w:val="22"/>
      <w:szCs w:val="22"/>
    </w:rPr>
  </w:style>
  <w:style w:type="character" w:customStyle="1" w:styleId="Heading7Char2">
    <w:name w:val="Heading 7 Char2"/>
    <w:basedOn w:val="DefaultParagraphFont"/>
    <w:rsid w:val="00B25363"/>
    <w:rPr>
      <w:rFonts w:ascii="Arial" w:hAnsi="Arial"/>
      <w:sz w:val="24"/>
    </w:rPr>
  </w:style>
  <w:style w:type="character" w:customStyle="1" w:styleId="Heading8Char2">
    <w:name w:val="Heading 8 Char2"/>
    <w:basedOn w:val="DefaultParagraphFont"/>
    <w:rsid w:val="00B25363"/>
    <w:rPr>
      <w:rFonts w:ascii="Arial" w:hAnsi="Arial"/>
      <w:i/>
      <w:sz w:val="24"/>
    </w:rPr>
  </w:style>
  <w:style w:type="character" w:customStyle="1" w:styleId="Heading9Char2">
    <w:name w:val="Heading 9 Char2"/>
    <w:basedOn w:val="DefaultParagraphFont"/>
    <w:rsid w:val="00B25363"/>
    <w:rPr>
      <w:rFonts w:ascii="Arial" w:hAnsi="Arial"/>
      <w:i/>
      <w:sz w:val="18"/>
    </w:rPr>
  </w:style>
  <w:style w:type="character" w:customStyle="1" w:styleId="CommentSubjectChar3">
    <w:name w:val="Comment Subject Char3"/>
    <w:basedOn w:val="CommentTextChar"/>
    <w:semiHidden/>
    <w:rsid w:val="00B25363"/>
    <w:rPr>
      <w:rFonts w:ascii="Verdana" w:hAnsi="Verdana"/>
      <w:b/>
      <w:bCs/>
    </w:rPr>
  </w:style>
  <w:style w:type="character" w:customStyle="1" w:styleId="DocumentMapChar3">
    <w:name w:val="Document Map Char3"/>
    <w:basedOn w:val="DefaultParagraphFont"/>
    <w:semiHidden/>
    <w:rsid w:val="00B25363"/>
    <w:rPr>
      <w:rFonts w:ascii="Tahoma" w:hAnsi="Tahoma" w:cs="Tahoma"/>
      <w:shd w:val="clear" w:color="auto" w:fill="000080"/>
    </w:rPr>
  </w:style>
  <w:style w:type="character" w:customStyle="1" w:styleId="EndnoteTextChar3">
    <w:name w:val="Endnote Text Char3"/>
    <w:basedOn w:val="DefaultParagraphFont"/>
    <w:semiHidden/>
    <w:rsid w:val="00B25363"/>
    <w:rPr>
      <w:rFonts w:ascii="Verdana" w:hAnsi="Verdana"/>
    </w:rPr>
  </w:style>
  <w:style w:type="character" w:customStyle="1" w:styleId="Heading4Char4">
    <w:name w:val="Heading 4 Char4"/>
    <w:basedOn w:val="DefaultParagraphFont"/>
    <w:rsid w:val="00B25363"/>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0460996">
      <w:bodyDiv w:val="1"/>
      <w:marLeft w:val="0"/>
      <w:marRight w:val="0"/>
      <w:marTop w:val="0"/>
      <w:marBottom w:val="0"/>
      <w:divBdr>
        <w:top w:val="none" w:sz="0" w:space="0" w:color="auto"/>
        <w:left w:val="none" w:sz="0" w:space="0" w:color="auto"/>
        <w:bottom w:val="none" w:sz="0" w:space="0" w:color="auto"/>
        <w:right w:val="none" w:sz="0" w:space="0" w:color="auto"/>
      </w:divBdr>
    </w:div>
    <w:div w:id="546337248">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772820673">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197695213">
      <w:bodyDiv w:val="1"/>
      <w:marLeft w:val="0"/>
      <w:marRight w:val="0"/>
      <w:marTop w:val="0"/>
      <w:marBottom w:val="0"/>
      <w:divBdr>
        <w:top w:val="none" w:sz="0" w:space="0" w:color="auto"/>
        <w:left w:val="none" w:sz="0" w:space="0" w:color="auto"/>
        <w:bottom w:val="none" w:sz="0" w:space="0" w:color="auto"/>
        <w:right w:val="none" w:sz="0" w:space="0" w:color="auto"/>
      </w:divBdr>
    </w:div>
    <w:div w:id="1285774039">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5.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xbrl.squarespace.com/logical-theory-financial-rep/" TargetMode="External"/><Relationship Id="rId13" Type="http://schemas.openxmlformats.org/officeDocument/2006/relationships/hyperlink" Target="http://xbrlsite.azurewebsites.net/2019/Library/Signals_2019-03-31.jpg" TargetMode="External"/><Relationship Id="rId3" Type="http://schemas.openxmlformats.org/officeDocument/2006/relationships/hyperlink" Target="http://ueberproduct.de/en/properties-of-products/" TargetMode="External"/><Relationship Id="rId7" Type="http://schemas.openxmlformats.org/officeDocument/2006/relationships/hyperlink" Target="http://xbrlsite.azurewebsites.net/2020/Library/UnderstandingMethod.pdf" TargetMode="External"/><Relationship Id="rId12" Type="http://schemas.openxmlformats.org/officeDocument/2006/relationships/hyperlink" Target="http://xbrl.squarespace.com/journal/2019/3/29/quarterly-xbrl-based-public-company-financial-report-quality.html" TargetMode="External"/><Relationship Id="rId2" Type="http://schemas.openxmlformats.org/officeDocument/2006/relationships/hyperlink" Target="http://xbrlsite.azurewebsites.net/2020/Library/UnderstandingMethod.pdf" TargetMode="External"/><Relationship Id="rId16" Type="http://schemas.openxmlformats.org/officeDocument/2006/relationships/hyperlink" Target="http://xbrlsite.azurewebsites.net/2020/Library/UnderstandingMethod.pdf" TargetMode="External"/><Relationship Id="rId1" Type="http://schemas.openxmlformats.org/officeDocument/2006/relationships/hyperlink" Target="http://www.xbrlsite.com/2020/Theory/SBRM-Method.pdf" TargetMode="External"/><Relationship Id="rId6" Type="http://schemas.openxmlformats.org/officeDocument/2006/relationships/hyperlink" Target="https://www.omg.org/intro/SBRM.pdf" TargetMode="External"/><Relationship Id="rId11" Type="http://schemas.openxmlformats.org/officeDocument/2006/relationships/hyperlink" Target="https://specifications.xbrl.org/work-product-index-group-base-spec-base-spec.html" TargetMode="External"/><Relationship Id="rId5" Type="http://schemas.openxmlformats.org/officeDocument/2006/relationships/hyperlink" Target="https://www.xbrl.org/" TargetMode="External"/><Relationship Id="rId15" Type="http://schemas.openxmlformats.org/officeDocument/2006/relationships/hyperlink" Target="http://www.xbrlsite.com/2020/Theory/SBRM-Method.pdf" TargetMode="External"/><Relationship Id="rId10" Type="http://schemas.openxmlformats.org/officeDocument/2006/relationships/hyperlink" Target="http://www.xbrlsite.com/2020/Theory/SBRM-Method.pdf" TargetMode="External"/><Relationship Id="rId4" Type="http://schemas.openxmlformats.org/officeDocument/2006/relationships/hyperlink" Target="https://www.forbes.com/sites/bernardmarr/2020/08/03/3-important-ways-artificial-intelligence-will-transform-your-business-and-turbocharge-success/" TargetMode="External"/><Relationship Id="rId9" Type="http://schemas.openxmlformats.org/officeDocument/2006/relationships/hyperlink" Target="https://hbr.org/2020/05/digital-transformation-is-about-talent-not-technology" TargetMode="External"/><Relationship Id="rId14" Type="http://schemas.openxmlformats.org/officeDocument/2006/relationships/hyperlink" Target="http://xbrl.squarespace.com/journal/2017/4/29/high-quality-examples-of-errors-in-xbrl-based-financial-repo.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D4C47-34E6-466A-AEFD-B3DC3C7F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1517</TotalTime>
  <Pages>7</Pages>
  <Words>2008</Words>
  <Characters>11449</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13431</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Financial Reporting Using XBRL</dc:title>
  <dc:creator>Charles Hoffman</dc:creator>
  <cp:lastModifiedBy>Charles Hoffman</cp:lastModifiedBy>
  <cp:revision>57</cp:revision>
  <cp:lastPrinted>2019-08-07T20:44:00Z</cp:lastPrinted>
  <dcterms:created xsi:type="dcterms:W3CDTF">2016-12-18T19:34:00Z</dcterms:created>
  <dcterms:modified xsi:type="dcterms:W3CDTF">2020-08-23T14:53:00Z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