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CB6629" w14:textId="77777777" w:rsidR="00A81091" w:rsidRDefault="00A81091" w:rsidP="00A208A4">
      <w:pPr>
        <w:pStyle w:val="Heading1"/>
        <w:rPr>
          <w:lang w:val="en-GB"/>
        </w:rPr>
      </w:pPr>
      <w:r>
        <w:rPr>
          <w:lang w:val="en-GB"/>
        </w:rPr>
        <w:t>Query and Analysis of XBRL-based Digital Financial Reports</w:t>
      </w:r>
    </w:p>
    <w:p w14:paraId="7C0BFA71" w14:textId="1B27F188" w:rsidR="00B521A5" w:rsidRDefault="00B521A5" w:rsidP="00A208A4">
      <w:pPr>
        <w:pStyle w:val="BodyText"/>
        <w:rPr>
          <w:lang w:val="en-GB"/>
        </w:rPr>
      </w:pPr>
      <w:r>
        <w:rPr>
          <w:lang w:val="en-GB"/>
        </w:rPr>
        <w:t>The purpose of this section is to provide examples of and issues with querying information from and analysis of that information extracted from an XBRL-based digital financial report.</w:t>
      </w:r>
    </w:p>
    <w:p w14:paraId="7C1AF7E6" w14:textId="07A9115E" w:rsidR="00A81091" w:rsidRDefault="00A81091" w:rsidP="00A208A4">
      <w:pPr>
        <w:pStyle w:val="BodyText"/>
        <w:rPr>
          <w:lang w:val="en-GB"/>
        </w:rPr>
      </w:pPr>
      <w:r>
        <w:rPr>
          <w:lang w:val="en-GB"/>
        </w:rPr>
        <w:t>This section covers the basics of querying and analysis of XBRL-based digital financial reports.  In this section we will use a free tool for making use of all that XBRL-based public company financial information submitted to the SEC.  We will cover only the basics to give the reader a sense of how to do this.</w:t>
      </w:r>
    </w:p>
    <w:p w14:paraId="31A53DEC" w14:textId="77777777" w:rsidR="00A81091" w:rsidRPr="00820103" w:rsidRDefault="00A81091" w:rsidP="00820103">
      <w:pPr>
        <w:pStyle w:val="Heading2"/>
      </w:pPr>
      <w:r w:rsidRPr="00820103">
        <w:t>Importance of Data Analytics</w:t>
      </w:r>
    </w:p>
    <w:p w14:paraId="2B455AE1" w14:textId="77777777" w:rsidR="00A81091" w:rsidRPr="005F1B1D" w:rsidRDefault="00A81091" w:rsidP="00A208A4">
      <w:pPr>
        <w:pStyle w:val="BodyText"/>
        <w:rPr>
          <w:lang w:val="en-GB"/>
        </w:rPr>
      </w:pPr>
      <w:r>
        <w:rPr>
          <w:lang w:val="en-GB"/>
        </w:rPr>
        <w:t>Many things go into the successful operation of a business.</w:t>
      </w:r>
      <w:r w:rsidRPr="00820103">
        <w:rPr>
          <w:lang w:val="en-GB"/>
        </w:rPr>
        <w:t xml:space="preserve"> </w:t>
      </w:r>
      <w:r>
        <w:rPr>
          <w:lang w:val="en-GB"/>
        </w:rPr>
        <w:t xml:space="preserve">This notion is not new to professional accountants; they have been managing financial and nonfinancial information of organizations.  There are </w:t>
      </w:r>
      <w:r w:rsidRPr="00820103">
        <w:rPr>
          <w:lang w:val="en-GB"/>
        </w:rPr>
        <w:t xml:space="preserve">intricate reasons behind the successes and failures of companies. </w:t>
      </w:r>
      <w:r>
        <w:rPr>
          <w:lang w:val="en-GB"/>
        </w:rPr>
        <w:t>It is important to dig into the subtleties and nuances of information looking for correlations and causal relationships, patterns, trends which contribute to success or failure.  Data analysis tools are increasing in functionality and sophistication.  The volume of information available has never been greater and the amount continues to grow each year.</w:t>
      </w:r>
    </w:p>
    <w:p w14:paraId="1EBC42E8" w14:textId="77777777" w:rsidR="00A81091" w:rsidRDefault="00A81091" w:rsidP="00A208A4">
      <w:pPr>
        <w:pStyle w:val="Heading2"/>
      </w:pPr>
      <w:r>
        <w:t>Financial analysis use cases</w:t>
      </w:r>
    </w:p>
    <w:p w14:paraId="375F779A" w14:textId="77777777" w:rsidR="00A81091" w:rsidRDefault="00A81091" w:rsidP="00A208A4">
      <w:pPr>
        <w:pStyle w:val="BodyText"/>
      </w:pPr>
      <w:r>
        <w:t>These are the general use cases for making use of information reported in XBRL-based public company financial reports provided to the SEC or elsewhere:</w:t>
      </w:r>
    </w:p>
    <w:p w14:paraId="647C270F" w14:textId="77777777" w:rsidR="00A81091" w:rsidRDefault="00A81091" w:rsidP="00A208A4">
      <w:pPr>
        <w:pStyle w:val="BodyText"/>
        <w:numPr>
          <w:ilvl w:val="0"/>
          <w:numId w:val="12"/>
        </w:numPr>
      </w:pPr>
      <w:r w:rsidRPr="00560D39">
        <w:rPr>
          <w:b/>
        </w:rPr>
        <w:t xml:space="preserve">Analysis of a single </w:t>
      </w:r>
      <w:r>
        <w:rPr>
          <w:b/>
        </w:rPr>
        <w:t>report</w:t>
      </w:r>
      <w:r>
        <w:t>. Analysis of one financial report from one reporting entity.</w:t>
      </w:r>
    </w:p>
    <w:p w14:paraId="09F35BAB" w14:textId="77777777" w:rsidR="00A81091" w:rsidRDefault="00A81091" w:rsidP="00A208A4">
      <w:pPr>
        <w:pStyle w:val="BodyText"/>
        <w:numPr>
          <w:ilvl w:val="0"/>
          <w:numId w:val="12"/>
        </w:numPr>
      </w:pPr>
      <w:r w:rsidRPr="00FF3786">
        <w:rPr>
          <w:b/>
        </w:rPr>
        <w:t>Time series analysis for a</w:t>
      </w:r>
      <w:r>
        <w:rPr>
          <w:b/>
        </w:rPr>
        <w:t xml:space="preserve"> reporting entity</w:t>
      </w:r>
      <w:r>
        <w:t xml:space="preserve">. </w:t>
      </w:r>
      <w:r w:rsidRPr="00FF3786">
        <w:t xml:space="preserve">Two or more financial </w:t>
      </w:r>
      <w:r>
        <w:t>reports</w:t>
      </w:r>
      <w:r w:rsidRPr="00FF3786">
        <w:t xml:space="preserve"> from the same </w:t>
      </w:r>
      <w:r>
        <w:t xml:space="preserve">reporting </w:t>
      </w:r>
      <w:r w:rsidRPr="00FF3786">
        <w:t>entity</w:t>
      </w:r>
      <w:r>
        <w:t>.</w:t>
      </w:r>
    </w:p>
    <w:p w14:paraId="58107434" w14:textId="77777777" w:rsidR="00A81091" w:rsidRDefault="00A81091" w:rsidP="00A208A4">
      <w:pPr>
        <w:pStyle w:val="BodyText"/>
        <w:numPr>
          <w:ilvl w:val="0"/>
          <w:numId w:val="12"/>
        </w:numPr>
      </w:pPr>
      <w:r w:rsidRPr="00FF3786">
        <w:rPr>
          <w:b/>
        </w:rPr>
        <w:t xml:space="preserve">Comparative analysis across </w:t>
      </w:r>
      <w:r>
        <w:rPr>
          <w:b/>
        </w:rPr>
        <w:t>reporting entities</w:t>
      </w:r>
      <w:r>
        <w:t xml:space="preserve">. </w:t>
      </w:r>
      <w:r w:rsidRPr="00FF3786">
        <w:t xml:space="preserve">Two or more financial </w:t>
      </w:r>
      <w:r>
        <w:t>reports</w:t>
      </w:r>
      <w:r w:rsidRPr="00FF3786">
        <w:t xml:space="preserve"> from different </w:t>
      </w:r>
      <w:r>
        <w:t xml:space="preserve">reporting </w:t>
      </w:r>
      <w:r w:rsidRPr="00FF3786">
        <w:t xml:space="preserve">entities using different subsets of </w:t>
      </w:r>
      <w:r>
        <w:t>information</w:t>
      </w:r>
      <w:r w:rsidRPr="00FF3786">
        <w:t>.</w:t>
      </w:r>
    </w:p>
    <w:p w14:paraId="0A46DADE" w14:textId="77777777" w:rsidR="00A81091" w:rsidRDefault="00A81091" w:rsidP="00A208A4">
      <w:pPr>
        <w:pStyle w:val="BodyText"/>
        <w:numPr>
          <w:ilvl w:val="0"/>
          <w:numId w:val="12"/>
        </w:numPr>
      </w:pPr>
      <w:r w:rsidRPr="00FF3786">
        <w:rPr>
          <w:b/>
        </w:rPr>
        <w:t>Ratio analysis</w:t>
      </w:r>
      <w:r>
        <w:t>. An analysis of a single report, a time series analysis, or a comparative analysis using ratios.</w:t>
      </w:r>
    </w:p>
    <w:p w14:paraId="5B47204F" w14:textId="77777777" w:rsidR="00A81091" w:rsidRDefault="00A81091" w:rsidP="001160C7">
      <w:pPr>
        <w:pStyle w:val="Heading2"/>
      </w:pPr>
      <w:r>
        <w:t>Repository of machine-readable facts (fact database)</w:t>
      </w:r>
    </w:p>
    <w:p w14:paraId="52AF503D" w14:textId="77777777" w:rsidR="00A81091" w:rsidRPr="00C177D1" w:rsidRDefault="00A81091" w:rsidP="001160C7">
      <w:pPr>
        <w:pStyle w:val="BodyText"/>
      </w:pPr>
      <w:r>
        <w:t>The purpose of this section is to set your perspective and expectations.  Imagine a machine-readable repository of information.  Imagine that you want to query that repository and get the value of two concepts for every economic entity in that repository:</w:t>
      </w:r>
      <w:r w:rsidRPr="00C177D1">
        <w:t xml:space="preserve"> </w:t>
      </w:r>
      <w:r w:rsidRPr="00C177D1">
        <w:rPr>
          <w:i/>
        </w:rPr>
        <w:t>Assets</w:t>
      </w:r>
      <w:r w:rsidRPr="00C177D1">
        <w:t xml:space="preserve"> and </w:t>
      </w:r>
      <w:r w:rsidRPr="00C177D1">
        <w:rPr>
          <w:i/>
        </w:rPr>
        <w:t>Liabilities and Equity</w:t>
      </w:r>
      <w:r w:rsidRPr="00C177D1">
        <w:t xml:space="preserve">.  In order to extract that information from any XBRL-based financial </w:t>
      </w:r>
      <w:r>
        <w:t>report</w:t>
      </w:r>
      <w:r w:rsidRPr="00C177D1">
        <w:t xml:space="preserve"> using a machine-based process the following process needs to be followed:</w:t>
      </w:r>
    </w:p>
    <w:p w14:paraId="2AA61053" w14:textId="77777777" w:rsidR="00A81091" w:rsidRPr="00C177D1" w:rsidRDefault="00A81091" w:rsidP="001160C7">
      <w:pPr>
        <w:pStyle w:val="BodyText"/>
        <w:numPr>
          <w:ilvl w:val="0"/>
          <w:numId w:val="204"/>
        </w:numPr>
        <w:jc w:val="left"/>
      </w:pPr>
      <w:r w:rsidRPr="00C177D1">
        <w:t>Software MUST locate each report you want to query.</w:t>
      </w:r>
      <w:r>
        <w:t xml:space="preserve">  You want to be sure you have the correct report.  For example, if a report is amended, you need the most current report.</w:t>
      </w:r>
    </w:p>
    <w:p w14:paraId="3FCD03AA" w14:textId="77777777" w:rsidR="00A81091" w:rsidRPr="00C177D1" w:rsidRDefault="00A81091" w:rsidP="001160C7">
      <w:pPr>
        <w:pStyle w:val="BodyText"/>
        <w:numPr>
          <w:ilvl w:val="0"/>
          <w:numId w:val="204"/>
        </w:numPr>
        <w:jc w:val="left"/>
      </w:pPr>
      <w:r w:rsidRPr="00C177D1">
        <w:lastRenderedPageBreak/>
        <w:t>The report MUST be valid XBRL technical syntax.  If the technical syntax is invalid, you may or may not get the correct results.</w:t>
      </w:r>
    </w:p>
    <w:p w14:paraId="37125D7C" w14:textId="77777777" w:rsidR="00A81091" w:rsidRPr="00C177D1" w:rsidRDefault="00A81091" w:rsidP="001160C7">
      <w:pPr>
        <w:pStyle w:val="BodyText"/>
        <w:numPr>
          <w:ilvl w:val="0"/>
          <w:numId w:val="204"/>
        </w:numPr>
        <w:jc w:val="left"/>
      </w:pPr>
      <w:r w:rsidRPr="00C177D1">
        <w:t>Software MUST locate the appropriate reporting units (currency).  In the case of public company financial reports, 99% of entities report using US Dollars.  However, 1% use other currencies as the reporting units.</w:t>
      </w:r>
    </w:p>
    <w:p w14:paraId="569937E3" w14:textId="77777777" w:rsidR="00A81091" w:rsidRPr="00C177D1" w:rsidRDefault="00A81091" w:rsidP="001160C7">
      <w:pPr>
        <w:pStyle w:val="BodyText"/>
        <w:numPr>
          <w:ilvl w:val="0"/>
          <w:numId w:val="204"/>
        </w:numPr>
        <w:jc w:val="left"/>
      </w:pPr>
      <w:r w:rsidRPr="00C177D1">
        <w:t>Software MUST appropriately identify the root reporting entity in the report</w:t>
      </w:r>
      <w:r>
        <w:t>, we don’t want business segment information</w:t>
      </w:r>
      <w:r w:rsidRPr="00C177D1">
        <w:t>.  Generally, this is the consolidated entity but it could be a parent holding company or some other accounting entity.</w:t>
      </w:r>
    </w:p>
    <w:p w14:paraId="4F01D123" w14:textId="77777777" w:rsidR="00A81091" w:rsidRPr="00C177D1" w:rsidRDefault="00A81091" w:rsidP="001160C7">
      <w:pPr>
        <w:pStyle w:val="BodyText"/>
        <w:numPr>
          <w:ilvl w:val="0"/>
          <w:numId w:val="204"/>
        </w:numPr>
        <w:jc w:val="left"/>
      </w:pPr>
      <w:r w:rsidRPr="00C177D1">
        <w:t xml:space="preserve">Software MUST appropriately locate the current balance sheet date.  </w:t>
      </w:r>
      <w:proofErr w:type="gramStart"/>
      <w:r w:rsidRPr="00C177D1">
        <w:t>Generally</w:t>
      </w:r>
      <w:proofErr w:type="gramEnd"/>
      <w:r w:rsidRPr="00C177D1">
        <w:t xml:space="preserve"> you want information about the current balance sheet data and not the prior balance sheet</w:t>
      </w:r>
      <w:r>
        <w:t>, both are provided in the same report</w:t>
      </w:r>
      <w:r w:rsidRPr="00C177D1">
        <w:t>.</w:t>
      </w:r>
    </w:p>
    <w:p w14:paraId="13C1051B" w14:textId="77777777" w:rsidR="00A81091" w:rsidRPr="00C177D1" w:rsidRDefault="00A81091" w:rsidP="001160C7">
      <w:pPr>
        <w:pStyle w:val="BodyText"/>
        <w:numPr>
          <w:ilvl w:val="0"/>
          <w:numId w:val="204"/>
        </w:numPr>
        <w:jc w:val="left"/>
      </w:pPr>
      <w:r w:rsidRPr="00C177D1">
        <w:t xml:space="preserve">Software MUST find the appropriate US GAAP concept used to express </w:t>
      </w:r>
      <w:r w:rsidRPr="00C177D1">
        <w:rPr>
          <w:i/>
        </w:rPr>
        <w:t>Assets</w:t>
      </w:r>
      <w:r w:rsidRPr="00C177D1">
        <w:t xml:space="preserve"> which is </w:t>
      </w:r>
      <w:proofErr w:type="spellStart"/>
      <w:r w:rsidRPr="00C177D1">
        <w:t>us-</w:t>
      </w:r>
      <w:proofErr w:type="gramStart"/>
      <w:r w:rsidRPr="00C177D1">
        <w:t>gaap:Assets</w:t>
      </w:r>
      <w:proofErr w:type="spellEnd"/>
      <w:proofErr w:type="gramEnd"/>
      <w:r w:rsidRPr="00C177D1">
        <w:t>.</w:t>
      </w:r>
    </w:p>
    <w:p w14:paraId="6EEDAB08" w14:textId="77777777" w:rsidR="00A81091" w:rsidRPr="00C177D1" w:rsidRDefault="00A81091" w:rsidP="001160C7">
      <w:pPr>
        <w:pStyle w:val="BodyText"/>
        <w:numPr>
          <w:ilvl w:val="0"/>
          <w:numId w:val="204"/>
        </w:numPr>
        <w:jc w:val="left"/>
      </w:pPr>
      <w:r w:rsidRPr="00C177D1">
        <w:t xml:space="preserve">Software MUST find appropriate US GAAP concept for </w:t>
      </w:r>
      <w:r w:rsidRPr="00C177D1">
        <w:rPr>
          <w:i/>
        </w:rPr>
        <w:t>Liabilities and Equity</w:t>
      </w:r>
      <w:r w:rsidRPr="00C177D1">
        <w:t xml:space="preserve">.  This is a little harder because there are multiple possible concepts: </w:t>
      </w:r>
      <w:proofErr w:type="spellStart"/>
      <w:r w:rsidRPr="00C177D1">
        <w:t>us-</w:t>
      </w:r>
      <w:proofErr w:type="gramStart"/>
      <w:r w:rsidRPr="00C177D1">
        <w:t>gaap:LiabilitiesAndStockholdersEquity</w:t>
      </w:r>
      <w:proofErr w:type="spellEnd"/>
      <w:proofErr w:type="gramEnd"/>
      <w:r w:rsidRPr="00C177D1">
        <w:t xml:space="preserve"> or </w:t>
      </w:r>
      <w:proofErr w:type="spellStart"/>
      <w:r w:rsidRPr="00C177D1">
        <w:t>us-gaap:LiabilitiesAndPartnersCapital</w:t>
      </w:r>
      <w:proofErr w:type="spellEnd"/>
      <w:r w:rsidRPr="00C177D1">
        <w:t>.</w:t>
      </w:r>
    </w:p>
    <w:p w14:paraId="2EC74406" w14:textId="77777777" w:rsidR="00A81091" w:rsidRPr="00C177D1" w:rsidRDefault="00A81091" w:rsidP="001160C7">
      <w:pPr>
        <w:pStyle w:val="BodyText"/>
        <w:numPr>
          <w:ilvl w:val="0"/>
          <w:numId w:val="204"/>
        </w:numPr>
        <w:jc w:val="left"/>
      </w:pPr>
      <w:r w:rsidRPr="00C177D1">
        <w:t>Software MUST check the returned information to assure that it is consistent with what is expected, the business domain rule that “Assets = Liabilities and Equity”.</w:t>
      </w:r>
    </w:p>
    <w:p w14:paraId="2D89663C" w14:textId="77777777" w:rsidR="00A81091" w:rsidRPr="00C177D1" w:rsidRDefault="00A81091" w:rsidP="001160C7">
      <w:pPr>
        <w:pStyle w:val="BodyText"/>
      </w:pPr>
      <w:r w:rsidRPr="00C177D1">
        <w:t xml:space="preserve">That is an overview of the workflow/process to obtain a basic set of information from the </w:t>
      </w:r>
      <w:r>
        <w:t>repository</w:t>
      </w:r>
      <w:r w:rsidRPr="00C177D1">
        <w:t xml:space="preserve"> of XBRL-based public company financial filings.  And here are the results of that que</w:t>
      </w:r>
      <w:r>
        <w:t>ry for every financial report from the SEC EDGAR system of XBRL-based public company financial reports</w:t>
      </w:r>
      <w:r w:rsidRPr="00C177D1">
        <w:t>:</w:t>
      </w:r>
    </w:p>
    <w:p w14:paraId="0B23CD4A" w14:textId="77777777" w:rsidR="00A81091" w:rsidRPr="00C177D1" w:rsidRDefault="00A81091" w:rsidP="001160C7">
      <w:pPr>
        <w:pStyle w:val="BodyText"/>
      </w:pPr>
      <w:r w:rsidRPr="00C177D1">
        <w:rPr>
          <w:noProof/>
        </w:rPr>
        <w:drawing>
          <wp:inline distT="0" distB="0" distL="0" distR="0" wp14:anchorId="442CB930" wp14:editId="02C935DE">
            <wp:extent cx="5449719" cy="3048000"/>
            <wp:effectExtent l="0" t="0" r="0" b="0"/>
            <wp:docPr id="1073741825" name="Picture 107374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454506" cy="3050677"/>
                    </a:xfrm>
                    <a:prstGeom prst="rect">
                      <a:avLst/>
                    </a:prstGeom>
                  </pic:spPr>
                </pic:pic>
              </a:graphicData>
            </a:graphic>
          </wp:inline>
        </w:drawing>
      </w:r>
    </w:p>
    <w:p w14:paraId="778739EA" w14:textId="77777777" w:rsidR="00A81091" w:rsidRDefault="00A81091" w:rsidP="001160C7">
      <w:pPr>
        <w:pStyle w:val="BodyText"/>
      </w:pPr>
      <w:r w:rsidRPr="00C177D1">
        <w:lastRenderedPageBreak/>
        <w:t>The results</w:t>
      </w:r>
      <w:r w:rsidRPr="00C177D1">
        <w:rPr>
          <w:vertAlign w:val="superscript"/>
        </w:rPr>
        <w:footnoteReference w:id="1"/>
      </w:r>
      <w:r w:rsidRPr="00C177D1">
        <w:t xml:space="preserve"> show that most of the balance sheets balance, </w:t>
      </w:r>
      <w:r w:rsidRPr="00DE238D">
        <w:rPr>
          <w:i/>
        </w:rPr>
        <w:t>Assets</w:t>
      </w:r>
      <w:r w:rsidRPr="00C177D1">
        <w:t xml:space="preserve"> = </w:t>
      </w:r>
      <w:r w:rsidRPr="00DE238D">
        <w:rPr>
          <w:i/>
        </w:rPr>
        <w:t>Liabilities and Equity</w:t>
      </w:r>
      <w:r w:rsidRPr="00C177D1">
        <w:t xml:space="preserve">.  Some are inconsistent with what you would expect.  The total inconsistency is .3% which is not too bad.  However, the information needs to be 100% consistent in order to not get humans involved to figure out </w:t>
      </w:r>
      <w:r>
        <w:t xml:space="preserve">exactly </w:t>
      </w:r>
      <w:r w:rsidRPr="00C177D1">
        <w:t>what is causing the inconsistencies.</w:t>
      </w:r>
    </w:p>
    <w:p w14:paraId="19C5C264" w14:textId="77777777" w:rsidR="00A81091" w:rsidRDefault="00A81091" w:rsidP="001160C7">
      <w:pPr>
        <w:pStyle w:val="BodyText"/>
      </w:pPr>
      <w:r>
        <w:t>What needs to be considered when querying other facts from a repository works in exactly the same way as this basic query.</w:t>
      </w:r>
    </w:p>
    <w:p w14:paraId="52BF3DE2" w14:textId="77777777" w:rsidR="00A81091" w:rsidRDefault="00A81091" w:rsidP="006B0980">
      <w:pPr>
        <w:pStyle w:val="Heading2"/>
      </w:pPr>
      <w:r>
        <w:t>Extracting Information Using Excel</w:t>
      </w:r>
    </w:p>
    <w:p w14:paraId="0DB5F2DA" w14:textId="77777777" w:rsidR="00A81091" w:rsidRDefault="00A81091" w:rsidP="006B0980">
      <w:pPr>
        <w:pStyle w:val="BodyText"/>
      </w:pPr>
      <w:r>
        <w:t>Excel can be used to both understand how to extract information from an XBRL-based report or to build models that utilize XBRL-based information from reports.  Here are some examples that will help you learn to extract information from XBRL-based reports.</w:t>
      </w:r>
    </w:p>
    <w:p w14:paraId="18325051" w14:textId="77777777" w:rsidR="00A81091" w:rsidRDefault="00A81091" w:rsidP="006B0980">
      <w:pPr>
        <w:pStyle w:val="BodyText"/>
      </w:pPr>
      <w:r>
        <w:t>This ZIP file contains three Excel spreadsheets</w:t>
      </w:r>
      <w:r>
        <w:rPr>
          <w:rStyle w:val="FootnoteReference"/>
        </w:rPr>
        <w:footnoteReference w:id="2"/>
      </w:r>
      <w:r>
        <w:t>. We will walk you through extracting information from each of these three spreadsheets.  Note that all the spreadsheets are pre-populated but if you run the provided macro, the spreadsheet will repopulate.</w:t>
      </w:r>
    </w:p>
    <w:p w14:paraId="5D3FF2F7" w14:textId="77777777" w:rsidR="00A81091" w:rsidRDefault="00A81091" w:rsidP="006B0980">
      <w:pPr>
        <w:pStyle w:val="Heading3"/>
      </w:pPr>
      <w:r>
        <w:t>Extracting from one report at a time (</w:t>
      </w:r>
      <w:r w:rsidRPr="00B25525">
        <w:t>Extract_ONE_REPORT.xlsm</w:t>
      </w:r>
      <w:r>
        <w:t>)</w:t>
      </w:r>
    </w:p>
    <w:p w14:paraId="7958C8C4" w14:textId="77777777" w:rsidR="00A81091" w:rsidRDefault="00A81091" w:rsidP="006B0980">
      <w:pPr>
        <w:pStyle w:val="BodyText"/>
      </w:pPr>
      <w:r>
        <w:t>This Excel spreadsheet allows you to extract information from one XBRL-based report at a time and verify that the information is consistent with your expectation.  All you need to do is open the spreadsheet, press the button “Extract Information and Validate”, and the spreadsheet will populate with the information for the report you selected:</w:t>
      </w:r>
    </w:p>
    <w:p w14:paraId="5E1AFBA4" w14:textId="77777777" w:rsidR="00A81091" w:rsidRDefault="00A81091" w:rsidP="00B25525">
      <w:pPr>
        <w:pStyle w:val="BodyText"/>
        <w:jc w:val="center"/>
      </w:pPr>
      <w:r>
        <w:rPr>
          <w:noProof/>
        </w:rPr>
        <w:lastRenderedPageBreak/>
        <w:drawing>
          <wp:inline distT="0" distB="0" distL="0" distR="0" wp14:anchorId="7C242770" wp14:editId="1209F0D3">
            <wp:extent cx="3819525" cy="3792340"/>
            <wp:effectExtent l="0" t="0" r="0" b="0"/>
            <wp:docPr id="1073741826" name="Picture 107374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31546" cy="3804275"/>
                    </a:xfrm>
                    <a:prstGeom prst="rect">
                      <a:avLst/>
                    </a:prstGeom>
                    <a:noFill/>
                    <a:ln>
                      <a:noFill/>
                    </a:ln>
                  </pic:spPr>
                </pic:pic>
              </a:graphicData>
            </a:graphic>
          </wp:inline>
        </w:drawing>
      </w:r>
    </w:p>
    <w:p w14:paraId="4C34A6E8" w14:textId="77777777" w:rsidR="00A81091" w:rsidRDefault="00A81091" w:rsidP="006B0980">
      <w:pPr>
        <w:pStyle w:val="BodyText"/>
      </w:pPr>
      <w:r>
        <w:t>If you go to the workbook “</w:t>
      </w:r>
      <w:r w:rsidRPr="00B25525">
        <w:t>Sample XBRL Instances to Use</w:t>
      </w:r>
      <w:r>
        <w:t>” you can pick any one of 1642 XBRL instances to extract information from.  All should work because they are all of the same reporting style.  Notice the validation results section of the spreadsheet:</w:t>
      </w:r>
    </w:p>
    <w:p w14:paraId="1AF3F471" w14:textId="77777777" w:rsidR="00A81091" w:rsidRDefault="00A81091" w:rsidP="00B25525">
      <w:pPr>
        <w:pStyle w:val="BodyText"/>
        <w:jc w:val="center"/>
      </w:pPr>
      <w:r>
        <w:rPr>
          <w:noProof/>
        </w:rPr>
        <w:drawing>
          <wp:inline distT="0" distB="0" distL="0" distR="0" wp14:anchorId="22687FE2" wp14:editId="1DFEC18B">
            <wp:extent cx="3924300" cy="3474424"/>
            <wp:effectExtent l="0" t="0" r="0" b="0"/>
            <wp:docPr id="1073741827" name="Picture 107374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30949" cy="3480311"/>
                    </a:xfrm>
                    <a:prstGeom prst="rect">
                      <a:avLst/>
                    </a:prstGeom>
                    <a:noFill/>
                    <a:ln>
                      <a:noFill/>
                    </a:ln>
                  </pic:spPr>
                </pic:pic>
              </a:graphicData>
            </a:graphic>
          </wp:inline>
        </w:drawing>
      </w:r>
    </w:p>
    <w:p w14:paraId="1BF54495" w14:textId="77777777" w:rsidR="00A81091" w:rsidRDefault="00A81091" w:rsidP="006B0980">
      <w:pPr>
        <w:pStyle w:val="BodyText"/>
      </w:pPr>
      <w:r>
        <w:lastRenderedPageBreak/>
        <w:t>When you extract information and validate it, the application also creates a text file called “</w:t>
      </w:r>
      <w:r w:rsidRPr="00B25525">
        <w:t>LineOfReasoning.txt</w:t>
      </w:r>
      <w:r>
        <w:t>” and puts it as the same subdirectory as the Excel workbook.  That text file shows you the line of reasoning used to get information from the report.</w:t>
      </w:r>
    </w:p>
    <w:p w14:paraId="2B54BE14" w14:textId="77777777" w:rsidR="00A81091" w:rsidRDefault="00A81091" w:rsidP="00B25525">
      <w:pPr>
        <w:pStyle w:val="Heading3"/>
      </w:pPr>
      <w:r>
        <w:t>Extracting information from all reports for one entity (</w:t>
      </w:r>
      <w:r w:rsidRPr="00B25525">
        <w:t>Extract_ALL_REPORTS_Comparison.xlsm</w:t>
      </w:r>
      <w:r>
        <w:t>)</w:t>
      </w:r>
    </w:p>
    <w:p w14:paraId="6D0CD6B6" w14:textId="77777777" w:rsidR="00A81091" w:rsidRDefault="00A81091" w:rsidP="006B0980">
      <w:pPr>
        <w:pStyle w:val="BodyText"/>
      </w:pPr>
      <w:r>
        <w:t>This spreadsheet extracts information from all 41 reports submitted to the SEC by Microsoft.  A fragment of the results looks as follows:</w:t>
      </w:r>
    </w:p>
    <w:p w14:paraId="2095EEF8" w14:textId="77777777" w:rsidR="00A81091" w:rsidRPr="006B0980" w:rsidRDefault="00A81091" w:rsidP="006B0980">
      <w:pPr>
        <w:pStyle w:val="BodyText"/>
      </w:pPr>
      <w:r>
        <w:rPr>
          <w:noProof/>
        </w:rPr>
        <w:drawing>
          <wp:inline distT="0" distB="0" distL="0" distR="0" wp14:anchorId="5153AD10" wp14:editId="1223282A">
            <wp:extent cx="5486400" cy="1964055"/>
            <wp:effectExtent l="0" t="0" r="0" b="0"/>
            <wp:docPr id="1073741828" name="Picture 107374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86400" cy="1964055"/>
                    </a:xfrm>
                    <a:prstGeom prst="rect">
                      <a:avLst/>
                    </a:prstGeom>
                  </pic:spPr>
                </pic:pic>
              </a:graphicData>
            </a:graphic>
          </wp:inline>
        </w:drawing>
      </w:r>
    </w:p>
    <w:p w14:paraId="32FD5478" w14:textId="77777777" w:rsidR="00A81091" w:rsidRDefault="00A81091" w:rsidP="006B0980">
      <w:pPr>
        <w:pStyle w:val="BodyText"/>
      </w:pPr>
      <w:r>
        <w:t>When you press the button “Compare all in List Spreadsheet”, the application goes to the spreadsheet named “List”, gets each of the listed XBRL-based reports, and extracts specific information from each report.  The first and second spreadsheet essentially use the exact same algorithms for extracting information except the first works only for one report at a time, this spreadsheet extracts information from any list of reports.  However, the reports do need to have the same reporting style as is expected from the spreadsheet.</w:t>
      </w:r>
    </w:p>
    <w:p w14:paraId="3B9E5829" w14:textId="77777777" w:rsidR="00A81091" w:rsidRDefault="00A81091" w:rsidP="006B0980">
      <w:pPr>
        <w:pStyle w:val="BodyText"/>
      </w:pPr>
      <w:r>
        <w:t>Information is extracted or computed for 60 different high-level fundamental accounting concepts from the balance sheet, income statement, statement of comprehensive income, and cash flow statement.</w:t>
      </w:r>
    </w:p>
    <w:p w14:paraId="44A8EB32" w14:textId="77777777" w:rsidR="00A81091" w:rsidRDefault="00A81091" w:rsidP="008552AF">
      <w:pPr>
        <w:pStyle w:val="Heading3"/>
      </w:pPr>
      <w:r>
        <w:t>Extracting information from many reports for many entities (</w:t>
      </w:r>
      <w:r w:rsidRPr="008552AF">
        <w:t>Extract_ONE_REPORT_STYPE_1498_AllConsistent.xlsm</w:t>
      </w:r>
      <w:r>
        <w:t>)</w:t>
      </w:r>
    </w:p>
    <w:p w14:paraId="1F53AFE3" w14:textId="77777777" w:rsidR="00A81091" w:rsidRDefault="00A81091" w:rsidP="006B0980">
      <w:pPr>
        <w:pStyle w:val="BodyText"/>
      </w:pPr>
      <w:r>
        <w:t>The next spreadsheet works similar to the first two.  However, this spreadsheet contains a list of 1498 entities and it will extract information from each of those reports.  The results look similar to the second:</w:t>
      </w:r>
    </w:p>
    <w:p w14:paraId="688F5F52" w14:textId="77777777" w:rsidR="00A81091" w:rsidRDefault="00A81091" w:rsidP="006B0980">
      <w:pPr>
        <w:pStyle w:val="BodyText"/>
      </w:pPr>
      <w:r>
        <w:rPr>
          <w:noProof/>
        </w:rPr>
        <w:lastRenderedPageBreak/>
        <w:drawing>
          <wp:inline distT="0" distB="0" distL="0" distR="0" wp14:anchorId="69C89591" wp14:editId="4F1ED25D">
            <wp:extent cx="5486400" cy="2538730"/>
            <wp:effectExtent l="0" t="0" r="0" b="0"/>
            <wp:docPr id="1073741829" name="Picture 107374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2538730"/>
                    </a:xfrm>
                    <a:prstGeom prst="rect">
                      <a:avLst/>
                    </a:prstGeom>
                    <a:noFill/>
                    <a:ln>
                      <a:noFill/>
                    </a:ln>
                  </pic:spPr>
                </pic:pic>
              </a:graphicData>
            </a:graphic>
          </wp:inline>
        </w:drawing>
      </w:r>
    </w:p>
    <w:p w14:paraId="5F48AE0B" w14:textId="77777777" w:rsidR="00A81091" w:rsidRDefault="00A81091" w:rsidP="001F75F0">
      <w:pPr>
        <w:pStyle w:val="Heading2"/>
      </w:pPr>
      <w:r>
        <w:t>Extracting Information from 68% of Reports Using Excel</w:t>
      </w:r>
    </w:p>
    <w:p w14:paraId="0249D35C" w14:textId="77777777" w:rsidR="00A81091" w:rsidRDefault="00A81091" w:rsidP="001F75F0">
      <w:pPr>
        <w:pStyle w:val="BodyText"/>
      </w:pPr>
      <w:r>
        <w:t>I did an information extraction experiment</w:t>
      </w:r>
      <w:r>
        <w:rPr>
          <w:rStyle w:val="FootnoteReference"/>
        </w:rPr>
        <w:footnoteReference w:id="3"/>
      </w:r>
      <w:r>
        <w:t>.  For the experiment, I created 13 Excel spreadsheets similar to the last extraction example above.  Those 13 Excel spreadsheets cover reports that use 13 different reporting styles where 100% of the rules were satisfied (i.e. there are no inconsistencies).  That added up to 4,060 company XBRL-based reports, about 68% of all reports.</w:t>
      </w:r>
    </w:p>
    <w:p w14:paraId="653E3175" w14:textId="77777777" w:rsidR="00A81091" w:rsidRDefault="00A81091" w:rsidP="001F75F0">
      <w:pPr>
        <w:pStyle w:val="BodyText"/>
      </w:pPr>
      <w:r>
        <w:t>The Excel spreadsheets all look similar to and work similar to the three prior examples in the previous section.</w:t>
      </w:r>
    </w:p>
    <w:p w14:paraId="1DFC48D3" w14:textId="77777777" w:rsidR="00A81091" w:rsidRDefault="00A81091" w:rsidP="001F75F0">
      <w:pPr>
        <w:pStyle w:val="BodyText"/>
      </w:pPr>
      <w:r>
        <w:t>This is what they look like:</w:t>
      </w:r>
    </w:p>
    <w:p w14:paraId="72827FAC" w14:textId="77777777" w:rsidR="00A81091" w:rsidRDefault="00A81091" w:rsidP="001160C7">
      <w:pPr>
        <w:pStyle w:val="BodyText"/>
      </w:pPr>
      <w:r>
        <w:rPr>
          <w:noProof/>
        </w:rPr>
        <w:drawing>
          <wp:inline distT="0" distB="0" distL="0" distR="0" wp14:anchorId="6C7908D5" wp14:editId="7A54C56B">
            <wp:extent cx="5486400" cy="1978660"/>
            <wp:effectExtent l="0" t="0" r="0" b="2540"/>
            <wp:docPr id="1073741830" name="Picture 107374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1978660"/>
                    </a:xfrm>
                    <a:prstGeom prst="rect">
                      <a:avLst/>
                    </a:prstGeom>
                    <a:noFill/>
                    <a:ln>
                      <a:noFill/>
                    </a:ln>
                  </pic:spPr>
                </pic:pic>
              </a:graphicData>
            </a:graphic>
          </wp:inline>
        </w:drawing>
      </w:r>
    </w:p>
    <w:p w14:paraId="1368CC18" w14:textId="77777777" w:rsidR="00A81091" w:rsidRDefault="00A81091" w:rsidP="001160C7">
      <w:pPr>
        <w:pStyle w:val="BodyText"/>
      </w:pPr>
      <w:r>
        <w:t>Again, all the spreadsheets can be re-run and you will get the same results that I got when I ran the VBA macros for extracting information.</w:t>
      </w:r>
    </w:p>
    <w:p w14:paraId="366A69B2" w14:textId="77777777" w:rsidR="00A81091" w:rsidRDefault="00A81091" w:rsidP="001160C7">
      <w:pPr>
        <w:pStyle w:val="BodyText"/>
      </w:pPr>
      <w:r>
        <w:t>If you understand VBA, you can reverse-engineer the Excel spreadsheet and understand how it works.  The starting point can be found by right clicking on the button, going to the “Assign Macro” property, and then clicking on “Edit”.  This is the starting point of the Excel VBA algorithms.</w:t>
      </w:r>
    </w:p>
    <w:p w14:paraId="2B659540" w14:textId="77777777" w:rsidR="00A81091" w:rsidRDefault="00A81091" w:rsidP="001160C7">
      <w:pPr>
        <w:pStyle w:val="BodyText"/>
      </w:pPr>
      <w:r>
        <w:rPr>
          <w:noProof/>
        </w:rPr>
        <w:lastRenderedPageBreak/>
        <w:drawing>
          <wp:inline distT="0" distB="0" distL="0" distR="0" wp14:anchorId="21268565" wp14:editId="5DD84057">
            <wp:extent cx="5486400" cy="2486025"/>
            <wp:effectExtent l="0" t="0" r="0" b="9525"/>
            <wp:docPr id="1073741831" name="Picture 107374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2486025"/>
                    </a:xfrm>
                    <a:prstGeom prst="rect">
                      <a:avLst/>
                    </a:prstGeom>
                    <a:noFill/>
                    <a:ln>
                      <a:noFill/>
                    </a:ln>
                  </pic:spPr>
                </pic:pic>
              </a:graphicData>
            </a:graphic>
          </wp:inline>
        </w:drawing>
      </w:r>
    </w:p>
    <w:p w14:paraId="731B8BF1" w14:textId="77777777" w:rsidR="00A81091" w:rsidRDefault="00A81091" w:rsidP="001160C7">
      <w:pPr>
        <w:pStyle w:val="BodyText"/>
      </w:pPr>
      <w:r>
        <w:t xml:space="preserve">Remember, this is not intended to be an example of excellent programming techniques, it is simply to point out the steps.  Also, note that the business rules are hard-coded into Excel.  That is clearly not the way to go, rather </w:t>
      </w:r>
      <w:proofErr w:type="gramStart"/>
      <w:r>
        <w:t>machine readable</w:t>
      </w:r>
      <w:proofErr w:type="gramEnd"/>
      <w:r>
        <w:t xml:space="preserve"> rules should be used</w:t>
      </w:r>
      <w:r>
        <w:rPr>
          <w:rStyle w:val="FootnoteReference"/>
        </w:rPr>
        <w:footnoteReference w:id="4"/>
      </w:r>
      <w:r>
        <w:t>.</w:t>
      </w:r>
    </w:p>
    <w:p w14:paraId="02D498A3" w14:textId="77777777" w:rsidR="00A81091" w:rsidRDefault="00A81091" w:rsidP="001160C7">
      <w:pPr>
        <w:pStyle w:val="Heading2"/>
      </w:pPr>
      <w:r>
        <w:t>Query language</w:t>
      </w:r>
    </w:p>
    <w:p w14:paraId="30F050E6" w14:textId="77777777" w:rsidR="00A81091" w:rsidRDefault="00A81091" w:rsidP="001160C7">
      <w:pPr>
        <w:pStyle w:val="BodyText"/>
      </w:pPr>
      <w:r>
        <w:t>As you use the example queries provided in this section, have a look at the syntax of the URLs that are used to execute the queries</w:t>
      </w:r>
      <w:r>
        <w:rPr>
          <w:rStyle w:val="FootnoteReference"/>
        </w:rPr>
        <w:footnoteReference w:id="5"/>
      </w:r>
      <w:r>
        <w:t>.</w:t>
      </w:r>
    </w:p>
    <w:p w14:paraId="0E5C5D6E" w14:textId="77777777" w:rsidR="00A81091" w:rsidRDefault="00A81091" w:rsidP="00A208A4">
      <w:pPr>
        <w:pStyle w:val="Heading2"/>
      </w:pPr>
      <w:r>
        <w:t xml:space="preserve">SECXBRL.info (Note that this is no longer available) </w:t>
      </w:r>
    </w:p>
    <w:p w14:paraId="0878EF39" w14:textId="77777777" w:rsidR="00A81091" w:rsidRDefault="00A81091" w:rsidP="00A208A4">
      <w:pPr>
        <w:pStyle w:val="BodyText"/>
      </w:pPr>
      <w:r>
        <w:t>28msec created and made available a free database of public company financial information.  You can find that database at the following URL:</w:t>
      </w:r>
    </w:p>
    <w:p w14:paraId="227E2245" w14:textId="77777777" w:rsidR="00A81091" w:rsidRDefault="002422AC" w:rsidP="00A208A4">
      <w:pPr>
        <w:pStyle w:val="BodyText"/>
        <w:rPr>
          <w:lang w:val="en-GB"/>
        </w:rPr>
      </w:pPr>
      <w:hyperlink r:id="rId15" w:history="1">
        <w:r w:rsidR="00A81091" w:rsidRPr="00AD4143">
          <w:rPr>
            <w:rStyle w:val="Hyperlink"/>
          </w:rPr>
          <w:t>http://app.secxbrl.info/</w:t>
        </w:r>
      </w:hyperlink>
      <w:r w:rsidR="00A81091">
        <w:t xml:space="preserve"> </w:t>
      </w:r>
    </w:p>
    <w:p w14:paraId="5BF56C42" w14:textId="77777777" w:rsidR="00A81091" w:rsidRDefault="00A81091" w:rsidP="00A208A4">
      <w:pPr>
        <w:pStyle w:val="BodyText"/>
        <w:jc w:val="center"/>
        <w:rPr>
          <w:lang w:val="en-GB"/>
        </w:rPr>
      </w:pPr>
      <w:r>
        <w:rPr>
          <w:noProof/>
        </w:rPr>
        <w:lastRenderedPageBreak/>
        <w:drawing>
          <wp:inline distT="0" distB="0" distL="0" distR="0" wp14:anchorId="4C2942D7" wp14:editId="65F607E5">
            <wp:extent cx="5471770" cy="3995641"/>
            <wp:effectExtent l="0" t="0" r="0" b="5080"/>
            <wp:docPr id="1073741832" name="Picture 1073741832" descr="C:\Users\Charlie\AppData\Local\Temp\SNAGHTML92c05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92c051e.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1199" cy="4002526"/>
                    </a:xfrm>
                    <a:prstGeom prst="rect">
                      <a:avLst/>
                    </a:prstGeom>
                    <a:noFill/>
                    <a:ln>
                      <a:noFill/>
                    </a:ln>
                  </pic:spPr>
                </pic:pic>
              </a:graphicData>
            </a:graphic>
          </wp:inline>
        </w:drawing>
      </w:r>
    </w:p>
    <w:p w14:paraId="71470CD8" w14:textId="77777777" w:rsidR="00A81091" w:rsidRDefault="00A81091" w:rsidP="00A208A4">
      <w:pPr>
        <w:pStyle w:val="BodyText"/>
        <w:rPr>
          <w:lang w:val="en-GB"/>
        </w:rPr>
      </w:pPr>
      <w:r>
        <w:rPr>
          <w:lang w:val="en-GB"/>
        </w:rPr>
        <w:t>There is no need to sign up or sign in.  Also, realize that while I will be walking you through examples provided as HTML pages on this information repository web site, the same information that I am showing you can also be retrieved as a web service that returns XML, JSON, CSV, or Excel formatted information.</w:t>
      </w:r>
    </w:p>
    <w:p w14:paraId="4DC4B7C0" w14:textId="77777777" w:rsidR="00A81091" w:rsidRDefault="00A81091" w:rsidP="00A208A4">
      <w:pPr>
        <w:pStyle w:val="BodyText"/>
        <w:rPr>
          <w:lang w:val="en-GB"/>
        </w:rPr>
      </w:pPr>
      <w:r>
        <w:rPr>
          <w:lang w:val="en-GB"/>
        </w:rPr>
        <w:t>This ZIP archive contains an Excel workbook application that has a bunch of sample queries which populate Excel spreadsheets:</w:t>
      </w:r>
    </w:p>
    <w:p w14:paraId="0ECA0F34" w14:textId="77777777" w:rsidR="00A81091" w:rsidRDefault="002422AC" w:rsidP="00A208A4">
      <w:pPr>
        <w:pStyle w:val="BodyText"/>
        <w:rPr>
          <w:sz w:val="18"/>
          <w:lang w:val="en-GB"/>
        </w:rPr>
      </w:pPr>
      <w:hyperlink r:id="rId17" w:history="1">
        <w:r w:rsidR="00A81091" w:rsidRPr="003268D6">
          <w:rPr>
            <w:rStyle w:val="Hyperlink"/>
            <w:sz w:val="18"/>
            <w:lang w:val="en-GB"/>
          </w:rPr>
          <w:t>http://www.xbrlsite.azurewebsites.net/2016/Library/SECXBRL-2016-12-31_BasicExamples.zip</w:t>
        </w:r>
      </w:hyperlink>
    </w:p>
    <w:p w14:paraId="78B5F82F" w14:textId="77777777" w:rsidR="00A81091" w:rsidRDefault="00A81091" w:rsidP="00A208A4">
      <w:pPr>
        <w:pStyle w:val="BodyText"/>
        <w:rPr>
          <w:sz w:val="18"/>
          <w:lang w:val="en-GB"/>
        </w:rPr>
      </w:pPr>
      <w:r>
        <w:rPr>
          <w:sz w:val="18"/>
          <w:lang w:val="en-GB"/>
        </w:rPr>
        <w:t>This reference material is helpful in creating queries:</w:t>
      </w:r>
    </w:p>
    <w:p w14:paraId="77FF090C" w14:textId="77777777" w:rsidR="00A81091" w:rsidRPr="003268D6" w:rsidRDefault="002422AC" w:rsidP="00A208A4">
      <w:pPr>
        <w:pStyle w:val="BodyText"/>
        <w:rPr>
          <w:sz w:val="18"/>
          <w:lang w:val="en-GB"/>
        </w:rPr>
      </w:pPr>
      <w:hyperlink r:id="rId18" w:history="1">
        <w:r w:rsidR="00A81091" w:rsidRPr="00AD4143">
          <w:rPr>
            <w:rStyle w:val="Hyperlink"/>
            <w:sz w:val="18"/>
            <w:lang w:val="en-GB"/>
          </w:rPr>
          <w:t>http://28msec.github.io/cellstore-pro/api-ref-queries.html</w:t>
        </w:r>
      </w:hyperlink>
      <w:r w:rsidR="00A81091">
        <w:rPr>
          <w:sz w:val="18"/>
          <w:lang w:val="en-GB"/>
        </w:rPr>
        <w:t xml:space="preserve"> </w:t>
      </w:r>
      <w:r w:rsidR="00A81091" w:rsidRPr="003268D6">
        <w:rPr>
          <w:sz w:val="18"/>
          <w:lang w:val="en-GB"/>
        </w:rPr>
        <w:t xml:space="preserve"> </w:t>
      </w:r>
    </w:p>
    <w:p w14:paraId="0E0B19CF" w14:textId="77777777" w:rsidR="00A81091" w:rsidRDefault="00A81091">
      <w:pPr>
        <w:rPr>
          <w:rFonts w:ascii="Arial" w:hAnsi="Arial" w:cs="Arial"/>
          <w:b/>
          <w:bCs/>
          <w:i/>
          <w:szCs w:val="26"/>
          <w:lang w:val="en-GB"/>
        </w:rPr>
      </w:pPr>
    </w:p>
    <w:p w14:paraId="5AE9C4D5" w14:textId="77777777" w:rsidR="00A81091" w:rsidRDefault="00A81091" w:rsidP="0096218E">
      <w:pPr>
        <w:pStyle w:val="Heading3"/>
      </w:pPr>
      <w:r>
        <w:t>List of entities</w:t>
      </w:r>
    </w:p>
    <w:p w14:paraId="553106C7" w14:textId="77777777" w:rsidR="00A81091" w:rsidRDefault="00A81091" w:rsidP="00DA09E1">
      <w:pPr>
        <w:pStyle w:val="BodyText"/>
      </w:pPr>
      <w:r>
        <w:t>If you simply click on the “Browse DOW 30” button on the top of the screen above or if you paste the URL below into your browser, you will get a list of the companies that make up the DOW 30:</w:t>
      </w:r>
    </w:p>
    <w:p w14:paraId="54DDF39B" w14:textId="77777777" w:rsidR="00A81091" w:rsidRDefault="002422AC" w:rsidP="00DA09E1">
      <w:pPr>
        <w:pStyle w:val="BodyText"/>
      </w:pPr>
      <w:hyperlink r:id="rId19" w:history="1">
        <w:r w:rsidR="00A81091" w:rsidRPr="00AD4143">
          <w:rPr>
            <w:rStyle w:val="Hyperlink"/>
          </w:rPr>
          <w:t>http://secxbrl.28.io/v1/_queries/public/api/entities.jq?token=c3049752-4d35-43da-82a2-f89f1b06f7a4&amp;format=html&amp;tag=DOW30</w:t>
        </w:r>
      </w:hyperlink>
      <w:r w:rsidR="00A81091">
        <w:t xml:space="preserve"> </w:t>
      </w:r>
    </w:p>
    <w:p w14:paraId="61D7700D" w14:textId="77777777" w:rsidR="00A81091" w:rsidRDefault="00A81091" w:rsidP="00DA09E1">
      <w:pPr>
        <w:pStyle w:val="BodyText"/>
        <w:jc w:val="center"/>
      </w:pPr>
      <w:r>
        <w:rPr>
          <w:noProof/>
        </w:rPr>
        <w:lastRenderedPageBreak/>
        <w:drawing>
          <wp:inline distT="0" distB="0" distL="0" distR="0" wp14:anchorId="2A99DB92" wp14:editId="6B8941C9">
            <wp:extent cx="5471770" cy="3995642"/>
            <wp:effectExtent l="0" t="0" r="0" b="5080"/>
            <wp:docPr id="1073741833" name="Picture 1073741833" descr="C:\Users\Charlie\AppData\Local\Temp\SNAGHTML93226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9322654.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77171" cy="3999586"/>
                    </a:xfrm>
                    <a:prstGeom prst="rect">
                      <a:avLst/>
                    </a:prstGeom>
                    <a:noFill/>
                    <a:ln>
                      <a:noFill/>
                    </a:ln>
                  </pic:spPr>
                </pic:pic>
              </a:graphicData>
            </a:graphic>
          </wp:inline>
        </w:drawing>
      </w:r>
    </w:p>
    <w:p w14:paraId="20F28E66" w14:textId="77777777" w:rsidR="00A81091" w:rsidRDefault="00A81091" w:rsidP="00BF16B2">
      <w:pPr>
        <w:pStyle w:val="BodyText"/>
        <w:rPr>
          <w:lang w:val="en-GB"/>
        </w:rPr>
      </w:pPr>
      <w:r>
        <w:rPr>
          <w:lang w:val="en-GB"/>
        </w:rPr>
        <w:t>If you simply change “format=html” to “format=xml”, XML is returned by the database rather than a formatted HTML page:</w:t>
      </w:r>
    </w:p>
    <w:p w14:paraId="144D9335" w14:textId="77777777" w:rsidR="00A81091" w:rsidRDefault="00A81091" w:rsidP="00DA09E1">
      <w:pPr>
        <w:pStyle w:val="BodyText"/>
        <w:jc w:val="center"/>
        <w:rPr>
          <w:lang w:val="en-GB"/>
        </w:rPr>
      </w:pPr>
      <w:r>
        <w:rPr>
          <w:noProof/>
        </w:rPr>
        <w:drawing>
          <wp:inline distT="0" distB="0" distL="0" distR="0" wp14:anchorId="0BAD9C61" wp14:editId="1E54FF7F">
            <wp:extent cx="3123590" cy="2287605"/>
            <wp:effectExtent l="0" t="0" r="0" b="0"/>
            <wp:docPr id="1073741834" name="Picture 1073741834" descr="C:\Users\Charlie\AppData\Local\Temp\SNAGHTML933e1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arlie\AppData\Local\Temp\SNAGHTML933e13a.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7490" cy="2290462"/>
                    </a:xfrm>
                    <a:prstGeom prst="rect">
                      <a:avLst/>
                    </a:prstGeom>
                    <a:noFill/>
                    <a:ln>
                      <a:noFill/>
                    </a:ln>
                  </pic:spPr>
                </pic:pic>
              </a:graphicData>
            </a:graphic>
          </wp:inline>
        </w:drawing>
      </w:r>
    </w:p>
    <w:p w14:paraId="7F151BE9" w14:textId="77777777" w:rsidR="00A81091" w:rsidRDefault="00A81091" w:rsidP="0096218E">
      <w:pPr>
        <w:pStyle w:val="Heading3"/>
      </w:pPr>
      <w:r>
        <w:t>List of reports for an entity</w:t>
      </w:r>
    </w:p>
    <w:p w14:paraId="67DCBAAB" w14:textId="77777777" w:rsidR="00A81091" w:rsidRDefault="00A81091" w:rsidP="00DA09E1">
      <w:pPr>
        <w:pStyle w:val="BodyText"/>
      </w:pPr>
      <w:r>
        <w:t>If you click on the “Archives” column on the far left “Link” or use the URL below, you can get a list of reports that were submitted to the SEC by the entity:</w:t>
      </w:r>
    </w:p>
    <w:p w14:paraId="19F22A3C" w14:textId="77777777" w:rsidR="00A81091" w:rsidRPr="00DA09E1" w:rsidRDefault="002422AC" w:rsidP="00DA09E1">
      <w:pPr>
        <w:pStyle w:val="BodyText"/>
        <w:rPr>
          <w:sz w:val="14"/>
        </w:rPr>
      </w:pPr>
      <w:hyperlink r:id="rId22" w:history="1">
        <w:r w:rsidR="00A81091" w:rsidRPr="00DA09E1">
          <w:rPr>
            <w:rStyle w:val="Hyperlink"/>
            <w:sz w:val="14"/>
          </w:rPr>
          <w:t>http://secxbrl.28.io/v1/_queries/public/api/archives?token=c3049752-4d35-43da-82a2-f89f1b06f7a4&amp;eid=http%3A%2F%2Fwww.sec.gov%2FCIK%200000066740&amp;format=html&amp;profile-name=sec&amp;language=en-US&amp;archiveFiscalYear=ALL&amp;archiveFiscalPeriod=ALL</w:t>
        </w:r>
      </w:hyperlink>
      <w:r w:rsidR="00A81091" w:rsidRPr="00DA09E1">
        <w:rPr>
          <w:sz w:val="14"/>
        </w:rPr>
        <w:t xml:space="preserve"> </w:t>
      </w:r>
    </w:p>
    <w:p w14:paraId="7A4AF9CA" w14:textId="77777777" w:rsidR="00A81091" w:rsidRDefault="00A81091" w:rsidP="00DA09E1">
      <w:pPr>
        <w:pStyle w:val="BodyText"/>
        <w:jc w:val="center"/>
        <w:rPr>
          <w:lang w:val="en-GB"/>
        </w:rPr>
      </w:pPr>
      <w:r>
        <w:rPr>
          <w:noProof/>
        </w:rPr>
        <w:lastRenderedPageBreak/>
        <w:drawing>
          <wp:inline distT="0" distB="0" distL="0" distR="0" wp14:anchorId="3DDA5ED6" wp14:editId="7D751E51">
            <wp:extent cx="5435193" cy="3968933"/>
            <wp:effectExtent l="0" t="0" r="0" b="0"/>
            <wp:docPr id="1073741835" name="Picture 1073741835" descr="C:\Users\Charlie\AppData\Local\Temp\SNAGHTML9375c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harlie\AppData\Local\Temp\SNAGHTML9375ccf.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37663" cy="3970737"/>
                    </a:xfrm>
                    <a:prstGeom prst="rect">
                      <a:avLst/>
                    </a:prstGeom>
                    <a:noFill/>
                    <a:ln>
                      <a:noFill/>
                    </a:ln>
                  </pic:spPr>
                </pic:pic>
              </a:graphicData>
            </a:graphic>
          </wp:inline>
        </w:drawing>
      </w:r>
    </w:p>
    <w:p w14:paraId="295DAADA" w14:textId="77777777" w:rsidR="00A81091" w:rsidRDefault="00A81091">
      <w:pPr>
        <w:rPr>
          <w:rFonts w:ascii="Arial" w:hAnsi="Arial" w:cs="Arial"/>
          <w:b/>
          <w:bCs/>
          <w:i/>
          <w:szCs w:val="26"/>
          <w:lang w:val="en-GB"/>
        </w:rPr>
      </w:pPr>
      <w:r>
        <w:br w:type="page"/>
      </w:r>
    </w:p>
    <w:p w14:paraId="09703967" w14:textId="77777777" w:rsidR="00A81091" w:rsidRDefault="00A81091" w:rsidP="0096218E">
      <w:pPr>
        <w:pStyle w:val="Heading3"/>
      </w:pPr>
      <w:r>
        <w:lastRenderedPageBreak/>
        <w:t>List of reports for an entity</w:t>
      </w:r>
    </w:p>
    <w:p w14:paraId="3156CD7B" w14:textId="77777777" w:rsidR="00A81091" w:rsidRDefault="00A81091" w:rsidP="00BF16B2">
      <w:pPr>
        <w:pStyle w:val="BodyText"/>
        <w:rPr>
          <w:lang w:val="en-GB"/>
        </w:rPr>
      </w:pPr>
      <w:r>
        <w:rPr>
          <w:lang w:val="en-GB"/>
        </w:rPr>
        <w:t>If you click on the “Components” column the “Link” will provide you with a list of components within the report, or you can use the URL below:</w:t>
      </w:r>
    </w:p>
    <w:p w14:paraId="6A15AFD6" w14:textId="77777777" w:rsidR="00A81091" w:rsidRDefault="002422AC" w:rsidP="00BF16B2">
      <w:pPr>
        <w:pStyle w:val="BodyText"/>
        <w:rPr>
          <w:sz w:val="14"/>
          <w:lang w:val="en-GB"/>
        </w:rPr>
      </w:pPr>
      <w:hyperlink r:id="rId24" w:history="1">
        <w:r w:rsidR="00A81091" w:rsidRPr="005F25D4">
          <w:rPr>
            <w:rStyle w:val="Hyperlink"/>
            <w:sz w:val="14"/>
            <w:lang w:val="en-GB"/>
          </w:rPr>
          <w:t>http://secxbrl.28.io/v1/_queries/public/api/components?token=c3049752-4d35-43da-82a2-f89f1b06f7a4&amp;aid=0001558370-16-007105&amp;format=html&amp;profile-name=sec&amp;validate=true&amp;language=en-US</w:t>
        </w:r>
      </w:hyperlink>
    </w:p>
    <w:p w14:paraId="5D07A1DF" w14:textId="77777777" w:rsidR="00A81091" w:rsidRPr="005F25D4" w:rsidRDefault="00A81091" w:rsidP="005F25D4">
      <w:pPr>
        <w:pStyle w:val="BodyText"/>
        <w:jc w:val="center"/>
        <w:rPr>
          <w:sz w:val="14"/>
          <w:lang w:val="en-GB"/>
        </w:rPr>
      </w:pPr>
      <w:r>
        <w:rPr>
          <w:noProof/>
        </w:rPr>
        <w:drawing>
          <wp:inline distT="0" distB="0" distL="0" distR="0" wp14:anchorId="1118FCD2" wp14:editId="06A7AD47">
            <wp:extent cx="5442509" cy="3974273"/>
            <wp:effectExtent l="0" t="0" r="6350" b="7620"/>
            <wp:docPr id="1073741837" name="Picture 1073741837" descr="C:\Users\Charlie\AppData\Local\Temp\SNAGHTML939a4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harlie\AppData\Local\Temp\SNAGHTML939a43a.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55453" cy="3983725"/>
                    </a:xfrm>
                    <a:prstGeom prst="rect">
                      <a:avLst/>
                    </a:prstGeom>
                    <a:noFill/>
                    <a:ln>
                      <a:noFill/>
                    </a:ln>
                  </pic:spPr>
                </pic:pic>
              </a:graphicData>
            </a:graphic>
          </wp:inline>
        </w:drawing>
      </w:r>
    </w:p>
    <w:p w14:paraId="08D9CEE4" w14:textId="77777777" w:rsidR="00A81091" w:rsidRDefault="00A81091">
      <w:pPr>
        <w:rPr>
          <w:rFonts w:ascii="Arial" w:hAnsi="Arial" w:cs="Arial"/>
          <w:b/>
          <w:bCs/>
          <w:i/>
          <w:szCs w:val="26"/>
          <w:lang w:val="en-GB"/>
        </w:rPr>
      </w:pPr>
      <w:r>
        <w:br w:type="page"/>
      </w:r>
    </w:p>
    <w:p w14:paraId="26E2C35E" w14:textId="77777777" w:rsidR="00A81091" w:rsidRDefault="00A81091" w:rsidP="0096218E">
      <w:pPr>
        <w:pStyle w:val="Heading3"/>
      </w:pPr>
      <w:r>
        <w:lastRenderedPageBreak/>
        <w:t>Rendering of a component</w:t>
      </w:r>
    </w:p>
    <w:p w14:paraId="646DAC03" w14:textId="77777777" w:rsidR="00A81091" w:rsidRDefault="00A81091" w:rsidP="005F25D4">
      <w:pPr>
        <w:pStyle w:val="BodyText"/>
        <w:rPr>
          <w:lang w:val="en-GB"/>
        </w:rPr>
      </w:pPr>
      <w:r>
        <w:rPr>
          <w:lang w:val="en-GB"/>
        </w:rPr>
        <w:t>If you click on the “Spreadsheet” column the “Link” will provide you a rendering of the report component which you selected, or again you can use the URL below:</w:t>
      </w:r>
    </w:p>
    <w:p w14:paraId="5E6CD823" w14:textId="77777777" w:rsidR="00A81091" w:rsidRPr="005F25D4" w:rsidRDefault="002422AC" w:rsidP="005F25D4">
      <w:pPr>
        <w:pStyle w:val="BodyText"/>
        <w:rPr>
          <w:sz w:val="14"/>
          <w:lang w:val="en-GB"/>
        </w:rPr>
      </w:pPr>
      <w:hyperlink r:id="rId26" w:history="1">
        <w:r w:rsidR="00A81091" w:rsidRPr="005F25D4">
          <w:rPr>
            <w:rStyle w:val="Hyperlink"/>
            <w:sz w:val="14"/>
            <w:lang w:val="en-GB"/>
          </w:rPr>
          <w:t>http://secxbrl.28.io/v1/_queries/public/api/spreadsheet-for-component?token=c3049752-4d35-43da-82a2-f89f1b06f7a4&amp;aid=0001558370-16-007105&amp;format=html&amp;section=http%3A%2F%2Fwww.mmm.com%2Frole%2FStatementConsolidatedStatementOfIncome&amp;hypercube=xbrl28%3AImpliedTable&amp;profile-name=sec&amp;eliminate=true&amp;validate=true&amp;language=en-US</w:t>
        </w:r>
      </w:hyperlink>
      <w:r w:rsidR="00A81091" w:rsidRPr="005F25D4">
        <w:rPr>
          <w:sz w:val="14"/>
          <w:lang w:val="en-GB"/>
        </w:rPr>
        <w:t xml:space="preserve"> </w:t>
      </w:r>
    </w:p>
    <w:p w14:paraId="10ACA9E2" w14:textId="77777777" w:rsidR="00A81091" w:rsidRDefault="00A81091" w:rsidP="00BF16B2">
      <w:pPr>
        <w:pStyle w:val="BodyText"/>
        <w:rPr>
          <w:lang w:val="en-GB"/>
        </w:rPr>
      </w:pPr>
      <w:r>
        <w:rPr>
          <w:noProof/>
        </w:rPr>
        <w:drawing>
          <wp:inline distT="0" distB="0" distL="0" distR="0" wp14:anchorId="69AF3DFA" wp14:editId="02E9A113">
            <wp:extent cx="5486400" cy="5049631"/>
            <wp:effectExtent l="0" t="0" r="0" b="0"/>
            <wp:docPr id="1073741838" name="Picture 1073741838" descr="C:\Users\Charlie\AppData\Local\Temp\SNAGHTML93b89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harlie\AppData\Local\Temp\SNAGHTML93b8999.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86400" cy="5049631"/>
                    </a:xfrm>
                    <a:prstGeom prst="rect">
                      <a:avLst/>
                    </a:prstGeom>
                    <a:noFill/>
                    <a:ln>
                      <a:noFill/>
                    </a:ln>
                  </pic:spPr>
                </pic:pic>
              </a:graphicData>
            </a:graphic>
          </wp:inline>
        </w:drawing>
      </w:r>
    </w:p>
    <w:p w14:paraId="4AFDFD8C" w14:textId="77777777" w:rsidR="00A81091" w:rsidRDefault="00A81091" w:rsidP="00BF16B2">
      <w:pPr>
        <w:pStyle w:val="BodyText"/>
        <w:rPr>
          <w:lang w:val="en-GB"/>
        </w:rPr>
      </w:pPr>
    </w:p>
    <w:p w14:paraId="0CF4B16A" w14:textId="77777777" w:rsidR="00A81091" w:rsidRDefault="00A81091">
      <w:pPr>
        <w:rPr>
          <w:rFonts w:ascii="Arial" w:hAnsi="Arial" w:cs="Arial"/>
          <w:b/>
          <w:bCs/>
          <w:i/>
          <w:iCs/>
          <w:sz w:val="28"/>
          <w:szCs w:val="28"/>
        </w:rPr>
      </w:pPr>
      <w:r>
        <w:br w:type="page"/>
      </w:r>
    </w:p>
    <w:p w14:paraId="2246E2E9" w14:textId="77777777" w:rsidR="00A81091" w:rsidRDefault="00A81091" w:rsidP="0096218E">
      <w:pPr>
        <w:pStyle w:val="Heading3"/>
      </w:pPr>
      <w:r>
        <w:lastRenderedPageBreak/>
        <w:t>Normalized comparison of information for entity across periods</w:t>
      </w:r>
    </w:p>
    <w:p w14:paraId="147BCF5A" w14:textId="77777777" w:rsidR="00A81091" w:rsidRDefault="00A81091" w:rsidP="005F25D4">
      <w:pPr>
        <w:pStyle w:val="BodyText"/>
      </w:pPr>
      <w:r>
        <w:t>Using the query string below you can do a normalized comparison of information for an entity across multiple periods:</w:t>
      </w:r>
    </w:p>
    <w:p w14:paraId="6CCE66D7" w14:textId="77777777" w:rsidR="00A81091" w:rsidRPr="005F25D4" w:rsidRDefault="002422AC" w:rsidP="005F25D4">
      <w:pPr>
        <w:pStyle w:val="BodyText"/>
      </w:pPr>
      <w:hyperlink r:id="rId28" w:history="1">
        <w:r w:rsidR="00A81091" w:rsidRPr="00AD4143">
          <w:rPr>
            <w:rStyle w:val="Hyperlink"/>
            <w:sz w:val="16"/>
          </w:rPr>
          <w:t>http://secxbrl.28.io/v1/_queries/public/api/spreadsheet-for-report.jq?token=c3049752-4d35-43da-82a2-f89f1b06f7a4&amp;report=IncomeStatementSingleStep_Special2&amp;fiscalYear=2015&amp;fiscalYear=2014&amp;fiscalYear=2013&amp;fiscalYear=2012&amp;fiscalYear=2011&amp;fiscalPeriod=FY&amp;validate=true&amp;format-indent=yes&amp;labels=false&amp;format=html&amp;cik=0000066740</w:t>
        </w:r>
      </w:hyperlink>
      <w:r w:rsidR="00A81091">
        <w:rPr>
          <w:sz w:val="16"/>
        </w:rPr>
        <w:t xml:space="preserve"> </w:t>
      </w:r>
    </w:p>
    <w:p w14:paraId="454C3A52" w14:textId="77777777" w:rsidR="00A81091" w:rsidRDefault="00A81091" w:rsidP="00BF16B2">
      <w:pPr>
        <w:pStyle w:val="BodyText"/>
        <w:rPr>
          <w:lang w:val="en-GB"/>
        </w:rPr>
      </w:pPr>
      <w:r>
        <w:rPr>
          <w:noProof/>
        </w:rPr>
        <w:drawing>
          <wp:inline distT="0" distB="0" distL="0" distR="0" wp14:anchorId="57D5160A" wp14:editId="24BB6A0F">
            <wp:extent cx="5486400" cy="4135035"/>
            <wp:effectExtent l="0" t="0" r="0" b="0"/>
            <wp:docPr id="1073741839" name="Picture 1073741839" descr="C:\Users\Charlie\AppData\Local\Temp\SNAGHTML943aac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harlie\AppData\Local\Temp\SNAGHTML943aac0.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400" cy="4135035"/>
                    </a:xfrm>
                    <a:prstGeom prst="rect">
                      <a:avLst/>
                    </a:prstGeom>
                    <a:noFill/>
                    <a:ln>
                      <a:noFill/>
                    </a:ln>
                  </pic:spPr>
                </pic:pic>
              </a:graphicData>
            </a:graphic>
          </wp:inline>
        </w:drawing>
      </w:r>
    </w:p>
    <w:p w14:paraId="18662B24" w14:textId="77777777" w:rsidR="00A81091" w:rsidRDefault="00A81091" w:rsidP="00BF16B2">
      <w:pPr>
        <w:pStyle w:val="BodyText"/>
        <w:rPr>
          <w:lang w:val="en-GB"/>
        </w:rPr>
      </w:pPr>
    </w:p>
    <w:p w14:paraId="2291C545" w14:textId="77777777" w:rsidR="00A81091" w:rsidRDefault="00A81091">
      <w:pPr>
        <w:rPr>
          <w:rFonts w:ascii="Arial" w:hAnsi="Arial" w:cs="Arial"/>
          <w:b/>
          <w:bCs/>
          <w:i/>
          <w:iCs/>
          <w:sz w:val="28"/>
          <w:szCs w:val="28"/>
        </w:rPr>
      </w:pPr>
      <w:r>
        <w:br w:type="page"/>
      </w:r>
    </w:p>
    <w:p w14:paraId="4D499C97" w14:textId="77777777" w:rsidR="00A81091" w:rsidRDefault="00A81091" w:rsidP="0096218E">
      <w:pPr>
        <w:pStyle w:val="Heading3"/>
      </w:pPr>
      <w:r>
        <w:lastRenderedPageBreak/>
        <w:t>Normalized comparison of information across entities for a period</w:t>
      </w:r>
    </w:p>
    <w:p w14:paraId="1C09335C" w14:textId="77777777" w:rsidR="00A81091" w:rsidRDefault="00A81091" w:rsidP="0096218E">
      <w:pPr>
        <w:pStyle w:val="BodyText"/>
      </w:pPr>
      <w:r>
        <w:t>Using the query string below you can do a normalized comparison of information across entities for a period:</w:t>
      </w:r>
    </w:p>
    <w:p w14:paraId="2804167B" w14:textId="77777777" w:rsidR="00A81091" w:rsidRPr="0096218E" w:rsidRDefault="002422AC" w:rsidP="00BF16B2">
      <w:pPr>
        <w:pStyle w:val="BodyText"/>
        <w:rPr>
          <w:sz w:val="14"/>
          <w:lang w:val="en-GB"/>
        </w:rPr>
      </w:pPr>
      <w:hyperlink r:id="rId30" w:history="1">
        <w:r w:rsidR="00A81091" w:rsidRPr="0096218E">
          <w:rPr>
            <w:rStyle w:val="Hyperlink"/>
            <w:sz w:val="14"/>
            <w:lang w:val="en-GB"/>
          </w:rPr>
          <w:t>http://secxbrl.28.io/v1/_queries/public/api/spreadsheet-for-report.jq?token=c3049752-4d35-43da-82a2-f89f1b06f7a4&amp;report=IncomeStatementSingleStep_Special2&amp;fiscalYear=2015&amp;fiscalPeriod=FY&amp;validate=true&amp;format-indent=yes&amp;labels=false&amp;format=html&amp;cik=0000066740&amp;&amp;cik=27904&amp;cik=1048911&amp;cik=934612&amp;cik=100885&amp;cik=15511&amp;cik=70318&amp;cik=92380&amp;cik=230211&amp;cik=18926</w:t>
        </w:r>
      </w:hyperlink>
      <w:r w:rsidR="00A81091" w:rsidRPr="0096218E">
        <w:rPr>
          <w:sz w:val="14"/>
          <w:lang w:val="en-GB"/>
        </w:rPr>
        <w:t xml:space="preserve"> </w:t>
      </w:r>
    </w:p>
    <w:p w14:paraId="3FDF4027" w14:textId="77777777" w:rsidR="00A81091" w:rsidRDefault="00A81091" w:rsidP="00BF16B2">
      <w:pPr>
        <w:pStyle w:val="BodyText"/>
        <w:rPr>
          <w:lang w:val="en-GB"/>
        </w:rPr>
      </w:pPr>
      <w:r>
        <w:rPr>
          <w:noProof/>
        </w:rPr>
        <w:drawing>
          <wp:inline distT="0" distB="0" distL="0" distR="0" wp14:anchorId="44E0858F" wp14:editId="74709D0E">
            <wp:extent cx="5486400" cy="3434122"/>
            <wp:effectExtent l="0" t="0" r="0" b="0"/>
            <wp:docPr id="1073741840" name="Picture 1073741840" descr="C:\Users\Charlie\AppData\Local\Temp\SNAGHTML9470af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harlie\AppData\Local\Temp\SNAGHTML9470af8.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6400" cy="3434122"/>
                    </a:xfrm>
                    <a:prstGeom prst="rect">
                      <a:avLst/>
                    </a:prstGeom>
                    <a:noFill/>
                    <a:ln>
                      <a:noFill/>
                    </a:ln>
                  </pic:spPr>
                </pic:pic>
              </a:graphicData>
            </a:graphic>
          </wp:inline>
        </w:drawing>
      </w:r>
    </w:p>
    <w:p w14:paraId="72ACFF57" w14:textId="77777777" w:rsidR="00A81091" w:rsidRDefault="00A81091" w:rsidP="0096218E">
      <w:pPr>
        <w:pStyle w:val="BodyText"/>
        <w:ind w:left="720"/>
      </w:pPr>
      <w:r>
        <w:rPr>
          <w:highlight w:val="lightGray"/>
        </w:rPr>
        <w:t>HINT: You can compare as many entities as you want this way.  I have done up to about 200 entities!</w:t>
      </w:r>
    </w:p>
    <w:p w14:paraId="71CCB160" w14:textId="77777777" w:rsidR="00A81091" w:rsidRDefault="00A81091" w:rsidP="00BF16B2">
      <w:pPr>
        <w:pStyle w:val="BodyText"/>
        <w:rPr>
          <w:lang w:val="en-GB"/>
        </w:rPr>
      </w:pPr>
    </w:p>
    <w:p w14:paraId="54BDAAFB" w14:textId="77777777" w:rsidR="00A81091" w:rsidRDefault="00A81091" w:rsidP="00BF16B2">
      <w:pPr>
        <w:pStyle w:val="BodyText"/>
        <w:rPr>
          <w:lang w:val="en-GB"/>
        </w:rPr>
      </w:pPr>
    </w:p>
    <w:p w14:paraId="0B5549CF" w14:textId="77777777" w:rsidR="00A81091" w:rsidRDefault="00A81091">
      <w:pPr>
        <w:rPr>
          <w:rFonts w:ascii="Arial" w:hAnsi="Arial" w:cs="Arial"/>
          <w:b/>
          <w:bCs/>
          <w:i/>
          <w:iCs/>
          <w:sz w:val="28"/>
          <w:szCs w:val="28"/>
        </w:rPr>
      </w:pPr>
      <w:r>
        <w:br w:type="page"/>
      </w:r>
    </w:p>
    <w:p w14:paraId="61FD4FE1" w14:textId="77777777" w:rsidR="00A81091" w:rsidRDefault="00A81091" w:rsidP="0096218E">
      <w:pPr>
        <w:pStyle w:val="Heading2"/>
      </w:pPr>
      <w:r>
        <w:lastRenderedPageBreak/>
        <w:t>Commercially available analysis products</w:t>
      </w:r>
    </w:p>
    <w:p w14:paraId="4DEE6818" w14:textId="77777777" w:rsidR="00A81091" w:rsidRDefault="00A81091" w:rsidP="0096218E">
      <w:pPr>
        <w:pStyle w:val="BodyText"/>
      </w:pPr>
      <w:r>
        <w:t>There are many different commercial software applications which make use of XBRL-based financial information reported by public companies to the SEC and available from the EDGAR system.  These software applications take different approaches and different things can be learned from different applications.</w:t>
      </w:r>
    </w:p>
    <w:p w14:paraId="4E1C3623" w14:textId="77777777" w:rsidR="00A81091" w:rsidRDefault="00A81091" w:rsidP="0096218E">
      <w:pPr>
        <w:pStyle w:val="BodyText"/>
      </w:pPr>
      <w:r>
        <w:t>Querying an XBRL instance document and the related taxonomy is possible, but it is not recommended because the information is not structured for meaning, it is simply structured as XBRL technical syntax.  This makes querying information significantly more challenging.</w:t>
      </w:r>
    </w:p>
    <w:p w14:paraId="2B55B941" w14:textId="77777777" w:rsidR="00A81091" w:rsidRDefault="00A81091" w:rsidP="0096218E">
      <w:pPr>
        <w:pStyle w:val="BodyText"/>
      </w:pPr>
      <w:r>
        <w:t>If you do want to explore extracting information directly from an XBRL instance, this ZIP archive contains an Excel based application that you can reverse engineer:</w:t>
      </w:r>
    </w:p>
    <w:p w14:paraId="12B0B29B" w14:textId="77777777" w:rsidR="00A81091" w:rsidRDefault="002422AC" w:rsidP="0096218E">
      <w:pPr>
        <w:pStyle w:val="BodyText"/>
      </w:pPr>
      <w:hyperlink r:id="rId32" w:history="1">
        <w:r w:rsidR="00A81091" w:rsidRPr="00AD4143">
          <w:rPr>
            <w:rStyle w:val="Hyperlink"/>
          </w:rPr>
          <w:t>http://xbrlsite.azurewebsites.net/2016/Analysis/InterestBasedRevenues/Analysis_INTBX-BSU-CF1-ISS-IEMIX-OILN.zip</w:t>
        </w:r>
      </w:hyperlink>
      <w:r w:rsidR="00A81091">
        <w:t xml:space="preserve"> </w:t>
      </w:r>
    </w:p>
    <w:p w14:paraId="1FC09C6F" w14:textId="77777777" w:rsidR="00A81091" w:rsidRDefault="00A81091" w:rsidP="0096218E">
      <w:pPr>
        <w:pStyle w:val="Heading3"/>
      </w:pPr>
      <w:r w:rsidRPr="005F1B1D">
        <w:t>28msec SECXBRL.info</w:t>
      </w:r>
    </w:p>
    <w:p w14:paraId="3B3E03AC" w14:textId="77777777" w:rsidR="00A81091" w:rsidRPr="005F1B1D" w:rsidRDefault="00A81091" w:rsidP="0096218E">
      <w:pPr>
        <w:pStyle w:val="BodyText"/>
        <w:rPr>
          <w:lang w:val="en-GB"/>
        </w:rPr>
      </w:pPr>
      <w:r>
        <w:rPr>
          <w:lang w:val="en-GB"/>
        </w:rPr>
        <w:t>As mentioned, 28msec</w:t>
      </w:r>
      <w:r>
        <w:rPr>
          <w:rStyle w:val="FootnoteReference"/>
          <w:lang w:val="en-GB"/>
        </w:rPr>
        <w:footnoteReference w:id="6"/>
      </w:r>
      <w:r>
        <w:rPr>
          <w:lang w:val="en-GB"/>
        </w:rPr>
        <w:t xml:space="preserve"> provides a free repository of public company financial information reported by public companies to the SEC via its SECXBRL.info repository</w:t>
      </w:r>
      <w:r>
        <w:rPr>
          <w:rStyle w:val="FootnoteReference"/>
          <w:lang w:val="en-GB"/>
        </w:rPr>
        <w:footnoteReference w:id="7"/>
      </w:r>
      <w:r>
        <w:rPr>
          <w:lang w:val="en-GB"/>
        </w:rPr>
        <w:t>.  Financial information is available for the DOW 30 companies with no signup at all.  You can sign up for free and get access to all reported information.  An API is provided.  For those willing to roll up their sleeves and get their hands a little dirty, there is a lot that can be learned about where digital financial reporting and more generally digital business reporting is going.</w:t>
      </w:r>
    </w:p>
    <w:p w14:paraId="551FC3E9" w14:textId="77777777" w:rsidR="00A81091" w:rsidRDefault="00A81091" w:rsidP="0096218E">
      <w:pPr>
        <w:pStyle w:val="Heading3"/>
      </w:pPr>
      <w:r>
        <w:t>XBRL Cloud</w:t>
      </w:r>
    </w:p>
    <w:p w14:paraId="3EABA719" w14:textId="77777777" w:rsidR="00A81091" w:rsidRDefault="00A81091" w:rsidP="0096218E">
      <w:pPr>
        <w:pStyle w:val="BodyText"/>
        <w:rPr>
          <w:lang w:val="en-GB"/>
        </w:rPr>
      </w:pPr>
      <w:r>
        <w:rPr>
          <w:lang w:val="en-GB"/>
        </w:rPr>
        <w:t>XBRL Cloud mainly focuses on validation services for public companies that provide XBRL-based financial reports to the SEC</w:t>
      </w:r>
      <w:r>
        <w:rPr>
          <w:rStyle w:val="FootnoteReference"/>
          <w:lang w:val="en-GB"/>
        </w:rPr>
        <w:footnoteReference w:id="8"/>
      </w:r>
      <w:r>
        <w:rPr>
          <w:lang w:val="en-GB"/>
        </w:rPr>
        <w:t>.  However, XBRL Cloud offers an API also.  That API, the EDGAR Report Information Web Service</w:t>
      </w:r>
      <w:r>
        <w:rPr>
          <w:rStyle w:val="FootnoteReference"/>
          <w:lang w:val="en-GB"/>
        </w:rPr>
        <w:footnoteReference w:id="9"/>
      </w:r>
      <w:r>
        <w:rPr>
          <w:lang w:val="en-GB"/>
        </w:rPr>
        <w:t xml:space="preserve">, is unfortunately not </w:t>
      </w:r>
      <w:proofErr w:type="spellStart"/>
      <w:r>
        <w:rPr>
          <w:lang w:val="en-GB"/>
        </w:rPr>
        <w:t>publically</w:t>
      </w:r>
      <w:proofErr w:type="spellEnd"/>
      <w:r>
        <w:rPr>
          <w:lang w:val="en-GB"/>
        </w:rPr>
        <w:t xml:space="preserve"> available.  </w:t>
      </w:r>
      <w:proofErr w:type="gramStart"/>
      <w:r>
        <w:rPr>
          <w:lang w:val="en-GB"/>
        </w:rPr>
        <w:t>But,</w:t>
      </w:r>
      <w:proofErr w:type="gramEnd"/>
      <w:r>
        <w:rPr>
          <w:lang w:val="en-GB"/>
        </w:rPr>
        <w:t xml:space="preserve"> the API is rather inexpensive.  If you are serious about learning about digital financial reporting, paying for the API is worth the price.</w:t>
      </w:r>
    </w:p>
    <w:p w14:paraId="5A3641AC" w14:textId="77777777" w:rsidR="00A81091" w:rsidRPr="005F1B1D" w:rsidRDefault="00A81091" w:rsidP="0096218E">
      <w:pPr>
        <w:pStyle w:val="BodyText"/>
        <w:rPr>
          <w:lang w:val="en-GB"/>
        </w:rPr>
      </w:pPr>
      <w:r>
        <w:rPr>
          <w:lang w:val="en-GB"/>
        </w:rPr>
        <w:t>XBRL Cloud provides some of the best renderings of XBRL-based information.</w:t>
      </w:r>
    </w:p>
    <w:p w14:paraId="6E824A49" w14:textId="77777777" w:rsidR="00A81091" w:rsidRDefault="00A81091" w:rsidP="0096218E">
      <w:pPr>
        <w:pStyle w:val="Heading3"/>
      </w:pPr>
      <w:proofErr w:type="spellStart"/>
      <w:r>
        <w:t>FinDynamics</w:t>
      </w:r>
      <w:proofErr w:type="spellEnd"/>
      <w:r>
        <w:t xml:space="preserve"> XBRL Analyst</w:t>
      </w:r>
    </w:p>
    <w:p w14:paraId="1768B474" w14:textId="77777777" w:rsidR="00A81091" w:rsidRPr="005F1B1D" w:rsidRDefault="00A81091" w:rsidP="0096218E">
      <w:pPr>
        <w:pStyle w:val="BodyText"/>
        <w:rPr>
          <w:lang w:val="en-GB"/>
        </w:rPr>
      </w:pPr>
      <w:r>
        <w:rPr>
          <w:lang w:val="en-GB"/>
        </w:rPr>
        <w:t>XBRL Analyst is described as “</w:t>
      </w:r>
      <w:proofErr w:type="spellStart"/>
      <w:r>
        <w:rPr>
          <w:lang w:val="en-GB"/>
        </w:rPr>
        <w:t>XBRL</w:t>
      </w:r>
      <w:r w:rsidRPr="00132B78">
        <w:rPr>
          <w:lang w:val="en-GB"/>
        </w:rPr>
        <w:t>Analyst</w:t>
      </w:r>
      <w:proofErr w:type="spellEnd"/>
      <w:r w:rsidRPr="00132B78">
        <w:rPr>
          <w:lang w:val="en-GB"/>
        </w:rPr>
        <w:t xml:space="preserve"> delivers real-time financial data to Excel</w:t>
      </w:r>
      <w:r>
        <w:rPr>
          <w:lang w:val="en-GB"/>
        </w:rPr>
        <w:t xml:space="preserve">” by its creator </w:t>
      </w:r>
      <w:proofErr w:type="spellStart"/>
      <w:r>
        <w:rPr>
          <w:lang w:val="en-GB"/>
        </w:rPr>
        <w:t>FinDynamics</w:t>
      </w:r>
      <w:proofErr w:type="spellEnd"/>
      <w:r>
        <w:rPr>
          <w:rStyle w:val="FootnoteReference"/>
          <w:lang w:val="en-GB"/>
        </w:rPr>
        <w:footnoteReference w:id="10"/>
      </w:r>
      <w:r>
        <w:rPr>
          <w:lang w:val="en-GB"/>
        </w:rPr>
        <w:t xml:space="preserve">.  </w:t>
      </w:r>
      <w:proofErr w:type="spellStart"/>
      <w:r>
        <w:rPr>
          <w:lang w:val="en-GB"/>
        </w:rPr>
        <w:t>XBRLAnalyst</w:t>
      </w:r>
      <w:proofErr w:type="spellEnd"/>
      <w:r>
        <w:rPr>
          <w:lang w:val="en-GB"/>
        </w:rPr>
        <w:t xml:space="preserve"> is an Excel plugin.  A free trial is available which allows you to explore the software before you purchase it.  An API is also available.</w:t>
      </w:r>
    </w:p>
    <w:p w14:paraId="689F592B" w14:textId="0156C008" w:rsidR="0096218E" w:rsidRDefault="0096218E" w:rsidP="00BF16B2">
      <w:pPr>
        <w:pStyle w:val="BodyText"/>
        <w:rPr>
          <w:lang w:val="en-GB"/>
        </w:rPr>
      </w:pPr>
    </w:p>
    <w:p w14:paraId="78119F7C" w14:textId="77777777" w:rsidR="00B521A5" w:rsidRPr="00BF16B2" w:rsidRDefault="00B521A5" w:rsidP="00BF16B2">
      <w:pPr>
        <w:pStyle w:val="BodyText"/>
        <w:rPr>
          <w:lang w:val="en-GB"/>
        </w:rPr>
      </w:pPr>
    </w:p>
    <w:sectPr w:rsidR="00B521A5" w:rsidRPr="00BF16B2" w:rsidSect="00D5119C">
      <w:headerReference w:type="default" r:id="rId33"/>
      <w:footerReference w:type="default" r:id="rId34"/>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6947C5" w14:textId="77777777" w:rsidR="002422AC" w:rsidRDefault="002422AC">
      <w:r>
        <w:separator/>
      </w:r>
    </w:p>
  </w:endnote>
  <w:endnote w:type="continuationSeparator" w:id="0">
    <w:p w14:paraId="530E07B7" w14:textId="77777777" w:rsidR="002422AC" w:rsidRDefault="002422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9B30D9" w14:textId="77777777" w:rsidR="00E3449C" w:rsidRDefault="004B064E">
    <w:pPr>
      <w:pStyle w:val="Footer"/>
      <w:rPr>
        <w:rFonts w:cs="Lucida Sans Unicode"/>
        <w:sz w:val="16"/>
      </w:rPr>
    </w:pPr>
    <w:r>
      <w:rPr>
        <w:noProof/>
      </w:rPr>
      <w:drawing>
        <wp:inline distT="0" distB="0" distL="0" distR="0" wp14:anchorId="74703A37" wp14:editId="107650DC">
          <wp:extent cx="1302385" cy="241300"/>
          <wp:effectExtent l="0" t="0" r="0" b="6350"/>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sidR="00E3449C">
      <w:rPr>
        <w:sz w:val="12"/>
        <w:szCs w:val="16"/>
      </w:rPr>
      <w:t xml:space="preserve"> </w:t>
    </w:r>
    <w:r w:rsidR="00E3449C">
      <w:rPr>
        <w:rFonts w:cs="Lucida Sans Unicode"/>
        <w:sz w:val="16"/>
      </w:rPr>
      <w:tab/>
    </w:r>
    <w:r w:rsidR="00E3449C">
      <w:rPr>
        <w:rFonts w:cs="Lucida Sans Unicode"/>
        <w:sz w:val="16"/>
      </w:rPr>
      <w:tab/>
    </w:r>
    <w:r w:rsidR="00E3449C">
      <w:rPr>
        <w:rFonts w:cs="Lucida Sans Unicode"/>
        <w:sz w:val="16"/>
      </w:rPr>
      <w:fldChar w:fldCharType="begin"/>
    </w:r>
    <w:r w:rsidR="00E3449C">
      <w:rPr>
        <w:rFonts w:cs="Lucida Sans Unicode"/>
        <w:sz w:val="16"/>
      </w:rPr>
      <w:instrText xml:space="preserve"> PAGE </w:instrText>
    </w:r>
    <w:r w:rsidR="00E3449C">
      <w:rPr>
        <w:rFonts w:cs="Lucida Sans Unicode"/>
        <w:sz w:val="16"/>
      </w:rPr>
      <w:fldChar w:fldCharType="separate"/>
    </w:r>
    <w:r w:rsidR="00820103">
      <w:rPr>
        <w:rFonts w:cs="Lucida Sans Unicode"/>
        <w:noProof/>
        <w:sz w:val="16"/>
      </w:rPr>
      <w:t>1</w:t>
    </w:r>
    <w:r w:rsidR="00E3449C">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6F8D2C" w14:textId="77777777" w:rsidR="002422AC" w:rsidRDefault="002422AC">
      <w:r>
        <w:separator/>
      </w:r>
    </w:p>
  </w:footnote>
  <w:footnote w:type="continuationSeparator" w:id="0">
    <w:p w14:paraId="3120CAC0" w14:textId="77777777" w:rsidR="002422AC" w:rsidRDefault="002422AC">
      <w:r>
        <w:continuationSeparator/>
      </w:r>
    </w:p>
  </w:footnote>
  <w:footnote w:id="1">
    <w:p w14:paraId="2608CB96" w14:textId="77777777" w:rsidR="00A81091" w:rsidRDefault="00A81091" w:rsidP="001160C7">
      <w:pPr>
        <w:pStyle w:val="FootnoteText"/>
        <w:jc w:val="left"/>
      </w:pPr>
      <w:r>
        <w:rPr>
          <w:rStyle w:val="FootnoteReference"/>
        </w:rPr>
        <w:footnoteRef/>
      </w:r>
      <w:r>
        <w:t xml:space="preserve"> </w:t>
      </w:r>
      <w:r w:rsidRPr="001160C7">
        <w:rPr>
          <w:sz w:val="16"/>
        </w:rPr>
        <w:t xml:space="preserve">Query and results provided by SECXBRL.info which is a commercial software application, see </w:t>
      </w:r>
      <w:hyperlink r:id="rId1" w:history="1">
        <w:r w:rsidRPr="001160C7">
          <w:rPr>
            <w:rStyle w:val="Hyperlink"/>
            <w:sz w:val="16"/>
          </w:rPr>
          <w:t>http://app.secxbrl.info/</w:t>
        </w:r>
      </w:hyperlink>
      <w:r w:rsidRPr="001160C7">
        <w:rPr>
          <w:sz w:val="16"/>
        </w:rPr>
        <w:t xml:space="preserve"> </w:t>
      </w:r>
    </w:p>
  </w:footnote>
  <w:footnote w:id="2">
    <w:p w14:paraId="3A76EDCB" w14:textId="77777777" w:rsidR="00A81091" w:rsidRDefault="00A81091" w:rsidP="00B25525">
      <w:pPr>
        <w:pStyle w:val="FootnoteText"/>
        <w:jc w:val="left"/>
      </w:pPr>
      <w:r>
        <w:rPr>
          <w:rStyle w:val="FootnoteReference"/>
        </w:rPr>
        <w:footnoteRef/>
      </w:r>
      <w:r>
        <w:t xml:space="preserve"> </w:t>
      </w:r>
      <w:r w:rsidRPr="00B25525">
        <w:rPr>
          <w:sz w:val="16"/>
          <w:szCs w:val="16"/>
        </w:rPr>
        <w:t xml:space="preserve">Extract.zip, </w:t>
      </w:r>
      <w:hyperlink r:id="rId2" w:history="1">
        <w:r w:rsidRPr="00B25525">
          <w:rPr>
            <w:rStyle w:val="Hyperlink"/>
            <w:sz w:val="16"/>
            <w:szCs w:val="16"/>
          </w:rPr>
          <w:t>http://xbrlsite.azurewebsites.net/2017/IntelligentDigitalFinancialReporting/Extract.zip</w:t>
        </w:r>
      </w:hyperlink>
      <w:r>
        <w:t xml:space="preserve"> </w:t>
      </w:r>
    </w:p>
  </w:footnote>
  <w:footnote w:id="3">
    <w:p w14:paraId="7F8D5657" w14:textId="77777777" w:rsidR="00A81091" w:rsidRDefault="00A81091" w:rsidP="00E150CA">
      <w:pPr>
        <w:pStyle w:val="FootnoteText"/>
        <w:jc w:val="left"/>
      </w:pPr>
      <w:r>
        <w:rPr>
          <w:rStyle w:val="FootnoteReference"/>
        </w:rPr>
        <w:footnoteRef/>
      </w:r>
      <w:r>
        <w:t xml:space="preserve"> </w:t>
      </w:r>
      <w:r w:rsidRPr="00E150CA">
        <w:rPr>
          <w:sz w:val="16"/>
          <w:szCs w:val="16"/>
        </w:rPr>
        <w:t xml:space="preserve">Further Updated and Expanded XBRL-based Financial Report Extraction Tools, </w:t>
      </w:r>
      <w:hyperlink r:id="rId3" w:history="1">
        <w:r w:rsidRPr="00E150CA">
          <w:rPr>
            <w:rStyle w:val="Hyperlink"/>
            <w:sz w:val="16"/>
            <w:szCs w:val="16"/>
          </w:rPr>
          <w:t>http://xbrl.squarespace.com/journal/2018/1/11/further-updated-and-expanded-xbrl-based-financial-report-ext.html</w:t>
        </w:r>
      </w:hyperlink>
      <w:r w:rsidRPr="00E150CA">
        <w:rPr>
          <w:sz w:val="16"/>
          <w:szCs w:val="16"/>
        </w:rPr>
        <w:t xml:space="preserve"> </w:t>
      </w:r>
    </w:p>
  </w:footnote>
  <w:footnote w:id="4">
    <w:p w14:paraId="6C364063" w14:textId="77777777" w:rsidR="00A81091" w:rsidRDefault="00A81091" w:rsidP="00CA5756">
      <w:pPr>
        <w:pStyle w:val="FootnoteText"/>
        <w:jc w:val="left"/>
      </w:pPr>
      <w:r>
        <w:rPr>
          <w:rStyle w:val="FootnoteReference"/>
        </w:rPr>
        <w:footnoteRef/>
      </w:r>
      <w:r>
        <w:t xml:space="preserve"> </w:t>
      </w:r>
      <w:r w:rsidRPr="00CA5756">
        <w:rPr>
          <w:sz w:val="16"/>
          <w:szCs w:val="16"/>
        </w:rPr>
        <w:t xml:space="preserve">Here are the machine readable rules for the US GAAP reporting styles, </w:t>
      </w:r>
      <w:hyperlink r:id="rId4" w:history="1">
        <w:r w:rsidRPr="00CA5756">
          <w:rPr>
            <w:rStyle w:val="Hyperlink"/>
            <w:sz w:val="16"/>
            <w:szCs w:val="16"/>
          </w:rPr>
          <w:t>http://xbrlsite.azurewebsites.net/2020/reporting-scheme/us-gaap/documentation/ReportingStyles.html</w:t>
        </w:r>
      </w:hyperlink>
      <w:r>
        <w:t xml:space="preserve"> </w:t>
      </w:r>
    </w:p>
  </w:footnote>
  <w:footnote w:id="5">
    <w:p w14:paraId="78510EAC" w14:textId="77777777" w:rsidR="00A81091" w:rsidRDefault="00A81091" w:rsidP="00690C6D">
      <w:pPr>
        <w:pStyle w:val="FootnoteText"/>
        <w:jc w:val="left"/>
      </w:pPr>
      <w:r>
        <w:rPr>
          <w:rStyle w:val="FootnoteReference"/>
        </w:rPr>
        <w:footnoteRef/>
      </w:r>
      <w:r>
        <w:t xml:space="preserve"> </w:t>
      </w:r>
      <w:r w:rsidRPr="00690C6D">
        <w:rPr>
          <w:sz w:val="16"/>
        </w:rPr>
        <w:t xml:space="preserve">API reference, </w:t>
      </w:r>
      <w:hyperlink r:id="rId5" w:history="1">
        <w:r w:rsidRPr="00690C6D">
          <w:rPr>
            <w:rStyle w:val="Hyperlink"/>
            <w:sz w:val="16"/>
          </w:rPr>
          <w:t>http://28msec.github.io/cellstore-pro/api-ref-queries.html</w:t>
        </w:r>
      </w:hyperlink>
      <w:r>
        <w:t xml:space="preserve"> </w:t>
      </w:r>
    </w:p>
  </w:footnote>
  <w:footnote w:id="6">
    <w:p w14:paraId="58ACCE4D" w14:textId="77777777" w:rsidR="00A81091" w:rsidRDefault="00A81091" w:rsidP="0096218E">
      <w:pPr>
        <w:pStyle w:val="FootnoteText"/>
        <w:jc w:val="left"/>
      </w:pPr>
      <w:r>
        <w:rPr>
          <w:rStyle w:val="FootnoteReference"/>
        </w:rPr>
        <w:footnoteRef/>
      </w:r>
      <w:r>
        <w:t xml:space="preserve"> </w:t>
      </w:r>
      <w:r w:rsidRPr="00A455A9">
        <w:rPr>
          <w:sz w:val="16"/>
        </w:rPr>
        <w:t xml:space="preserve">28msec, </w:t>
      </w:r>
      <w:hyperlink r:id="rId6" w:history="1">
        <w:r w:rsidRPr="00A455A9">
          <w:rPr>
            <w:rStyle w:val="Hyperlink"/>
            <w:sz w:val="16"/>
          </w:rPr>
          <w:t>http://www.28.io/</w:t>
        </w:r>
      </w:hyperlink>
      <w:r>
        <w:t xml:space="preserve"> </w:t>
      </w:r>
    </w:p>
  </w:footnote>
  <w:footnote w:id="7">
    <w:p w14:paraId="78733683" w14:textId="77777777" w:rsidR="00A81091" w:rsidRDefault="00A81091" w:rsidP="0096218E">
      <w:pPr>
        <w:pStyle w:val="FootnoteText"/>
        <w:jc w:val="left"/>
      </w:pPr>
      <w:r>
        <w:rPr>
          <w:rStyle w:val="FootnoteReference"/>
        </w:rPr>
        <w:footnoteRef/>
      </w:r>
      <w:r>
        <w:t xml:space="preserve"> </w:t>
      </w:r>
      <w:r w:rsidRPr="00A455A9">
        <w:rPr>
          <w:sz w:val="16"/>
        </w:rPr>
        <w:t xml:space="preserve">SECXBRL.info, </w:t>
      </w:r>
      <w:hyperlink r:id="rId7" w:history="1">
        <w:r w:rsidRPr="00AD4143">
          <w:rPr>
            <w:rStyle w:val="Hyperlink"/>
            <w:sz w:val="16"/>
          </w:rPr>
          <w:t>http://app.secxbrl.info/</w:t>
        </w:r>
      </w:hyperlink>
      <w:r>
        <w:rPr>
          <w:sz w:val="16"/>
        </w:rPr>
        <w:t xml:space="preserve"> </w:t>
      </w:r>
    </w:p>
  </w:footnote>
  <w:footnote w:id="8">
    <w:p w14:paraId="76FF37EC" w14:textId="77777777" w:rsidR="00A81091" w:rsidRDefault="00A81091" w:rsidP="0096218E">
      <w:pPr>
        <w:pStyle w:val="FootnoteText"/>
        <w:jc w:val="left"/>
      </w:pPr>
      <w:r>
        <w:rPr>
          <w:rStyle w:val="FootnoteReference"/>
        </w:rPr>
        <w:footnoteRef/>
      </w:r>
      <w:r>
        <w:t xml:space="preserve"> </w:t>
      </w:r>
      <w:r w:rsidRPr="00A455A9">
        <w:rPr>
          <w:sz w:val="16"/>
        </w:rPr>
        <w:t xml:space="preserve">XBRL Cloud EDGAR Dashboard, </w:t>
      </w:r>
      <w:hyperlink r:id="rId8" w:history="1">
        <w:r w:rsidRPr="00A455A9">
          <w:rPr>
            <w:rStyle w:val="Hyperlink"/>
            <w:sz w:val="16"/>
          </w:rPr>
          <w:t>https://edgardashboard.xbrlcloud.com/edgar-dashboard/</w:t>
        </w:r>
      </w:hyperlink>
      <w:r>
        <w:t xml:space="preserve"> </w:t>
      </w:r>
    </w:p>
  </w:footnote>
  <w:footnote w:id="9">
    <w:p w14:paraId="38114E26" w14:textId="77777777" w:rsidR="00A81091" w:rsidRDefault="00A81091" w:rsidP="0096218E">
      <w:pPr>
        <w:pStyle w:val="FootnoteText"/>
        <w:jc w:val="left"/>
      </w:pPr>
      <w:r>
        <w:rPr>
          <w:rStyle w:val="FootnoteReference"/>
        </w:rPr>
        <w:footnoteRef/>
      </w:r>
      <w:r>
        <w:t xml:space="preserve"> </w:t>
      </w:r>
      <w:r w:rsidRPr="00A455A9">
        <w:rPr>
          <w:sz w:val="16"/>
        </w:rPr>
        <w:t xml:space="preserve">XBRL Cloud Edgar Report Information Web Service, </w:t>
      </w:r>
      <w:hyperlink r:id="rId9" w:history="1">
        <w:r w:rsidRPr="00A455A9">
          <w:rPr>
            <w:rStyle w:val="Hyperlink"/>
            <w:sz w:val="16"/>
          </w:rPr>
          <w:t>https://www.xbrlcloud.com/home/edgar-report-information/eridev.html</w:t>
        </w:r>
      </w:hyperlink>
      <w:r>
        <w:t xml:space="preserve"> </w:t>
      </w:r>
    </w:p>
  </w:footnote>
  <w:footnote w:id="10">
    <w:p w14:paraId="0AEFD390" w14:textId="77777777" w:rsidR="00A81091" w:rsidRDefault="00A81091" w:rsidP="0096218E">
      <w:pPr>
        <w:pStyle w:val="FootnoteText"/>
        <w:jc w:val="left"/>
      </w:pPr>
      <w:r>
        <w:rPr>
          <w:rStyle w:val="FootnoteReference"/>
        </w:rPr>
        <w:footnoteRef/>
      </w:r>
      <w:r>
        <w:t xml:space="preserve"> </w:t>
      </w:r>
      <w:proofErr w:type="spellStart"/>
      <w:r w:rsidRPr="00132B78">
        <w:rPr>
          <w:sz w:val="16"/>
        </w:rPr>
        <w:t>FinDynamics</w:t>
      </w:r>
      <w:proofErr w:type="spellEnd"/>
      <w:r w:rsidRPr="00132B78">
        <w:rPr>
          <w:sz w:val="16"/>
        </w:rPr>
        <w:t xml:space="preserve">, </w:t>
      </w:r>
      <w:hyperlink r:id="rId10" w:history="1">
        <w:r w:rsidRPr="00132B78">
          <w:rPr>
            <w:rStyle w:val="Hyperlink"/>
            <w:sz w:val="16"/>
          </w:rPr>
          <w:t>https://findynamics.com/</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B5B156" w14:textId="4B539756" w:rsidR="00E3449C" w:rsidRPr="00092EC2" w:rsidRDefault="00EF1BEF" w:rsidP="00DD1B0D">
    <w:pPr>
      <w:pStyle w:val="Header"/>
      <w:jc w:val="center"/>
      <w:rPr>
        <w:sz w:val="18"/>
        <w:szCs w:val="18"/>
      </w:rPr>
    </w:pPr>
    <w:r>
      <w:rPr>
        <w:smallCaps/>
        <w:sz w:val="16"/>
        <w:szCs w:val="18"/>
      </w:rPr>
      <w:t xml:space="preserve">Mastering XBRL-based </w:t>
    </w:r>
    <w:r w:rsidR="00DD1B0D" w:rsidRPr="00092EC2">
      <w:rPr>
        <w:smallCaps/>
        <w:sz w:val="16"/>
        <w:szCs w:val="18"/>
      </w:rPr>
      <w:t>Digital Financial Reporting – Part 3: Working with Digital Financial Reports – Query and Analysis of XBRL-based Digital Financial Reports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70F89"/>
    <w:multiLevelType w:val="hybridMultilevel"/>
    <w:tmpl w:val="51348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352D55"/>
    <w:multiLevelType w:val="hybridMultilevel"/>
    <w:tmpl w:val="9BEC1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7E0322"/>
    <w:multiLevelType w:val="multilevel"/>
    <w:tmpl w:val="B3CAD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0F5248"/>
    <w:multiLevelType w:val="hybridMultilevel"/>
    <w:tmpl w:val="BDD29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234A2C"/>
    <w:multiLevelType w:val="hybridMultilevel"/>
    <w:tmpl w:val="275E8EC0"/>
    <w:lvl w:ilvl="0" w:tplc="A67A13E8">
      <w:numFmt w:val="bullet"/>
      <w:lvlText w:val=""/>
      <w:lvlJc w:val="left"/>
      <w:pPr>
        <w:ind w:left="780" w:hanging="420"/>
      </w:pPr>
      <w:rPr>
        <w:rFonts w:ascii="Symbol" w:eastAsia="Times New Roman" w:hAnsi="Symbol" w:cs="Arial" w:hint="default"/>
        <w:color w:val="1F497D"/>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3D004C"/>
    <w:multiLevelType w:val="hybridMultilevel"/>
    <w:tmpl w:val="3A925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C72900"/>
    <w:multiLevelType w:val="hybridMultilevel"/>
    <w:tmpl w:val="55644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2D67120"/>
    <w:multiLevelType w:val="hybridMultilevel"/>
    <w:tmpl w:val="17CA1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3A20867"/>
    <w:multiLevelType w:val="hybridMultilevel"/>
    <w:tmpl w:val="2064D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3F106E"/>
    <w:multiLevelType w:val="hybridMultilevel"/>
    <w:tmpl w:val="0F86F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4736416"/>
    <w:multiLevelType w:val="hybridMultilevel"/>
    <w:tmpl w:val="FABA3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950771"/>
    <w:multiLevelType w:val="hybridMultilevel"/>
    <w:tmpl w:val="5B86B6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201264"/>
    <w:multiLevelType w:val="hybridMultilevel"/>
    <w:tmpl w:val="56A45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4D4C87"/>
    <w:multiLevelType w:val="hybridMultilevel"/>
    <w:tmpl w:val="5DA04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810E0E"/>
    <w:multiLevelType w:val="hybridMultilevel"/>
    <w:tmpl w:val="EA3EE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9B78C7"/>
    <w:multiLevelType w:val="hybridMultilevel"/>
    <w:tmpl w:val="64545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CB3025"/>
    <w:multiLevelType w:val="hybridMultilevel"/>
    <w:tmpl w:val="9410D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344A3F"/>
    <w:multiLevelType w:val="hybridMultilevel"/>
    <w:tmpl w:val="4A308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96222BA"/>
    <w:multiLevelType w:val="hybridMultilevel"/>
    <w:tmpl w:val="C40CB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18752E"/>
    <w:multiLevelType w:val="hybridMultilevel"/>
    <w:tmpl w:val="8250B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C875352"/>
    <w:multiLevelType w:val="hybridMultilevel"/>
    <w:tmpl w:val="582C0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CBE1695"/>
    <w:multiLevelType w:val="hybridMultilevel"/>
    <w:tmpl w:val="FB860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CE4373C"/>
    <w:multiLevelType w:val="hybridMultilevel"/>
    <w:tmpl w:val="94D2A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EE21515"/>
    <w:multiLevelType w:val="hybridMultilevel"/>
    <w:tmpl w:val="FFD05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4B6D34"/>
    <w:multiLevelType w:val="hybridMultilevel"/>
    <w:tmpl w:val="76C62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FEB6949"/>
    <w:multiLevelType w:val="multilevel"/>
    <w:tmpl w:val="E160E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14C43AC"/>
    <w:multiLevelType w:val="hybridMultilevel"/>
    <w:tmpl w:val="C4CAF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18A0D29"/>
    <w:multiLevelType w:val="hybridMultilevel"/>
    <w:tmpl w:val="0F8A7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2B02E6D"/>
    <w:multiLevelType w:val="hybridMultilevel"/>
    <w:tmpl w:val="AE768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2F61E70"/>
    <w:multiLevelType w:val="hybridMultilevel"/>
    <w:tmpl w:val="CE0633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3670E5C"/>
    <w:multiLevelType w:val="hybridMultilevel"/>
    <w:tmpl w:val="24F67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39B4CF0"/>
    <w:multiLevelType w:val="hybridMultilevel"/>
    <w:tmpl w:val="C7E64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4343D7D"/>
    <w:multiLevelType w:val="hybridMultilevel"/>
    <w:tmpl w:val="3E2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4774F32"/>
    <w:multiLevelType w:val="hybridMultilevel"/>
    <w:tmpl w:val="E604B4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52B4BA1"/>
    <w:multiLevelType w:val="hybridMultilevel"/>
    <w:tmpl w:val="483815A4"/>
    <w:lvl w:ilvl="0" w:tplc="04090015">
      <w:start w:val="1"/>
      <w:numFmt w:val="upp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572619D"/>
    <w:multiLevelType w:val="hybridMultilevel"/>
    <w:tmpl w:val="1BDAF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5E52847"/>
    <w:multiLevelType w:val="hybridMultilevel"/>
    <w:tmpl w:val="BD029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72A5540"/>
    <w:multiLevelType w:val="hybridMultilevel"/>
    <w:tmpl w:val="7F404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83B4BFB"/>
    <w:multiLevelType w:val="hybridMultilevel"/>
    <w:tmpl w:val="34CE2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85E00D7"/>
    <w:multiLevelType w:val="hybridMultilevel"/>
    <w:tmpl w:val="DC5E7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8BF0F89"/>
    <w:multiLevelType w:val="hybridMultilevel"/>
    <w:tmpl w:val="5A40A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8C44644"/>
    <w:multiLevelType w:val="hybridMultilevel"/>
    <w:tmpl w:val="B1489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8FA5A31"/>
    <w:multiLevelType w:val="hybridMultilevel"/>
    <w:tmpl w:val="B69E7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A851B28"/>
    <w:multiLevelType w:val="hybridMultilevel"/>
    <w:tmpl w:val="E2CE9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B967FC3"/>
    <w:multiLevelType w:val="hybridMultilevel"/>
    <w:tmpl w:val="6BBEF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C24477B"/>
    <w:multiLevelType w:val="hybridMultilevel"/>
    <w:tmpl w:val="E4B82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C8B4497"/>
    <w:multiLevelType w:val="hybridMultilevel"/>
    <w:tmpl w:val="20BAE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CCA3244"/>
    <w:multiLevelType w:val="hybridMultilevel"/>
    <w:tmpl w:val="26B44B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D1314E5"/>
    <w:multiLevelType w:val="hybridMultilevel"/>
    <w:tmpl w:val="828CB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DF03E73"/>
    <w:multiLevelType w:val="hybridMultilevel"/>
    <w:tmpl w:val="ED1E5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ED17295"/>
    <w:multiLevelType w:val="hybridMultilevel"/>
    <w:tmpl w:val="18D40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F790B7E"/>
    <w:multiLevelType w:val="hybridMultilevel"/>
    <w:tmpl w:val="0818F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FF35661"/>
    <w:multiLevelType w:val="hybridMultilevel"/>
    <w:tmpl w:val="41C239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0A4775F"/>
    <w:multiLevelType w:val="hybridMultilevel"/>
    <w:tmpl w:val="AC664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1962812"/>
    <w:multiLevelType w:val="hybridMultilevel"/>
    <w:tmpl w:val="032AC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1FE33E0"/>
    <w:multiLevelType w:val="hybridMultilevel"/>
    <w:tmpl w:val="9B3E3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2414C14"/>
    <w:multiLevelType w:val="hybridMultilevel"/>
    <w:tmpl w:val="B686D2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2D4488C"/>
    <w:multiLevelType w:val="hybridMultilevel"/>
    <w:tmpl w:val="BA724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3680797"/>
    <w:multiLevelType w:val="hybridMultilevel"/>
    <w:tmpl w:val="DC38E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40D3AFA"/>
    <w:multiLevelType w:val="hybridMultilevel"/>
    <w:tmpl w:val="AB8A4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496584F"/>
    <w:multiLevelType w:val="hybridMultilevel"/>
    <w:tmpl w:val="3FE6E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5A0266B"/>
    <w:multiLevelType w:val="hybridMultilevel"/>
    <w:tmpl w:val="10560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601261D"/>
    <w:multiLevelType w:val="hybridMultilevel"/>
    <w:tmpl w:val="9E965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6DD1DEE"/>
    <w:multiLevelType w:val="hybridMultilevel"/>
    <w:tmpl w:val="F2E4D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77735E1"/>
    <w:multiLevelType w:val="hybridMultilevel"/>
    <w:tmpl w:val="588C7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8F75193"/>
    <w:multiLevelType w:val="hybridMultilevel"/>
    <w:tmpl w:val="82624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9C06209"/>
    <w:multiLevelType w:val="hybridMultilevel"/>
    <w:tmpl w:val="7CD22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9E0356B"/>
    <w:multiLevelType w:val="hybridMultilevel"/>
    <w:tmpl w:val="0B983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A314F2C"/>
    <w:multiLevelType w:val="hybridMultilevel"/>
    <w:tmpl w:val="27DC8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C493A44"/>
    <w:multiLevelType w:val="hybridMultilevel"/>
    <w:tmpl w:val="0A8AA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D0B446C"/>
    <w:multiLevelType w:val="hybridMultilevel"/>
    <w:tmpl w:val="359CF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DA30E69"/>
    <w:multiLevelType w:val="hybridMultilevel"/>
    <w:tmpl w:val="26E8F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E8141A4"/>
    <w:multiLevelType w:val="hybridMultilevel"/>
    <w:tmpl w:val="CAC6A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FAB68FE"/>
    <w:multiLevelType w:val="hybridMultilevel"/>
    <w:tmpl w:val="6682E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08649EC"/>
    <w:multiLevelType w:val="hybridMultilevel"/>
    <w:tmpl w:val="621C4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2FA6485"/>
    <w:multiLevelType w:val="hybridMultilevel"/>
    <w:tmpl w:val="2C946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37431DF"/>
    <w:multiLevelType w:val="hybridMultilevel"/>
    <w:tmpl w:val="CDAAA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394722B"/>
    <w:multiLevelType w:val="hybridMultilevel"/>
    <w:tmpl w:val="33CA4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39B08AA"/>
    <w:multiLevelType w:val="hybridMultilevel"/>
    <w:tmpl w:val="1A8CC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3E75243"/>
    <w:multiLevelType w:val="hybridMultilevel"/>
    <w:tmpl w:val="4C8C2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42951A2"/>
    <w:multiLevelType w:val="hybridMultilevel"/>
    <w:tmpl w:val="F5FC5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54434B6"/>
    <w:multiLevelType w:val="hybridMultilevel"/>
    <w:tmpl w:val="AB72B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5466F3A"/>
    <w:multiLevelType w:val="hybridMultilevel"/>
    <w:tmpl w:val="88049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56D59D2"/>
    <w:multiLevelType w:val="hybridMultilevel"/>
    <w:tmpl w:val="4F7C9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6272274"/>
    <w:multiLevelType w:val="hybridMultilevel"/>
    <w:tmpl w:val="EFA2A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6435848"/>
    <w:multiLevelType w:val="hybridMultilevel"/>
    <w:tmpl w:val="FF0E5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6B63145"/>
    <w:multiLevelType w:val="hybridMultilevel"/>
    <w:tmpl w:val="C568AB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6F04BCC"/>
    <w:multiLevelType w:val="hybridMultilevel"/>
    <w:tmpl w:val="1BCE0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6FE74C5"/>
    <w:multiLevelType w:val="hybridMultilevel"/>
    <w:tmpl w:val="077A1C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8001B94"/>
    <w:multiLevelType w:val="hybridMultilevel"/>
    <w:tmpl w:val="54A84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8722DAC"/>
    <w:multiLevelType w:val="hybridMultilevel"/>
    <w:tmpl w:val="DCC63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38C527A0"/>
    <w:multiLevelType w:val="hybridMultilevel"/>
    <w:tmpl w:val="BF5CB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9F76FAD"/>
    <w:multiLevelType w:val="hybridMultilevel"/>
    <w:tmpl w:val="31F86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3A0C249D"/>
    <w:multiLevelType w:val="hybridMultilevel"/>
    <w:tmpl w:val="CA468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A551438"/>
    <w:multiLevelType w:val="hybridMultilevel"/>
    <w:tmpl w:val="FC26CE76"/>
    <w:lvl w:ilvl="0" w:tplc="15DE437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3AB316C5"/>
    <w:multiLevelType w:val="hybridMultilevel"/>
    <w:tmpl w:val="799CC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AD40711"/>
    <w:multiLevelType w:val="hybridMultilevel"/>
    <w:tmpl w:val="823A7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AEF3500"/>
    <w:multiLevelType w:val="hybridMultilevel"/>
    <w:tmpl w:val="F4B2D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3B31184A"/>
    <w:multiLevelType w:val="hybridMultilevel"/>
    <w:tmpl w:val="FAAA0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B823006"/>
    <w:multiLevelType w:val="hybridMultilevel"/>
    <w:tmpl w:val="40708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C555546"/>
    <w:multiLevelType w:val="hybridMultilevel"/>
    <w:tmpl w:val="3AE28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DEF4273"/>
    <w:multiLevelType w:val="hybridMultilevel"/>
    <w:tmpl w:val="D46E2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3E3A0876"/>
    <w:multiLevelType w:val="hybridMultilevel"/>
    <w:tmpl w:val="A58A4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E4D445E"/>
    <w:multiLevelType w:val="hybridMultilevel"/>
    <w:tmpl w:val="F4201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F555DFB"/>
    <w:multiLevelType w:val="hybridMultilevel"/>
    <w:tmpl w:val="48DA3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3F7819C8"/>
    <w:multiLevelType w:val="hybridMultilevel"/>
    <w:tmpl w:val="9A1CC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F793CD9"/>
    <w:multiLevelType w:val="hybridMultilevel"/>
    <w:tmpl w:val="BE7295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40624356"/>
    <w:multiLevelType w:val="multilevel"/>
    <w:tmpl w:val="032275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40B65605"/>
    <w:multiLevelType w:val="hybridMultilevel"/>
    <w:tmpl w:val="8452D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43537D25"/>
    <w:multiLevelType w:val="hybridMultilevel"/>
    <w:tmpl w:val="7EB69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3567E1B"/>
    <w:multiLevelType w:val="hybridMultilevel"/>
    <w:tmpl w:val="6D500F6E"/>
    <w:lvl w:ilvl="0" w:tplc="04090001">
      <w:start w:val="1"/>
      <w:numFmt w:val="bullet"/>
      <w:lvlText w:val=""/>
      <w:lvlJc w:val="left"/>
      <w:pPr>
        <w:ind w:left="720" w:hanging="360"/>
      </w:pPr>
      <w:rPr>
        <w:rFonts w:ascii="Symbol" w:hAnsi="Symbol" w:hint="default"/>
      </w:rPr>
    </w:lvl>
    <w:lvl w:ilvl="1" w:tplc="658C0F6C">
      <w:numFmt w:val="bullet"/>
      <w:lvlText w:val="•"/>
      <w:lvlJc w:val="left"/>
      <w:pPr>
        <w:ind w:left="1800" w:hanging="720"/>
      </w:pPr>
      <w:rPr>
        <w:rFonts w:ascii="Verdana" w:eastAsia="Times New Roman" w:hAnsi="Verdana"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40548C7"/>
    <w:multiLevelType w:val="hybridMultilevel"/>
    <w:tmpl w:val="91527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41F2BC4"/>
    <w:multiLevelType w:val="hybridMultilevel"/>
    <w:tmpl w:val="88DA8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445113BB"/>
    <w:multiLevelType w:val="multilevel"/>
    <w:tmpl w:val="526AF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45516D9C"/>
    <w:multiLevelType w:val="hybridMultilevel"/>
    <w:tmpl w:val="B5A051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45951640"/>
    <w:multiLevelType w:val="hybridMultilevel"/>
    <w:tmpl w:val="7966E1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4684058A"/>
    <w:multiLevelType w:val="hybridMultilevel"/>
    <w:tmpl w:val="42AE7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6DB096E"/>
    <w:multiLevelType w:val="hybridMultilevel"/>
    <w:tmpl w:val="F9224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7293A5C"/>
    <w:multiLevelType w:val="hybridMultilevel"/>
    <w:tmpl w:val="16E81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73863DB"/>
    <w:multiLevelType w:val="hybridMultilevel"/>
    <w:tmpl w:val="35F694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7944BF8"/>
    <w:multiLevelType w:val="hybridMultilevel"/>
    <w:tmpl w:val="48D2F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490D2C58"/>
    <w:multiLevelType w:val="hybridMultilevel"/>
    <w:tmpl w:val="AB28A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9B97CE5"/>
    <w:multiLevelType w:val="hybridMultilevel"/>
    <w:tmpl w:val="78BE7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A7C3A75"/>
    <w:multiLevelType w:val="hybridMultilevel"/>
    <w:tmpl w:val="C8EC9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4B8169E9"/>
    <w:multiLevelType w:val="hybridMultilevel"/>
    <w:tmpl w:val="DA686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C047170"/>
    <w:multiLevelType w:val="hybridMultilevel"/>
    <w:tmpl w:val="695C6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4C047ED1"/>
    <w:multiLevelType w:val="hybridMultilevel"/>
    <w:tmpl w:val="C0169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C505E7F"/>
    <w:multiLevelType w:val="hybridMultilevel"/>
    <w:tmpl w:val="07FA5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4D795E70"/>
    <w:multiLevelType w:val="hybridMultilevel"/>
    <w:tmpl w:val="7FA08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4E165F83"/>
    <w:multiLevelType w:val="hybridMultilevel"/>
    <w:tmpl w:val="F90E5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4ED45ED9"/>
    <w:multiLevelType w:val="hybridMultilevel"/>
    <w:tmpl w:val="E2DEF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F2A3EAC"/>
    <w:multiLevelType w:val="multilevel"/>
    <w:tmpl w:val="FA46F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50A8106B"/>
    <w:multiLevelType w:val="hybridMultilevel"/>
    <w:tmpl w:val="F362B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14E54EF"/>
    <w:multiLevelType w:val="hybridMultilevel"/>
    <w:tmpl w:val="13A063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51DB08C3"/>
    <w:multiLevelType w:val="hybridMultilevel"/>
    <w:tmpl w:val="99640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3B215A6"/>
    <w:multiLevelType w:val="hybridMultilevel"/>
    <w:tmpl w:val="066E219A"/>
    <w:lvl w:ilvl="0" w:tplc="04090001">
      <w:start w:val="1"/>
      <w:numFmt w:val="bullet"/>
      <w:lvlText w:val=""/>
      <w:lvlJc w:val="left"/>
      <w:pPr>
        <w:ind w:left="720" w:hanging="360"/>
      </w:pPr>
      <w:rPr>
        <w:rFonts w:ascii="Symbol" w:hAnsi="Symbol" w:hint="default"/>
      </w:rPr>
    </w:lvl>
    <w:lvl w:ilvl="1" w:tplc="7D76922C">
      <w:numFmt w:val="bullet"/>
      <w:lvlText w:val="•"/>
      <w:lvlJc w:val="left"/>
      <w:pPr>
        <w:ind w:left="1800" w:hanging="720"/>
      </w:pPr>
      <w:rPr>
        <w:rFonts w:ascii="Verdana" w:eastAsia="Times New Roman" w:hAnsi="Verdana"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4877ED4"/>
    <w:multiLevelType w:val="hybridMultilevel"/>
    <w:tmpl w:val="B95A5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54A34642"/>
    <w:multiLevelType w:val="hybridMultilevel"/>
    <w:tmpl w:val="31B8D0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55100C64"/>
    <w:multiLevelType w:val="hybridMultilevel"/>
    <w:tmpl w:val="21286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55625A3F"/>
    <w:multiLevelType w:val="hybridMultilevel"/>
    <w:tmpl w:val="ECE245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556269D7"/>
    <w:multiLevelType w:val="hybridMultilevel"/>
    <w:tmpl w:val="6C626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559455A3"/>
    <w:multiLevelType w:val="hybridMultilevel"/>
    <w:tmpl w:val="121AD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56012322"/>
    <w:multiLevelType w:val="hybridMultilevel"/>
    <w:tmpl w:val="07B06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561D5226"/>
    <w:multiLevelType w:val="hybridMultilevel"/>
    <w:tmpl w:val="6BCE1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56A83BF7"/>
    <w:multiLevelType w:val="hybridMultilevel"/>
    <w:tmpl w:val="5CFCA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580C7B4E"/>
    <w:multiLevelType w:val="hybridMultilevel"/>
    <w:tmpl w:val="502E6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58E91D6D"/>
    <w:multiLevelType w:val="hybridMultilevel"/>
    <w:tmpl w:val="36642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59845B1C"/>
    <w:multiLevelType w:val="hybridMultilevel"/>
    <w:tmpl w:val="2D962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5A955280"/>
    <w:multiLevelType w:val="hybridMultilevel"/>
    <w:tmpl w:val="6AA47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5B575B67"/>
    <w:multiLevelType w:val="hybridMultilevel"/>
    <w:tmpl w:val="B25AB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5C1A0C73"/>
    <w:multiLevelType w:val="hybridMultilevel"/>
    <w:tmpl w:val="9F0CF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5C527CAF"/>
    <w:multiLevelType w:val="hybridMultilevel"/>
    <w:tmpl w:val="46E42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5CCC5A4F"/>
    <w:multiLevelType w:val="hybridMultilevel"/>
    <w:tmpl w:val="BB4E2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5DD0455F"/>
    <w:multiLevelType w:val="hybridMultilevel"/>
    <w:tmpl w:val="433EE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5E5E0CC1"/>
    <w:multiLevelType w:val="hybridMultilevel"/>
    <w:tmpl w:val="76925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E6F06D9"/>
    <w:multiLevelType w:val="hybridMultilevel"/>
    <w:tmpl w:val="A5B47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F7E1E92"/>
    <w:multiLevelType w:val="hybridMultilevel"/>
    <w:tmpl w:val="FE62A7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FAD2991"/>
    <w:multiLevelType w:val="hybridMultilevel"/>
    <w:tmpl w:val="B420E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5FDC3A88"/>
    <w:multiLevelType w:val="hybridMultilevel"/>
    <w:tmpl w:val="50E00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60197CF5"/>
    <w:multiLevelType w:val="hybridMultilevel"/>
    <w:tmpl w:val="083AD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613F6DAB"/>
    <w:multiLevelType w:val="hybridMultilevel"/>
    <w:tmpl w:val="136EA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62424DBF"/>
    <w:multiLevelType w:val="hybridMultilevel"/>
    <w:tmpl w:val="AFA85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62774BF2"/>
    <w:multiLevelType w:val="hybridMultilevel"/>
    <w:tmpl w:val="A394F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635203D3"/>
    <w:multiLevelType w:val="hybridMultilevel"/>
    <w:tmpl w:val="ADE22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63F50571"/>
    <w:multiLevelType w:val="hybridMultilevel"/>
    <w:tmpl w:val="462C6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47C3E22"/>
    <w:multiLevelType w:val="hybridMultilevel"/>
    <w:tmpl w:val="DF3E0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657930A6"/>
    <w:multiLevelType w:val="hybridMultilevel"/>
    <w:tmpl w:val="17324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57D42CF"/>
    <w:multiLevelType w:val="hybridMultilevel"/>
    <w:tmpl w:val="8DEE6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57F798D"/>
    <w:multiLevelType w:val="hybridMultilevel"/>
    <w:tmpl w:val="AD5AD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64659A1"/>
    <w:multiLevelType w:val="multilevel"/>
    <w:tmpl w:val="62C6C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667579C"/>
    <w:multiLevelType w:val="hybridMultilevel"/>
    <w:tmpl w:val="7C52E0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669A6B13"/>
    <w:multiLevelType w:val="hybridMultilevel"/>
    <w:tmpl w:val="18C49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67515932"/>
    <w:multiLevelType w:val="hybridMultilevel"/>
    <w:tmpl w:val="2F2C2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67784032"/>
    <w:multiLevelType w:val="hybridMultilevel"/>
    <w:tmpl w:val="FC1C4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7DA7039"/>
    <w:multiLevelType w:val="hybridMultilevel"/>
    <w:tmpl w:val="32E04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81A67F7"/>
    <w:multiLevelType w:val="hybridMultilevel"/>
    <w:tmpl w:val="7CA8D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697C78BD"/>
    <w:multiLevelType w:val="hybridMultilevel"/>
    <w:tmpl w:val="8118DA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6A5E670B"/>
    <w:multiLevelType w:val="hybridMultilevel"/>
    <w:tmpl w:val="CADCE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6A672FF2"/>
    <w:multiLevelType w:val="hybridMultilevel"/>
    <w:tmpl w:val="0ADA9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6B090CD6"/>
    <w:multiLevelType w:val="hybridMultilevel"/>
    <w:tmpl w:val="3886E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6B241B63"/>
    <w:multiLevelType w:val="hybridMultilevel"/>
    <w:tmpl w:val="A5009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6B322563"/>
    <w:multiLevelType w:val="multilevel"/>
    <w:tmpl w:val="F07EA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6BB83B2C"/>
    <w:multiLevelType w:val="hybridMultilevel"/>
    <w:tmpl w:val="87CC4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6BD76125"/>
    <w:multiLevelType w:val="hybridMultilevel"/>
    <w:tmpl w:val="247CFC64"/>
    <w:lvl w:ilvl="0" w:tplc="1DEEB4E4">
      <w:start w:val="1"/>
      <w:numFmt w:val="lowerLetter"/>
      <w:lvlText w:val="(%1)"/>
      <w:lvlJc w:val="left"/>
      <w:pPr>
        <w:ind w:left="765" w:hanging="4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6D7B673D"/>
    <w:multiLevelType w:val="hybridMultilevel"/>
    <w:tmpl w:val="A1FCF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6EC12CAF"/>
    <w:multiLevelType w:val="hybridMultilevel"/>
    <w:tmpl w:val="C57E2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0A001EC"/>
    <w:multiLevelType w:val="multilevel"/>
    <w:tmpl w:val="D5861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88" w15:restartNumberingAfterBreak="0">
    <w:nsid w:val="70D7320C"/>
    <w:multiLevelType w:val="hybridMultilevel"/>
    <w:tmpl w:val="76040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7170297B"/>
    <w:multiLevelType w:val="hybridMultilevel"/>
    <w:tmpl w:val="41C239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74292BA8"/>
    <w:multiLevelType w:val="hybridMultilevel"/>
    <w:tmpl w:val="14BAA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745E1DE0"/>
    <w:multiLevelType w:val="hybridMultilevel"/>
    <w:tmpl w:val="AC442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748D0EC9"/>
    <w:multiLevelType w:val="hybridMultilevel"/>
    <w:tmpl w:val="B5ECC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75051318"/>
    <w:multiLevelType w:val="hybridMultilevel"/>
    <w:tmpl w:val="6FC20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75087622"/>
    <w:multiLevelType w:val="hybridMultilevel"/>
    <w:tmpl w:val="AA864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751C01D6"/>
    <w:multiLevelType w:val="multilevel"/>
    <w:tmpl w:val="346683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75482382"/>
    <w:multiLevelType w:val="hybridMultilevel"/>
    <w:tmpl w:val="B096F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75632436"/>
    <w:multiLevelType w:val="hybridMultilevel"/>
    <w:tmpl w:val="AEA8F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76822CDA"/>
    <w:multiLevelType w:val="multilevel"/>
    <w:tmpl w:val="D9F8B9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773E4B8F"/>
    <w:multiLevelType w:val="hybridMultilevel"/>
    <w:tmpl w:val="E6BA1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79B14364"/>
    <w:multiLevelType w:val="hybridMultilevel"/>
    <w:tmpl w:val="221E2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79B151E4"/>
    <w:multiLevelType w:val="hybridMultilevel"/>
    <w:tmpl w:val="D0DAC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79FA32DD"/>
    <w:multiLevelType w:val="hybridMultilevel"/>
    <w:tmpl w:val="314EE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7A3059AE"/>
    <w:multiLevelType w:val="hybridMultilevel"/>
    <w:tmpl w:val="60AC2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7A5B52B9"/>
    <w:multiLevelType w:val="hybridMultilevel"/>
    <w:tmpl w:val="AC8605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7A600E29"/>
    <w:multiLevelType w:val="hybridMultilevel"/>
    <w:tmpl w:val="B7A00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7A8D42AD"/>
    <w:multiLevelType w:val="hybridMultilevel"/>
    <w:tmpl w:val="51FCB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7A92738B"/>
    <w:multiLevelType w:val="hybridMultilevel"/>
    <w:tmpl w:val="B6BCC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7B1E6F28"/>
    <w:multiLevelType w:val="hybridMultilevel"/>
    <w:tmpl w:val="3260E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7B7620D8"/>
    <w:multiLevelType w:val="hybridMultilevel"/>
    <w:tmpl w:val="82F8D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7C13279B"/>
    <w:multiLevelType w:val="hybridMultilevel"/>
    <w:tmpl w:val="19529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7DA278C3"/>
    <w:multiLevelType w:val="hybridMultilevel"/>
    <w:tmpl w:val="23724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7"/>
  </w:num>
  <w:num w:numId="2">
    <w:abstractNumId w:val="163"/>
  </w:num>
  <w:num w:numId="3">
    <w:abstractNumId w:val="76"/>
  </w:num>
  <w:num w:numId="4">
    <w:abstractNumId w:val="47"/>
  </w:num>
  <w:num w:numId="5">
    <w:abstractNumId w:val="146"/>
  </w:num>
  <w:num w:numId="6">
    <w:abstractNumId w:val="206"/>
  </w:num>
  <w:num w:numId="7">
    <w:abstractNumId w:val="43"/>
  </w:num>
  <w:num w:numId="8">
    <w:abstractNumId w:val="138"/>
  </w:num>
  <w:num w:numId="9">
    <w:abstractNumId w:val="182"/>
  </w:num>
  <w:num w:numId="10">
    <w:abstractNumId w:val="71"/>
  </w:num>
  <w:num w:numId="11">
    <w:abstractNumId w:val="127"/>
  </w:num>
  <w:num w:numId="12">
    <w:abstractNumId w:val="134"/>
  </w:num>
  <w:num w:numId="13">
    <w:abstractNumId w:val="185"/>
  </w:num>
  <w:num w:numId="14">
    <w:abstractNumId w:val="63"/>
  </w:num>
  <w:num w:numId="15">
    <w:abstractNumId w:val="154"/>
  </w:num>
  <w:num w:numId="16">
    <w:abstractNumId w:val="21"/>
  </w:num>
  <w:num w:numId="17">
    <w:abstractNumId w:val="14"/>
  </w:num>
  <w:num w:numId="18">
    <w:abstractNumId w:val="95"/>
  </w:num>
  <w:num w:numId="19">
    <w:abstractNumId w:val="68"/>
  </w:num>
  <w:num w:numId="20">
    <w:abstractNumId w:val="19"/>
  </w:num>
  <w:num w:numId="21">
    <w:abstractNumId w:val="105"/>
  </w:num>
  <w:num w:numId="22">
    <w:abstractNumId w:val="34"/>
  </w:num>
  <w:num w:numId="23">
    <w:abstractNumId w:val="72"/>
  </w:num>
  <w:num w:numId="24">
    <w:abstractNumId w:val="11"/>
  </w:num>
  <w:num w:numId="25">
    <w:abstractNumId w:val="171"/>
  </w:num>
  <w:num w:numId="26">
    <w:abstractNumId w:val="64"/>
  </w:num>
  <w:num w:numId="27">
    <w:abstractNumId w:val="141"/>
  </w:num>
  <w:num w:numId="28">
    <w:abstractNumId w:val="60"/>
  </w:num>
  <w:num w:numId="29">
    <w:abstractNumId w:val="157"/>
  </w:num>
  <w:num w:numId="30">
    <w:abstractNumId w:val="142"/>
  </w:num>
  <w:num w:numId="31">
    <w:abstractNumId w:val="32"/>
  </w:num>
  <w:num w:numId="32">
    <w:abstractNumId w:val="8"/>
  </w:num>
  <w:num w:numId="33">
    <w:abstractNumId w:val="35"/>
  </w:num>
  <w:num w:numId="34">
    <w:abstractNumId w:val="110"/>
  </w:num>
  <w:num w:numId="35">
    <w:abstractNumId w:val="207"/>
  </w:num>
  <w:num w:numId="36">
    <w:abstractNumId w:val="192"/>
  </w:num>
  <w:num w:numId="37">
    <w:abstractNumId w:val="169"/>
  </w:num>
  <w:num w:numId="38">
    <w:abstractNumId w:val="139"/>
  </w:num>
  <w:num w:numId="39">
    <w:abstractNumId w:val="137"/>
  </w:num>
  <w:num w:numId="40">
    <w:abstractNumId w:val="94"/>
  </w:num>
  <w:num w:numId="41">
    <w:abstractNumId w:val="40"/>
  </w:num>
  <w:num w:numId="42">
    <w:abstractNumId w:val="211"/>
  </w:num>
  <w:num w:numId="43">
    <w:abstractNumId w:val="33"/>
  </w:num>
  <w:num w:numId="44">
    <w:abstractNumId w:val="12"/>
  </w:num>
  <w:num w:numId="45">
    <w:abstractNumId w:val="69"/>
  </w:num>
  <w:num w:numId="46">
    <w:abstractNumId w:val="158"/>
  </w:num>
  <w:num w:numId="47">
    <w:abstractNumId w:val="27"/>
  </w:num>
  <w:num w:numId="48">
    <w:abstractNumId w:val="201"/>
  </w:num>
  <w:num w:numId="49">
    <w:abstractNumId w:val="209"/>
  </w:num>
  <w:num w:numId="50">
    <w:abstractNumId w:val="180"/>
  </w:num>
  <w:num w:numId="51">
    <w:abstractNumId w:val="55"/>
  </w:num>
  <w:num w:numId="52">
    <w:abstractNumId w:val="54"/>
  </w:num>
  <w:num w:numId="53">
    <w:abstractNumId w:val="193"/>
  </w:num>
  <w:num w:numId="54">
    <w:abstractNumId w:val="67"/>
  </w:num>
  <w:num w:numId="55">
    <w:abstractNumId w:val="120"/>
  </w:num>
  <w:num w:numId="56">
    <w:abstractNumId w:val="145"/>
  </w:num>
  <w:num w:numId="57">
    <w:abstractNumId w:val="104"/>
  </w:num>
  <w:num w:numId="58">
    <w:abstractNumId w:val="197"/>
  </w:num>
  <w:num w:numId="59">
    <w:abstractNumId w:val="51"/>
  </w:num>
  <w:num w:numId="60">
    <w:abstractNumId w:val="45"/>
  </w:num>
  <w:num w:numId="61">
    <w:abstractNumId w:val="203"/>
  </w:num>
  <w:num w:numId="62">
    <w:abstractNumId w:val="1"/>
  </w:num>
  <w:num w:numId="63">
    <w:abstractNumId w:val="20"/>
  </w:num>
  <w:num w:numId="64">
    <w:abstractNumId w:val="59"/>
  </w:num>
  <w:num w:numId="65">
    <w:abstractNumId w:val="136"/>
  </w:num>
  <w:num w:numId="66">
    <w:abstractNumId w:val="79"/>
  </w:num>
  <w:num w:numId="67">
    <w:abstractNumId w:val="170"/>
  </w:num>
  <w:num w:numId="68">
    <w:abstractNumId w:val="143"/>
  </w:num>
  <w:num w:numId="69">
    <w:abstractNumId w:val="151"/>
  </w:num>
  <w:num w:numId="70">
    <w:abstractNumId w:val="112"/>
  </w:num>
  <w:num w:numId="71">
    <w:abstractNumId w:val="73"/>
  </w:num>
  <w:num w:numId="72">
    <w:abstractNumId w:val="96"/>
  </w:num>
  <w:num w:numId="73">
    <w:abstractNumId w:val="30"/>
  </w:num>
  <w:num w:numId="74">
    <w:abstractNumId w:val="172"/>
  </w:num>
  <w:num w:numId="75">
    <w:abstractNumId w:val="83"/>
  </w:num>
  <w:num w:numId="76">
    <w:abstractNumId w:val="202"/>
  </w:num>
  <w:num w:numId="77">
    <w:abstractNumId w:val="86"/>
  </w:num>
  <w:num w:numId="78">
    <w:abstractNumId w:val="124"/>
  </w:num>
  <w:num w:numId="79">
    <w:abstractNumId w:val="144"/>
  </w:num>
  <w:num w:numId="80">
    <w:abstractNumId w:val="91"/>
  </w:num>
  <w:num w:numId="81">
    <w:abstractNumId w:val="90"/>
  </w:num>
  <w:num w:numId="82">
    <w:abstractNumId w:val="36"/>
  </w:num>
  <w:num w:numId="83">
    <w:abstractNumId w:val="114"/>
  </w:num>
  <w:num w:numId="84">
    <w:abstractNumId w:val="121"/>
  </w:num>
  <w:num w:numId="85">
    <w:abstractNumId w:val="102"/>
  </w:num>
  <w:num w:numId="86">
    <w:abstractNumId w:val="168"/>
  </w:num>
  <w:num w:numId="87">
    <w:abstractNumId w:val="10"/>
  </w:num>
  <w:num w:numId="88">
    <w:abstractNumId w:val="175"/>
  </w:num>
  <w:num w:numId="89">
    <w:abstractNumId w:val="200"/>
  </w:num>
  <w:num w:numId="90">
    <w:abstractNumId w:val="16"/>
  </w:num>
  <w:num w:numId="91">
    <w:abstractNumId w:val="23"/>
  </w:num>
  <w:num w:numId="92">
    <w:abstractNumId w:val="149"/>
  </w:num>
  <w:num w:numId="93">
    <w:abstractNumId w:val="164"/>
  </w:num>
  <w:num w:numId="94">
    <w:abstractNumId w:val="210"/>
  </w:num>
  <w:num w:numId="95">
    <w:abstractNumId w:val="82"/>
  </w:num>
  <w:num w:numId="96">
    <w:abstractNumId w:val="39"/>
  </w:num>
  <w:num w:numId="97">
    <w:abstractNumId w:val="125"/>
  </w:num>
  <w:num w:numId="98">
    <w:abstractNumId w:val="109"/>
  </w:num>
  <w:num w:numId="99">
    <w:abstractNumId w:val="17"/>
  </w:num>
  <w:num w:numId="100">
    <w:abstractNumId w:val="87"/>
  </w:num>
  <w:num w:numId="101">
    <w:abstractNumId w:val="159"/>
  </w:num>
  <w:num w:numId="102">
    <w:abstractNumId w:val="97"/>
  </w:num>
  <w:num w:numId="103">
    <w:abstractNumId w:val="93"/>
  </w:num>
  <w:num w:numId="104">
    <w:abstractNumId w:val="148"/>
  </w:num>
  <w:num w:numId="105">
    <w:abstractNumId w:val="38"/>
  </w:num>
  <w:num w:numId="106">
    <w:abstractNumId w:val="65"/>
  </w:num>
  <w:num w:numId="107">
    <w:abstractNumId w:val="176"/>
  </w:num>
  <w:num w:numId="108">
    <w:abstractNumId w:val="78"/>
  </w:num>
  <w:num w:numId="109">
    <w:abstractNumId w:val="92"/>
  </w:num>
  <w:num w:numId="110">
    <w:abstractNumId w:val="48"/>
  </w:num>
  <w:num w:numId="111">
    <w:abstractNumId w:val="117"/>
  </w:num>
  <w:num w:numId="112">
    <w:abstractNumId w:val="135"/>
  </w:num>
  <w:num w:numId="113">
    <w:abstractNumId w:val="128"/>
  </w:num>
  <w:num w:numId="114">
    <w:abstractNumId w:val="50"/>
  </w:num>
  <w:num w:numId="115">
    <w:abstractNumId w:val="122"/>
  </w:num>
  <w:num w:numId="116">
    <w:abstractNumId w:val="153"/>
  </w:num>
  <w:num w:numId="117">
    <w:abstractNumId w:val="56"/>
  </w:num>
  <w:num w:numId="118">
    <w:abstractNumId w:val="196"/>
  </w:num>
  <w:num w:numId="119">
    <w:abstractNumId w:val="77"/>
  </w:num>
  <w:num w:numId="120">
    <w:abstractNumId w:val="191"/>
  </w:num>
  <w:num w:numId="121">
    <w:abstractNumId w:val="152"/>
  </w:num>
  <w:num w:numId="122">
    <w:abstractNumId w:val="4"/>
  </w:num>
  <w:num w:numId="123">
    <w:abstractNumId w:val="123"/>
  </w:num>
  <w:num w:numId="124">
    <w:abstractNumId w:val="205"/>
  </w:num>
  <w:num w:numId="125">
    <w:abstractNumId w:val="126"/>
  </w:num>
  <w:num w:numId="126">
    <w:abstractNumId w:val="85"/>
  </w:num>
  <w:num w:numId="127">
    <w:abstractNumId w:val="167"/>
  </w:num>
  <w:num w:numId="128">
    <w:abstractNumId w:val="28"/>
  </w:num>
  <w:num w:numId="129">
    <w:abstractNumId w:val="74"/>
  </w:num>
  <w:num w:numId="130">
    <w:abstractNumId w:val="150"/>
  </w:num>
  <w:num w:numId="131">
    <w:abstractNumId w:val="24"/>
  </w:num>
  <w:num w:numId="132">
    <w:abstractNumId w:val="99"/>
  </w:num>
  <w:num w:numId="133">
    <w:abstractNumId w:val="140"/>
  </w:num>
  <w:num w:numId="134">
    <w:abstractNumId w:val="173"/>
  </w:num>
  <w:num w:numId="135">
    <w:abstractNumId w:val="101"/>
  </w:num>
  <w:num w:numId="136">
    <w:abstractNumId w:val="183"/>
  </w:num>
  <w:num w:numId="137">
    <w:abstractNumId w:val="13"/>
  </w:num>
  <w:num w:numId="138">
    <w:abstractNumId w:val="26"/>
  </w:num>
  <w:num w:numId="139">
    <w:abstractNumId w:val="7"/>
  </w:num>
  <w:num w:numId="140">
    <w:abstractNumId w:val="88"/>
  </w:num>
  <w:num w:numId="141">
    <w:abstractNumId w:val="115"/>
  </w:num>
  <w:num w:numId="142">
    <w:abstractNumId w:val="57"/>
  </w:num>
  <w:num w:numId="143">
    <w:abstractNumId w:val="177"/>
  </w:num>
  <w:num w:numId="144">
    <w:abstractNumId w:val="188"/>
  </w:num>
  <w:num w:numId="145">
    <w:abstractNumId w:val="194"/>
  </w:num>
  <w:num w:numId="146">
    <w:abstractNumId w:val="15"/>
  </w:num>
  <w:num w:numId="147">
    <w:abstractNumId w:val="5"/>
  </w:num>
  <w:num w:numId="148">
    <w:abstractNumId w:val="174"/>
  </w:num>
  <w:num w:numId="149">
    <w:abstractNumId w:val="162"/>
  </w:num>
  <w:num w:numId="150">
    <w:abstractNumId w:val="75"/>
  </w:num>
  <w:num w:numId="151">
    <w:abstractNumId w:val="18"/>
  </w:num>
  <w:num w:numId="152">
    <w:abstractNumId w:val="58"/>
  </w:num>
  <w:num w:numId="153">
    <w:abstractNumId w:val="80"/>
  </w:num>
  <w:num w:numId="154">
    <w:abstractNumId w:val="189"/>
  </w:num>
  <w:num w:numId="155">
    <w:abstractNumId w:val="198"/>
  </w:num>
  <w:num w:numId="156">
    <w:abstractNumId w:val="2"/>
  </w:num>
  <w:num w:numId="157">
    <w:abstractNumId w:val="41"/>
  </w:num>
  <w:num w:numId="158">
    <w:abstractNumId w:val="155"/>
  </w:num>
  <w:num w:numId="159">
    <w:abstractNumId w:val="89"/>
  </w:num>
  <w:num w:numId="160">
    <w:abstractNumId w:val="106"/>
  </w:num>
  <w:num w:numId="161">
    <w:abstractNumId w:val="37"/>
  </w:num>
  <w:num w:numId="162">
    <w:abstractNumId w:val="208"/>
  </w:num>
  <w:num w:numId="163">
    <w:abstractNumId w:val="61"/>
  </w:num>
  <w:num w:numId="164">
    <w:abstractNumId w:val="204"/>
  </w:num>
  <w:num w:numId="165">
    <w:abstractNumId w:val="190"/>
  </w:num>
  <w:num w:numId="166">
    <w:abstractNumId w:val="132"/>
  </w:num>
  <w:num w:numId="167">
    <w:abstractNumId w:val="133"/>
  </w:num>
  <w:num w:numId="168">
    <w:abstractNumId w:val="29"/>
  </w:num>
  <w:num w:numId="169">
    <w:abstractNumId w:val="178"/>
  </w:num>
  <w:num w:numId="170">
    <w:abstractNumId w:val="62"/>
  </w:num>
  <w:num w:numId="171">
    <w:abstractNumId w:val="100"/>
  </w:num>
  <w:num w:numId="172">
    <w:abstractNumId w:val="119"/>
  </w:num>
  <w:num w:numId="173">
    <w:abstractNumId w:val="156"/>
  </w:num>
  <w:num w:numId="174">
    <w:abstractNumId w:val="53"/>
  </w:num>
  <w:num w:numId="175">
    <w:abstractNumId w:val="199"/>
  </w:num>
  <w:num w:numId="176">
    <w:abstractNumId w:val="129"/>
  </w:num>
  <w:num w:numId="177">
    <w:abstractNumId w:val="6"/>
  </w:num>
  <w:num w:numId="178">
    <w:abstractNumId w:val="44"/>
  </w:num>
  <w:num w:numId="179">
    <w:abstractNumId w:val="184"/>
  </w:num>
  <w:num w:numId="180">
    <w:abstractNumId w:val="81"/>
  </w:num>
  <w:num w:numId="181">
    <w:abstractNumId w:val="111"/>
  </w:num>
  <w:num w:numId="182">
    <w:abstractNumId w:val="46"/>
  </w:num>
  <w:num w:numId="183">
    <w:abstractNumId w:val="98"/>
  </w:num>
  <w:num w:numId="184">
    <w:abstractNumId w:val="166"/>
  </w:num>
  <w:num w:numId="185">
    <w:abstractNumId w:val="108"/>
  </w:num>
  <w:num w:numId="186">
    <w:abstractNumId w:val="31"/>
  </w:num>
  <w:num w:numId="187">
    <w:abstractNumId w:val="84"/>
  </w:num>
  <w:num w:numId="188">
    <w:abstractNumId w:val="147"/>
  </w:num>
  <w:num w:numId="189">
    <w:abstractNumId w:val="70"/>
  </w:num>
  <w:num w:numId="190">
    <w:abstractNumId w:val="0"/>
  </w:num>
  <w:num w:numId="191">
    <w:abstractNumId w:val="160"/>
  </w:num>
  <w:num w:numId="192">
    <w:abstractNumId w:val="103"/>
  </w:num>
  <w:num w:numId="193">
    <w:abstractNumId w:val="165"/>
  </w:num>
  <w:num w:numId="194">
    <w:abstractNumId w:val="25"/>
  </w:num>
  <w:num w:numId="195">
    <w:abstractNumId w:val="42"/>
  </w:num>
  <w:num w:numId="196">
    <w:abstractNumId w:val="186"/>
  </w:num>
  <w:num w:numId="197">
    <w:abstractNumId w:val="22"/>
  </w:num>
  <w:num w:numId="198">
    <w:abstractNumId w:val="66"/>
  </w:num>
  <w:num w:numId="199">
    <w:abstractNumId w:val="107"/>
  </w:num>
  <w:num w:numId="200">
    <w:abstractNumId w:val="195"/>
  </w:num>
  <w:num w:numId="201">
    <w:abstractNumId w:val="113"/>
  </w:num>
  <w:num w:numId="202">
    <w:abstractNumId w:val="181"/>
  </w:num>
  <w:num w:numId="203">
    <w:abstractNumId w:val="131"/>
  </w:num>
  <w:num w:numId="204">
    <w:abstractNumId w:val="52"/>
  </w:num>
  <w:num w:numId="205">
    <w:abstractNumId w:val="187"/>
  </w:num>
  <w:num w:numId="206">
    <w:abstractNumId w:val="116"/>
  </w:num>
  <w:num w:numId="207">
    <w:abstractNumId w:val="118"/>
  </w:num>
  <w:num w:numId="208">
    <w:abstractNumId w:val="3"/>
  </w:num>
  <w:num w:numId="209">
    <w:abstractNumId w:val="130"/>
  </w:num>
  <w:num w:numId="210">
    <w:abstractNumId w:val="161"/>
  </w:num>
  <w:num w:numId="211">
    <w:abstractNumId w:val="179"/>
  </w:num>
  <w:num w:numId="212">
    <w:abstractNumId w:val="49"/>
  </w:num>
  <w:num w:numId="213">
    <w:abstractNumId w:val="187"/>
  </w:num>
  <w:num w:numId="214">
    <w:abstractNumId w:val="9"/>
  </w:num>
  <w:numIdMacAtCleanup w:val="2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DBD"/>
    <w:rsid w:val="00063F84"/>
    <w:rsid w:val="000653B6"/>
    <w:rsid w:val="000659DD"/>
    <w:rsid w:val="000659E8"/>
    <w:rsid w:val="00065BD3"/>
    <w:rsid w:val="000715DD"/>
    <w:rsid w:val="00072ABF"/>
    <w:rsid w:val="00073599"/>
    <w:rsid w:val="00074695"/>
    <w:rsid w:val="00074E20"/>
    <w:rsid w:val="00074E5B"/>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2EC2"/>
    <w:rsid w:val="00096E5C"/>
    <w:rsid w:val="000A03AF"/>
    <w:rsid w:val="000A08F0"/>
    <w:rsid w:val="000A135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0C7"/>
    <w:rsid w:val="00116990"/>
    <w:rsid w:val="00117313"/>
    <w:rsid w:val="001202E3"/>
    <w:rsid w:val="00120D76"/>
    <w:rsid w:val="00121AB0"/>
    <w:rsid w:val="00123CEA"/>
    <w:rsid w:val="00123F69"/>
    <w:rsid w:val="001245CE"/>
    <w:rsid w:val="0012470B"/>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53E"/>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816"/>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1654"/>
    <w:rsid w:val="001F1DC5"/>
    <w:rsid w:val="001F5F20"/>
    <w:rsid w:val="001F70AB"/>
    <w:rsid w:val="001F71BB"/>
    <w:rsid w:val="001F7223"/>
    <w:rsid w:val="001F725F"/>
    <w:rsid w:val="001F7538"/>
    <w:rsid w:val="001F75F0"/>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2AC"/>
    <w:rsid w:val="002423E9"/>
    <w:rsid w:val="002427D3"/>
    <w:rsid w:val="002435C0"/>
    <w:rsid w:val="00243CC7"/>
    <w:rsid w:val="002473B6"/>
    <w:rsid w:val="00247A70"/>
    <w:rsid w:val="00250A74"/>
    <w:rsid w:val="002513A8"/>
    <w:rsid w:val="00252745"/>
    <w:rsid w:val="00252781"/>
    <w:rsid w:val="00252A99"/>
    <w:rsid w:val="00252EC9"/>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580"/>
    <w:rsid w:val="002F7668"/>
    <w:rsid w:val="0030085C"/>
    <w:rsid w:val="00301BEB"/>
    <w:rsid w:val="003023BC"/>
    <w:rsid w:val="00303C53"/>
    <w:rsid w:val="00304C3B"/>
    <w:rsid w:val="00305E80"/>
    <w:rsid w:val="00306109"/>
    <w:rsid w:val="003063F6"/>
    <w:rsid w:val="0030708B"/>
    <w:rsid w:val="003071DC"/>
    <w:rsid w:val="00307CD1"/>
    <w:rsid w:val="00310CDC"/>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68D6"/>
    <w:rsid w:val="003271B2"/>
    <w:rsid w:val="003303B8"/>
    <w:rsid w:val="003304A5"/>
    <w:rsid w:val="003307DC"/>
    <w:rsid w:val="003316BB"/>
    <w:rsid w:val="00331FD6"/>
    <w:rsid w:val="003322FB"/>
    <w:rsid w:val="0033460F"/>
    <w:rsid w:val="003350AD"/>
    <w:rsid w:val="00335DC2"/>
    <w:rsid w:val="00335DFE"/>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3A70"/>
    <w:rsid w:val="00364979"/>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056B"/>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064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2B8"/>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2F0"/>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25D4"/>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C6D"/>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980"/>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2E83"/>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668B"/>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103"/>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30F"/>
    <w:rsid w:val="00836A2A"/>
    <w:rsid w:val="00836ED2"/>
    <w:rsid w:val="0083725D"/>
    <w:rsid w:val="008402A6"/>
    <w:rsid w:val="00840F29"/>
    <w:rsid w:val="00841EB1"/>
    <w:rsid w:val="0084230A"/>
    <w:rsid w:val="00842B7C"/>
    <w:rsid w:val="00842ECB"/>
    <w:rsid w:val="00843ED4"/>
    <w:rsid w:val="0084797C"/>
    <w:rsid w:val="00847FEF"/>
    <w:rsid w:val="00850D39"/>
    <w:rsid w:val="008521BF"/>
    <w:rsid w:val="00852DA3"/>
    <w:rsid w:val="0085361B"/>
    <w:rsid w:val="00853769"/>
    <w:rsid w:val="00854359"/>
    <w:rsid w:val="008552AF"/>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07C"/>
    <w:rsid w:val="0088121F"/>
    <w:rsid w:val="00882C5B"/>
    <w:rsid w:val="008844EE"/>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563"/>
    <w:rsid w:val="008F671D"/>
    <w:rsid w:val="008F6D80"/>
    <w:rsid w:val="008F6E17"/>
    <w:rsid w:val="009007C5"/>
    <w:rsid w:val="00901A98"/>
    <w:rsid w:val="00901F78"/>
    <w:rsid w:val="009022A6"/>
    <w:rsid w:val="0090271A"/>
    <w:rsid w:val="00902C30"/>
    <w:rsid w:val="00903F05"/>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127"/>
    <w:rsid w:val="0096218E"/>
    <w:rsid w:val="009626AC"/>
    <w:rsid w:val="00962913"/>
    <w:rsid w:val="00962A5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8A4"/>
    <w:rsid w:val="00A20D53"/>
    <w:rsid w:val="00A214F5"/>
    <w:rsid w:val="00A21EF9"/>
    <w:rsid w:val="00A22482"/>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3E95"/>
    <w:rsid w:val="00A7518D"/>
    <w:rsid w:val="00A752DF"/>
    <w:rsid w:val="00A76A16"/>
    <w:rsid w:val="00A76ACE"/>
    <w:rsid w:val="00A81057"/>
    <w:rsid w:val="00A81091"/>
    <w:rsid w:val="00A8145D"/>
    <w:rsid w:val="00A81951"/>
    <w:rsid w:val="00A83BA1"/>
    <w:rsid w:val="00A83E6C"/>
    <w:rsid w:val="00A83EA9"/>
    <w:rsid w:val="00A8483D"/>
    <w:rsid w:val="00A85073"/>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E74"/>
    <w:rsid w:val="00AB2209"/>
    <w:rsid w:val="00AB260A"/>
    <w:rsid w:val="00AB2B62"/>
    <w:rsid w:val="00AB2F74"/>
    <w:rsid w:val="00AB470E"/>
    <w:rsid w:val="00AB4BEA"/>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115"/>
    <w:rsid w:val="00AD2C5B"/>
    <w:rsid w:val="00AD302A"/>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525"/>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0691"/>
    <w:rsid w:val="00B4127E"/>
    <w:rsid w:val="00B41622"/>
    <w:rsid w:val="00B4243C"/>
    <w:rsid w:val="00B42993"/>
    <w:rsid w:val="00B4301E"/>
    <w:rsid w:val="00B440E8"/>
    <w:rsid w:val="00B443FD"/>
    <w:rsid w:val="00B4522F"/>
    <w:rsid w:val="00B459D7"/>
    <w:rsid w:val="00B472D2"/>
    <w:rsid w:val="00B4756A"/>
    <w:rsid w:val="00B51073"/>
    <w:rsid w:val="00B52001"/>
    <w:rsid w:val="00B521A5"/>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343"/>
    <w:rsid w:val="00BC0DE7"/>
    <w:rsid w:val="00BC0F4D"/>
    <w:rsid w:val="00BC1AF1"/>
    <w:rsid w:val="00BC2033"/>
    <w:rsid w:val="00BC2B9C"/>
    <w:rsid w:val="00BC2D72"/>
    <w:rsid w:val="00BC5542"/>
    <w:rsid w:val="00BC5D7F"/>
    <w:rsid w:val="00BC6776"/>
    <w:rsid w:val="00BC7F43"/>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6B2"/>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1FEE"/>
    <w:rsid w:val="00C127EC"/>
    <w:rsid w:val="00C12E1C"/>
    <w:rsid w:val="00C13B0B"/>
    <w:rsid w:val="00C14FB7"/>
    <w:rsid w:val="00C169A6"/>
    <w:rsid w:val="00C16BAE"/>
    <w:rsid w:val="00C16E68"/>
    <w:rsid w:val="00C177D1"/>
    <w:rsid w:val="00C17B95"/>
    <w:rsid w:val="00C17D75"/>
    <w:rsid w:val="00C20823"/>
    <w:rsid w:val="00C22494"/>
    <w:rsid w:val="00C230E7"/>
    <w:rsid w:val="00C2370C"/>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56"/>
    <w:rsid w:val="00CA577D"/>
    <w:rsid w:val="00CA637B"/>
    <w:rsid w:val="00CA6B9F"/>
    <w:rsid w:val="00CA7503"/>
    <w:rsid w:val="00CA7986"/>
    <w:rsid w:val="00CA7D32"/>
    <w:rsid w:val="00CA7F9D"/>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37E33"/>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76F"/>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D65"/>
    <w:rsid w:val="00DA09E1"/>
    <w:rsid w:val="00DA1BA5"/>
    <w:rsid w:val="00DA50A3"/>
    <w:rsid w:val="00DA6F62"/>
    <w:rsid w:val="00DA6F93"/>
    <w:rsid w:val="00DB0F58"/>
    <w:rsid w:val="00DB11FC"/>
    <w:rsid w:val="00DB13EE"/>
    <w:rsid w:val="00DB1FAC"/>
    <w:rsid w:val="00DB2D3C"/>
    <w:rsid w:val="00DB2DC1"/>
    <w:rsid w:val="00DB3C1E"/>
    <w:rsid w:val="00DB3FCC"/>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673D"/>
    <w:rsid w:val="00DC6A20"/>
    <w:rsid w:val="00DC6BC0"/>
    <w:rsid w:val="00DD01E4"/>
    <w:rsid w:val="00DD052E"/>
    <w:rsid w:val="00DD11D9"/>
    <w:rsid w:val="00DD1B0D"/>
    <w:rsid w:val="00DD1D27"/>
    <w:rsid w:val="00DD338B"/>
    <w:rsid w:val="00DD350A"/>
    <w:rsid w:val="00DD3D42"/>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F96"/>
    <w:rsid w:val="00E05468"/>
    <w:rsid w:val="00E05F8E"/>
    <w:rsid w:val="00E0605F"/>
    <w:rsid w:val="00E075FB"/>
    <w:rsid w:val="00E07707"/>
    <w:rsid w:val="00E07947"/>
    <w:rsid w:val="00E111E6"/>
    <w:rsid w:val="00E120CA"/>
    <w:rsid w:val="00E13093"/>
    <w:rsid w:val="00E14EAB"/>
    <w:rsid w:val="00E150CA"/>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1BEF"/>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BAB"/>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52A"/>
    <w:rsid w:val="00F57591"/>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5619"/>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84"/>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019A5B4"/>
  <w15:docId w15:val="{F27CE89C-4BC2-4AC0-AE63-BB16380CF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styleId="UnresolvedMention">
    <w:name w:val="Unresolved Mention"/>
    <w:basedOn w:val="DefaultParagraphFont"/>
    <w:uiPriority w:val="99"/>
    <w:semiHidden/>
    <w:unhideWhenUsed/>
    <w:rsid w:val="00B255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4297918">
      <w:bodyDiv w:val="1"/>
      <w:marLeft w:val="0"/>
      <w:marRight w:val="0"/>
      <w:marTop w:val="0"/>
      <w:marBottom w:val="0"/>
      <w:divBdr>
        <w:top w:val="none" w:sz="0" w:space="0" w:color="auto"/>
        <w:left w:val="none" w:sz="0" w:space="0" w:color="auto"/>
        <w:bottom w:val="none" w:sz="0" w:space="0" w:color="auto"/>
        <w:right w:val="none" w:sz="0" w:space="0" w:color="auto"/>
      </w:divBdr>
    </w:div>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28msec.github.io/cellstore-pro/api-ref-queries.html" TargetMode="External"/><Relationship Id="rId26" Type="http://schemas.openxmlformats.org/officeDocument/2006/relationships/hyperlink" Target="http://secxbrl.28.io/v1/_queries/public/api/spreadsheet-for-component?token=c3049752-4d35-43da-82a2-f89f1b06f7a4&amp;aid=0001558370-16-007105&amp;format=html&amp;section=http%3A%2F%2Fwww.mmm.com%2Frole%2FStatementConsolidatedStatementOfIncome&amp;hypercube=xbrl28%3AImpliedTable&amp;profile-name=sec&amp;eliminate=true&amp;validate=true&amp;language=en-US"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www.xbrlsite.azurewebsites.net/2016/Library/SECXBRL-2016-12-31_BasicExamples.zip" TargetMode="External"/><Relationship Id="rId25" Type="http://schemas.openxmlformats.org/officeDocument/2006/relationships/image" Target="media/image12.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9.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ecxbrl.28.io/v1/_queries/public/api/components?token=c3049752-4d35-43da-82a2-f89f1b06f7a4&amp;aid=0001558370-16-007105&amp;format=html&amp;profile-name=sec&amp;validate=true&amp;language=en-US" TargetMode="External"/><Relationship Id="rId32" Type="http://schemas.openxmlformats.org/officeDocument/2006/relationships/hyperlink" Target="http://xbrlsite.azurewebsites.net/2016/Analysis/InterestBasedRevenues/Analysis_INTBX-BSU-CF1-ISS-IEMIX-OILN.zip" TargetMode="External"/><Relationship Id="rId5" Type="http://schemas.openxmlformats.org/officeDocument/2006/relationships/webSettings" Target="webSettings.xml"/><Relationship Id="rId15" Type="http://schemas.openxmlformats.org/officeDocument/2006/relationships/hyperlink" Target="http://app.secxbrl.info/" TargetMode="External"/><Relationship Id="rId23" Type="http://schemas.openxmlformats.org/officeDocument/2006/relationships/image" Target="media/image11.png"/><Relationship Id="rId28" Type="http://schemas.openxmlformats.org/officeDocument/2006/relationships/hyperlink" Target="http://secxbrl.28.io/v1/_queries/public/api/spreadsheet-for-report.jq?token=c3049752-4d35-43da-82a2-f89f1b06f7a4&amp;report=IncomeStatementSingleStep_Special2&amp;fiscalYear=2015&amp;fiscalYear=2014&amp;fiscalYear=2013&amp;fiscalYear=2012&amp;fiscalYear=2011&amp;fiscalPeriod=FY&amp;validate=true&amp;format-indent=yes&amp;labels=false&amp;format=html&amp;cik=0000066740" TargetMode="External"/><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secxbrl.28.io/v1/_queries/public/api/entities.jq?token=c3049752-4d35-43da-82a2-f89f1b06f7a4&amp;format=html&amp;tag=DOW30" TargetMode="External"/><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ecxbrl.28.io/v1/_queries/public/api/archives?token=c3049752-4d35-43da-82a2-f89f1b06f7a4&amp;eid=http%3A%2F%2Fwww.sec.gov%2FCIK%200000066740&amp;format=html&amp;profile-name=sec&amp;language=en-US&amp;archiveFiscalYear=ALL&amp;archiveFiscalPeriod=ALL" TargetMode="External"/><Relationship Id="rId27" Type="http://schemas.openxmlformats.org/officeDocument/2006/relationships/image" Target="media/image13.png"/><Relationship Id="rId30" Type="http://schemas.openxmlformats.org/officeDocument/2006/relationships/hyperlink" Target="http://secxbrl.28.io/v1/_queries/public/api/spreadsheet-for-report.jq?token=c3049752-4d35-43da-82a2-f89f1b06f7a4&amp;report=IncomeStatementSingleStep_Special2&amp;fiscalYear=2015&amp;fiscalPeriod=FY&amp;validate=true&amp;format-indent=yes&amp;labels=false&amp;format=html&amp;cik=0000066740&amp;&amp;cik=27904&amp;cik=1048911&amp;cik=934612&amp;cik=100885&amp;cik=15511&amp;cik=70318&amp;cik=92380&amp;cik=230211&amp;cik=18926" TargetMode="External"/><Relationship Id="rId35"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16.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edgardashboard.xbrlcloud.com/edgar-dashboard/" TargetMode="External"/><Relationship Id="rId3" Type="http://schemas.openxmlformats.org/officeDocument/2006/relationships/hyperlink" Target="http://xbrl.squarespace.com/journal/2018/1/11/further-updated-and-expanded-xbrl-based-financial-report-ext.html" TargetMode="External"/><Relationship Id="rId7" Type="http://schemas.openxmlformats.org/officeDocument/2006/relationships/hyperlink" Target="http://app.secxbrl.info/" TargetMode="External"/><Relationship Id="rId2" Type="http://schemas.openxmlformats.org/officeDocument/2006/relationships/hyperlink" Target="http://xbrlsite.azurewebsites.net/2017/IntelligentDigitalFinancialReporting/Extract.zip" TargetMode="External"/><Relationship Id="rId1" Type="http://schemas.openxmlformats.org/officeDocument/2006/relationships/hyperlink" Target="http://app.secxbrl.info/" TargetMode="External"/><Relationship Id="rId6" Type="http://schemas.openxmlformats.org/officeDocument/2006/relationships/hyperlink" Target="http://www.28.io/" TargetMode="External"/><Relationship Id="rId5" Type="http://schemas.openxmlformats.org/officeDocument/2006/relationships/hyperlink" Target="http://28msec.github.io/cellstore-pro/api-ref-queries.html" TargetMode="External"/><Relationship Id="rId10" Type="http://schemas.openxmlformats.org/officeDocument/2006/relationships/hyperlink" Target="https://findynamics.com/" TargetMode="External"/><Relationship Id="rId4" Type="http://schemas.openxmlformats.org/officeDocument/2006/relationships/hyperlink" Target="http://xbrlsite.azurewebsites.net/2020/reporting-scheme/us-gaap/documentation/ReportingStyles.html" TargetMode="External"/><Relationship Id="rId9" Type="http://schemas.openxmlformats.org/officeDocument/2006/relationships/hyperlink" Target="https://www.xbrlcloud.com/home/edgar-report-information/eridev.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6D8B7A-184C-4A86-B897-9BFE42BB61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1357</TotalTime>
  <Pages>15</Pages>
  <Words>2501</Words>
  <Characters>14261</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16729</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24</cp:revision>
  <cp:lastPrinted>2017-01-10T16:23:00Z</cp:lastPrinted>
  <dcterms:created xsi:type="dcterms:W3CDTF">2016-12-18T21:21:00Z</dcterms:created>
  <dcterms:modified xsi:type="dcterms:W3CDTF">2020-06-11T20:04:00Z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