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0B18EA60" w14:textId="77777777" w:rsidR="00200A70" w:rsidRDefault="00200A70" w:rsidP="002C62B9">
      <w:pPr>
        <w:pStyle w:val="Heading1"/>
      </w:pPr>
      <w:bookmarkStart w:id="0" w:name="_Toc456627580"/>
      <w:bookmarkStart w:id="1" w:name="_Toc469843758"/>
      <w:r>
        <w:t xml:space="preserve">Digital Financial Report Creation </w:t>
      </w:r>
      <w:bookmarkEnd w:id="0"/>
      <w:r>
        <w:t>Best Practices</w:t>
      </w:r>
    </w:p>
    <w:p w14:paraId="3C9DB01F" w14:textId="632FB8F7" w:rsidR="00C5321A" w:rsidRDefault="00C5321A" w:rsidP="002C62B9">
      <w:pPr>
        <w:pStyle w:val="BodyText"/>
      </w:pPr>
      <w:r>
        <w:t>The purpose of this section is to discuss best practices related to the creation of XBRL-based digital financial reports.  In addition, we will discuss a global standard method for creating such reports.</w:t>
      </w:r>
    </w:p>
    <w:p w14:paraId="55E40DDD" w14:textId="231375DF" w:rsidR="00200A70" w:rsidRDefault="00200A70" w:rsidP="002C62B9">
      <w:pPr>
        <w:pStyle w:val="BodyText"/>
      </w:pPr>
      <w:r>
        <w:t>The following is a summary of common sense digital financial report creation best practices which should be consciously applied when creating or reviewing an XBRL-based digital financial report. If you are not conscious of these best practices you are likely unconsciously violating these best practices.</w:t>
      </w:r>
    </w:p>
    <w:p w14:paraId="28F4AF78" w14:textId="77777777" w:rsidR="00200A70" w:rsidRDefault="00200A70" w:rsidP="002C62B9">
      <w:pPr>
        <w:pStyle w:val="BodyText"/>
      </w:pPr>
      <w:r>
        <w:t>These creation best practices apply to every report component which discloses information. This is not a cook book for representing specific accounting disclosures using the XBRL format.</w:t>
      </w:r>
    </w:p>
    <w:p w14:paraId="4DFC5121" w14:textId="77777777" w:rsidR="00200A70" w:rsidRDefault="00200A70" w:rsidP="002C62B9">
      <w:pPr>
        <w:pStyle w:val="BodyText"/>
      </w:pPr>
      <w:r>
        <w:t>These creation best practices are logical, rational, and sensible ideas based on the observation and analysis of thousands of digital financial reports, what seems to work, and what does not work, and more importantly specifically why something does or does not work. These creation best practices relate to the mechanical workings of the report.</w:t>
      </w:r>
    </w:p>
    <w:p w14:paraId="63C14437" w14:textId="77777777" w:rsidR="00200A70" w:rsidRDefault="00200A70" w:rsidP="002C62B9">
      <w:pPr>
        <w:pStyle w:val="BodyText"/>
      </w:pPr>
      <w:r>
        <w:t xml:space="preserve">Each creation best practice is explained, an example provided, as well as descriptive information where that is helpful.  Many </w:t>
      </w:r>
      <w:proofErr w:type="gramStart"/>
      <w:r>
        <w:t>times</w:t>
      </w:r>
      <w:proofErr w:type="gramEnd"/>
      <w:r>
        <w:t xml:space="preserve"> both inappropriate approaches and appropriate approaches are shown so that they might be compared and contrasted so that specific differences can be understood.</w:t>
      </w:r>
    </w:p>
    <w:p w14:paraId="0862DB09" w14:textId="77777777" w:rsidR="00200A70" w:rsidRDefault="00200A70" w:rsidP="002C62B9">
      <w:pPr>
        <w:pStyle w:val="BodyText"/>
      </w:pPr>
      <w:r>
        <w:t xml:space="preserve">Many </w:t>
      </w:r>
      <w:proofErr w:type="gramStart"/>
      <w:r>
        <w:t>times</w:t>
      </w:r>
      <w:proofErr w:type="gramEnd"/>
      <w:r>
        <w:t xml:space="preserve"> details are hard to explain with a simple narrative or screen shot and therefore subtle differences or important nuances can be hard to articulate.  The reference implementation from section for helps to understand subtleties and nuances.  Where it is helpful, best practices are referenced to the reference implementation of an XBRL-based digital financial report in section 4 or to the underlying framework provided in section 3.</w:t>
      </w:r>
    </w:p>
    <w:p w14:paraId="53798EB5" w14:textId="77777777" w:rsidR="00200A70" w:rsidRPr="00744B19" w:rsidRDefault="00200A70" w:rsidP="00980A48">
      <w:pPr>
        <w:pStyle w:val="BodyText"/>
        <w:ind w:left="504"/>
        <w:rPr>
          <w:lang w:val="en-GB"/>
        </w:rPr>
      </w:pPr>
      <w:r>
        <w:rPr>
          <w:highlight w:val="lightGray"/>
          <w:lang w:val="en-GB"/>
        </w:rPr>
        <w:t>HINT</w:t>
      </w:r>
      <w:r w:rsidRPr="00A22A83">
        <w:rPr>
          <w:highlight w:val="lightGray"/>
          <w:lang w:val="en-GB"/>
        </w:rPr>
        <w:t xml:space="preserve">: </w:t>
      </w:r>
      <w:r>
        <w:rPr>
          <w:highlight w:val="lightGray"/>
          <w:lang w:val="en-GB"/>
        </w:rPr>
        <w:t>A good way to learn about creating XBRL-based digital financial reports is examining the mistakes made by others</w:t>
      </w:r>
      <w:r>
        <w:rPr>
          <w:rStyle w:val="FootnoteReference"/>
          <w:highlight w:val="lightGray"/>
          <w:lang w:val="en-GB"/>
        </w:rPr>
        <w:footnoteReference w:id="1"/>
      </w:r>
      <w:r>
        <w:rPr>
          <w:highlight w:val="lightGray"/>
          <w:lang w:val="en-GB"/>
        </w:rPr>
        <w:t xml:space="preserve">.  This blog post provides several PDF files which have lists of errors in XBRL-based public company financial filings submitted to the SEC: </w:t>
      </w:r>
      <w:hyperlink r:id="rId8" w:history="1">
        <w:r w:rsidRPr="00980A48">
          <w:rPr>
            <w:sz w:val="16"/>
            <w:highlight w:val="lightGray"/>
            <w:lang w:val="en-GB"/>
          </w:rPr>
          <w:t>http://xbrl.squarespace.com/journal/2016/12/15/understanding-logical-mechanical-and-mathematical-accounting.html</w:t>
        </w:r>
      </w:hyperlink>
      <w:r>
        <w:rPr>
          <w:rStyle w:val="FootnoteReference"/>
          <w:sz w:val="16"/>
          <w:highlight w:val="lightGray"/>
          <w:lang w:val="en-GB"/>
        </w:rPr>
        <w:footnoteReference w:id="2"/>
      </w:r>
      <w:r w:rsidRPr="00980A48">
        <w:rPr>
          <w:highlight w:val="lightGray"/>
          <w:lang w:val="en-GB"/>
        </w:rPr>
        <w:t>.</w:t>
      </w:r>
    </w:p>
    <w:p w14:paraId="7964968F" w14:textId="77777777" w:rsidR="00200A70" w:rsidRDefault="00200A70" w:rsidP="002C62B9">
      <w:pPr>
        <w:pStyle w:val="Heading2"/>
      </w:pPr>
      <w:bookmarkStart w:id="2" w:name="_Toc456627581"/>
      <w:r>
        <w:t>Recognize that the goal is the meaningful exchange of information readable by both humans and machines</w:t>
      </w:r>
      <w:bookmarkEnd w:id="2"/>
    </w:p>
    <w:p w14:paraId="22F0DFDE" w14:textId="77777777" w:rsidR="00200A70" w:rsidRDefault="00200A70" w:rsidP="002C62B9">
      <w:pPr>
        <w:pStyle w:val="BodyText"/>
      </w:pPr>
      <w:r>
        <w:t xml:space="preserve">Financial reports tell a story.  That is the ultimate purpose of a financial report, to summarize the financial position and financial condition of an economic entity.  </w:t>
      </w:r>
    </w:p>
    <w:p w14:paraId="0DC8FB21" w14:textId="77777777" w:rsidR="00200A70" w:rsidRDefault="00200A70" w:rsidP="002C62B9">
      <w:pPr>
        <w:pStyle w:val="BodyText"/>
      </w:pPr>
      <w:r>
        <w:lastRenderedPageBreak/>
        <w:t xml:space="preserve">That story is the same whether the information of that financial report is expressed on paper, electronically using HTML or PDF, or digitally using the XBRL technical format or some other </w:t>
      </w:r>
      <w:proofErr w:type="gramStart"/>
      <w:r>
        <w:t>machine readable</w:t>
      </w:r>
      <w:proofErr w:type="gramEnd"/>
      <w:r>
        <w:t xml:space="preserve"> format. Changing the medium which is used to represent and communicate the information does not change the story the financial report conveys.</w:t>
      </w:r>
    </w:p>
    <w:p w14:paraId="7256CC4B" w14:textId="77777777" w:rsidR="00200A70" w:rsidRDefault="00200A70" w:rsidP="002C62B9">
      <w:pPr>
        <w:pStyle w:val="BodyText"/>
      </w:pPr>
      <w:r>
        <w:t xml:space="preserve">Creators and users of information conveyed in a financial report may interpret reported facts in different ways; </w:t>
      </w:r>
      <w:proofErr w:type="gramStart"/>
      <w:r>
        <w:t>however</w:t>
      </w:r>
      <w:proofErr w:type="gramEnd"/>
      <w:r>
        <w:t xml:space="preserve"> they must agree on the facts which have been reported. The meaning of the reported fact must be unambiguous.</w:t>
      </w:r>
    </w:p>
    <w:p w14:paraId="06E85901" w14:textId="77777777" w:rsidR="00200A70" w:rsidRDefault="00200A70" w:rsidP="002C62B9">
      <w:pPr>
        <w:pStyle w:val="BodyText"/>
        <w:rPr>
          <w:rFonts w:ascii="Arial" w:hAnsi="Arial" w:cs="Arial"/>
          <w:b/>
          <w:bCs/>
          <w:i/>
          <w:iCs/>
          <w:sz w:val="28"/>
          <w:szCs w:val="28"/>
        </w:rPr>
      </w:pPr>
      <w:r>
        <w:t>The bottom line is that the creator of the information and the users of the information conveyed by a digital financial report should have the same understanding of the facts.  Users may interpret the information as they wish, but the facts should have the same meaning to the creator or any one reading a digital financial report, even if the reader is a machine-based process.</w:t>
      </w:r>
    </w:p>
    <w:p w14:paraId="1AAB234D" w14:textId="77777777" w:rsidR="00200A70" w:rsidRDefault="00200A70" w:rsidP="002C62B9">
      <w:pPr>
        <w:pStyle w:val="Heading2"/>
      </w:pPr>
      <w:bookmarkStart w:id="3" w:name="_Toc456627582"/>
      <w:r>
        <w:t>Remember that meaningful exchange requires prior existence of agreed upon rules</w:t>
      </w:r>
      <w:bookmarkEnd w:id="3"/>
    </w:p>
    <w:p w14:paraId="327613B2" w14:textId="77777777" w:rsidR="00200A70" w:rsidRDefault="00200A70" w:rsidP="002C62B9">
      <w:pPr>
        <w:pStyle w:val="BodyText"/>
      </w:pPr>
      <w:r w:rsidRPr="003C0314">
        <w:t>A meaningful exchange of information can only occur to the extent that technical syntax rules, business domain semantic</w:t>
      </w:r>
      <w:r>
        <w:rPr>
          <w:rStyle w:val="FootnoteReference"/>
        </w:rPr>
        <w:footnoteReference w:id="3"/>
      </w:r>
      <w:r w:rsidRPr="003C0314">
        <w:t xml:space="preserve"> rules, and </w:t>
      </w:r>
      <w:r>
        <w:t xml:space="preserve">business domain </w:t>
      </w:r>
      <w:r w:rsidRPr="003C0314">
        <w:t>workflow/process rules have been defined</w:t>
      </w:r>
      <w:r>
        <w:t xml:space="preserve"> </w:t>
      </w:r>
      <w:r w:rsidRPr="00116F81">
        <w:rPr>
          <w:i/>
        </w:rPr>
        <w:t>in advance</w:t>
      </w:r>
      <w:r w:rsidRPr="003C0314">
        <w:t xml:space="preserve">. </w:t>
      </w:r>
      <w:r>
        <w:t xml:space="preserve">To the extent that these rules exist </w:t>
      </w:r>
      <w:r w:rsidRPr="00116F81">
        <w:rPr>
          <w:i/>
        </w:rPr>
        <w:t>in advance</w:t>
      </w:r>
      <w:r>
        <w:t xml:space="preserve">, information exchanged will have the quality of meaning for the information to be useful, that quality being guaranteed by </w:t>
      </w:r>
      <w:proofErr w:type="gramStart"/>
      <w:r>
        <w:t>the those</w:t>
      </w:r>
      <w:proofErr w:type="gramEnd"/>
      <w:r>
        <w:t xml:space="preserve"> rules.</w:t>
      </w:r>
    </w:p>
    <w:p w14:paraId="76DE5B84" w14:textId="77777777" w:rsidR="00200A70" w:rsidRDefault="00200A70" w:rsidP="002C62B9">
      <w:pPr>
        <w:pStyle w:val="BodyText"/>
      </w:pPr>
      <w:r>
        <w:t xml:space="preserve">Rules are in essence a form of agreement.  The rules are a communications tool.  When humans are involved in interpreting </w:t>
      </w:r>
      <w:proofErr w:type="gramStart"/>
      <w:r>
        <w:t>information</w:t>
      </w:r>
      <w:proofErr w:type="gramEnd"/>
      <w:r>
        <w:t xml:space="preserve"> they can overcome a certain amount of ambiguity in communicated information.  However, machines are less adept at overcoming ambiguity.  If a rule is not explicitly specified and is open to interpretation, then a software developer must make a choice and decide how exactly to interpret that situation and therefore how a computer will react.  If different software developers are involved, they will commonly interpret things differently.</w:t>
      </w:r>
    </w:p>
    <w:p w14:paraId="4B69DE93" w14:textId="77777777" w:rsidR="00200A70" w:rsidRDefault="00200A70" w:rsidP="002C62B9">
      <w:pPr>
        <w:pStyle w:val="BodyText"/>
      </w:pPr>
      <w:r w:rsidRPr="003C0314">
        <w:t>Historically, such rules have generally been hard coded into individual business systems by progra</w:t>
      </w:r>
      <w:r>
        <w:t>mmers.  Before the internet existed and therefore before one business system could communicate with another business system this was not really a problem.  Every system was a silo.</w:t>
      </w:r>
    </w:p>
    <w:p w14:paraId="378C7E8D" w14:textId="77777777" w:rsidR="00200A70" w:rsidRDefault="00200A70" w:rsidP="002C62B9">
      <w:pPr>
        <w:pStyle w:val="BodyText"/>
      </w:pPr>
      <w:r>
        <w:t>All that changed when the internet came into existence.  Now it is possible to exchange information between business systems.</w:t>
      </w:r>
    </w:p>
    <w:p w14:paraId="23DFB633" w14:textId="77777777" w:rsidR="00200A70" w:rsidRDefault="00200A70" w:rsidP="002C62B9">
      <w:pPr>
        <w:pStyle w:val="BodyText"/>
      </w:pPr>
      <w:r w:rsidRPr="003C0314">
        <w:t xml:space="preserve">However, </w:t>
      </w:r>
      <w:r>
        <w:t xml:space="preserve">rather than hardcoding rules into individual systems </w:t>
      </w:r>
      <w:r w:rsidRPr="003C0314">
        <w:t>these rules can be created external to a system as metadata and managed by business users rather than the IT department</w:t>
      </w:r>
      <w:r>
        <w:rPr>
          <w:rStyle w:val="FootnoteReference"/>
        </w:rPr>
        <w:footnoteReference w:id="4"/>
      </w:r>
      <w:r w:rsidRPr="003C0314">
        <w:t xml:space="preserve">.  </w:t>
      </w:r>
      <w:r>
        <w:t xml:space="preserve">Why is this important?  Because if business people can change rules by changing metadata (rather than relying on programmers to change software code); the way the system acts can be changed by business professionals.  Costs are reduced, time is saved, functionally can be tweaked with less effort.  The rules can also be exchanged </w:t>
      </w:r>
      <w:r w:rsidRPr="003606BF">
        <w:rPr>
          <w:i/>
        </w:rPr>
        <w:t>between</w:t>
      </w:r>
      <w:r>
        <w:t xml:space="preserve"> systems.</w:t>
      </w:r>
    </w:p>
    <w:p w14:paraId="585D873C" w14:textId="77777777" w:rsidR="00200A70" w:rsidRDefault="00200A70" w:rsidP="002C62B9">
      <w:pPr>
        <w:pStyle w:val="BodyText"/>
      </w:pPr>
      <w:r>
        <w:lastRenderedPageBreak/>
        <w:t>The following is a summary of the types of automated and manual verification checks that must be performed to make sure certain that an XBRL-based financial report is created correctly.  To the extent that business rules (a) can be written and (b) are available certain tasks can be automated.  Automated verification tasks are more reliable, not subject to human error, and cost less because of the automation.</w:t>
      </w:r>
    </w:p>
    <w:tbl>
      <w:tblPr>
        <w:tblW w:w="8580" w:type="dxa"/>
        <w:tblInd w:w="93" w:type="dxa"/>
        <w:tblLook w:val="04A0" w:firstRow="1" w:lastRow="0" w:firstColumn="1" w:lastColumn="0" w:noHBand="0" w:noVBand="1"/>
      </w:tblPr>
      <w:tblGrid>
        <w:gridCol w:w="520"/>
        <w:gridCol w:w="6145"/>
        <w:gridCol w:w="1115"/>
        <w:gridCol w:w="800"/>
      </w:tblGrid>
      <w:tr w:rsidR="00200A70" w:rsidRPr="00EA257C" w14:paraId="50190C69" w14:textId="77777777" w:rsidTr="00991583">
        <w:trPr>
          <w:trHeight w:val="735"/>
        </w:trPr>
        <w:tc>
          <w:tcPr>
            <w:tcW w:w="520" w:type="dxa"/>
            <w:tcBorders>
              <w:top w:val="single" w:sz="4" w:space="0" w:color="auto"/>
              <w:left w:val="single" w:sz="4" w:space="0" w:color="auto"/>
              <w:bottom w:val="single" w:sz="4" w:space="0" w:color="auto"/>
              <w:right w:val="single" w:sz="4" w:space="0" w:color="auto"/>
            </w:tcBorders>
            <w:shd w:val="clear" w:color="000000" w:fill="C0C0C0"/>
            <w:noWrap/>
            <w:vAlign w:val="bottom"/>
            <w:hideMark/>
          </w:tcPr>
          <w:p w14:paraId="1719F84B" w14:textId="77777777" w:rsidR="00200A70" w:rsidRPr="00EA257C" w:rsidRDefault="00200A70" w:rsidP="00991583">
            <w:pPr>
              <w:jc w:val="center"/>
              <w:rPr>
                <w:rFonts w:ascii="Arial" w:hAnsi="Arial" w:cs="Arial"/>
                <w:color w:val="000000"/>
                <w:sz w:val="16"/>
                <w:szCs w:val="16"/>
              </w:rPr>
            </w:pPr>
            <w:bookmarkStart w:id="4" w:name="RANGE!B2:E25"/>
            <w:r w:rsidRPr="00EA257C">
              <w:rPr>
                <w:rFonts w:ascii="Arial" w:hAnsi="Arial" w:cs="Arial"/>
                <w:color w:val="000000"/>
                <w:sz w:val="16"/>
                <w:szCs w:val="16"/>
              </w:rPr>
              <w:t>#</w:t>
            </w:r>
            <w:bookmarkEnd w:id="4"/>
          </w:p>
        </w:tc>
        <w:tc>
          <w:tcPr>
            <w:tcW w:w="6180" w:type="dxa"/>
            <w:tcBorders>
              <w:top w:val="single" w:sz="4" w:space="0" w:color="auto"/>
              <w:left w:val="nil"/>
              <w:bottom w:val="single" w:sz="4" w:space="0" w:color="auto"/>
              <w:right w:val="single" w:sz="4" w:space="0" w:color="auto"/>
            </w:tcBorders>
            <w:shd w:val="clear" w:color="000000" w:fill="C0C0C0"/>
            <w:vAlign w:val="bottom"/>
            <w:hideMark/>
          </w:tcPr>
          <w:p w14:paraId="5A571383" w14:textId="77777777" w:rsidR="00200A70" w:rsidRPr="00EA257C" w:rsidRDefault="00200A70" w:rsidP="00991583">
            <w:pPr>
              <w:jc w:val="center"/>
              <w:rPr>
                <w:rFonts w:ascii="Arial" w:hAnsi="Arial" w:cs="Arial"/>
                <w:color w:val="000000"/>
                <w:sz w:val="16"/>
                <w:szCs w:val="16"/>
              </w:rPr>
            </w:pPr>
            <w:r w:rsidRPr="00EA257C">
              <w:rPr>
                <w:rFonts w:ascii="Arial" w:hAnsi="Arial" w:cs="Arial"/>
                <w:color w:val="000000"/>
                <w:sz w:val="16"/>
                <w:szCs w:val="16"/>
              </w:rPr>
              <w:t>Goal or Desired State of Digital Financial Report</w:t>
            </w:r>
          </w:p>
        </w:tc>
        <w:tc>
          <w:tcPr>
            <w:tcW w:w="1080" w:type="dxa"/>
            <w:tcBorders>
              <w:top w:val="single" w:sz="4" w:space="0" w:color="auto"/>
              <w:left w:val="nil"/>
              <w:bottom w:val="single" w:sz="4" w:space="0" w:color="auto"/>
              <w:right w:val="single" w:sz="4" w:space="0" w:color="auto"/>
            </w:tcBorders>
            <w:shd w:val="clear" w:color="000000" w:fill="C0C0C0"/>
            <w:noWrap/>
            <w:vAlign w:val="bottom"/>
            <w:hideMark/>
          </w:tcPr>
          <w:p w14:paraId="59946041" w14:textId="77777777" w:rsidR="00200A70" w:rsidRPr="00EA257C" w:rsidRDefault="00200A70" w:rsidP="00991583">
            <w:pPr>
              <w:jc w:val="center"/>
              <w:rPr>
                <w:rFonts w:ascii="Arial" w:hAnsi="Arial" w:cs="Arial"/>
                <w:color w:val="000000"/>
                <w:sz w:val="16"/>
                <w:szCs w:val="16"/>
              </w:rPr>
            </w:pPr>
            <w:r w:rsidRPr="00EA257C">
              <w:rPr>
                <w:rFonts w:ascii="Arial" w:hAnsi="Arial" w:cs="Arial"/>
                <w:color w:val="000000"/>
                <w:sz w:val="16"/>
                <w:szCs w:val="16"/>
              </w:rPr>
              <w:t>Automatable</w:t>
            </w:r>
          </w:p>
        </w:tc>
        <w:tc>
          <w:tcPr>
            <w:tcW w:w="800" w:type="dxa"/>
            <w:tcBorders>
              <w:top w:val="single" w:sz="4" w:space="0" w:color="auto"/>
              <w:left w:val="nil"/>
              <w:bottom w:val="single" w:sz="4" w:space="0" w:color="auto"/>
              <w:right w:val="single" w:sz="4" w:space="0" w:color="auto"/>
            </w:tcBorders>
            <w:shd w:val="clear" w:color="000000" w:fill="C0C0C0"/>
            <w:noWrap/>
            <w:vAlign w:val="bottom"/>
            <w:hideMark/>
          </w:tcPr>
          <w:p w14:paraId="2C3D8B62" w14:textId="77777777" w:rsidR="00200A70" w:rsidRPr="00EA257C" w:rsidRDefault="00200A70" w:rsidP="00991583">
            <w:pPr>
              <w:jc w:val="center"/>
              <w:rPr>
                <w:rFonts w:ascii="Arial" w:hAnsi="Arial" w:cs="Arial"/>
                <w:color w:val="000000"/>
                <w:sz w:val="16"/>
                <w:szCs w:val="16"/>
              </w:rPr>
            </w:pPr>
            <w:r w:rsidRPr="00EA257C">
              <w:rPr>
                <w:rFonts w:ascii="Arial" w:hAnsi="Arial" w:cs="Arial"/>
                <w:color w:val="000000"/>
                <w:sz w:val="16"/>
                <w:szCs w:val="16"/>
              </w:rPr>
              <w:t>Manual</w:t>
            </w:r>
          </w:p>
        </w:tc>
      </w:tr>
      <w:tr w:rsidR="00200A70" w:rsidRPr="00EA257C" w14:paraId="2E426F71" w14:textId="77777777" w:rsidTr="00991583">
        <w:trPr>
          <w:trHeight w:val="480"/>
        </w:trPr>
        <w:tc>
          <w:tcPr>
            <w:tcW w:w="520" w:type="dxa"/>
            <w:tcBorders>
              <w:top w:val="nil"/>
              <w:left w:val="single" w:sz="4" w:space="0" w:color="auto"/>
              <w:bottom w:val="single" w:sz="4" w:space="0" w:color="auto"/>
              <w:right w:val="single" w:sz="4" w:space="0" w:color="auto"/>
            </w:tcBorders>
            <w:shd w:val="clear" w:color="auto" w:fill="auto"/>
            <w:hideMark/>
          </w:tcPr>
          <w:p w14:paraId="6BFE01DE" w14:textId="77777777" w:rsidR="00200A70" w:rsidRPr="00EA257C" w:rsidRDefault="00200A70" w:rsidP="00991583">
            <w:pPr>
              <w:jc w:val="right"/>
              <w:rPr>
                <w:rFonts w:ascii="Arial" w:hAnsi="Arial" w:cs="Arial"/>
                <w:color w:val="000000"/>
                <w:sz w:val="18"/>
                <w:szCs w:val="18"/>
              </w:rPr>
            </w:pPr>
            <w:r w:rsidRPr="00EA257C">
              <w:rPr>
                <w:rFonts w:ascii="Arial" w:hAnsi="Arial" w:cs="Arial"/>
                <w:color w:val="000000"/>
                <w:sz w:val="18"/>
                <w:szCs w:val="18"/>
              </w:rPr>
              <w:t>1</w:t>
            </w:r>
          </w:p>
        </w:tc>
        <w:tc>
          <w:tcPr>
            <w:tcW w:w="6180" w:type="dxa"/>
            <w:tcBorders>
              <w:top w:val="nil"/>
              <w:left w:val="nil"/>
              <w:bottom w:val="single" w:sz="4" w:space="0" w:color="auto"/>
              <w:right w:val="single" w:sz="4" w:space="0" w:color="auto"/>
            </w:tcBorders>
            <w:shd w:val="clear" w:color="auto" w:fill="auto"/>
            <w:hideMark/>
          </w:tcPr>
          <w:p w14:paraId="0A9A86CE" w14:textId="77777777" w:rsidR="00200A70" w:rsidRPr="00EA257C" w:rsidRDefault="00200A70" w:rsidP="00991583">
            <w:pPr>
              <w:rPr>
                <w:rFonts w:ascii="Arial" w:hAnsi="Arial" w:cs="Arial"/>
                <w:color w:val="000000"/>
                <w:sz w:val="18"/>
                <w:szCs w:val="18"/>
              </w:rPr>
            </w:pPr>
            <w:r w:rsidRPr="00EA257C">
              <w:rPr>
                <w:rFonts w:ascii="Arial" w:hAnsi="Arial" w:cs="Arial"/>
                <w:b/>
                <w:bCs/>
                <w:color w:val="000000"/>
                <w:sz w:val="18"/>
                <w:szCs w:val="18"/>
              </w:rPr>
              <w:t>XBRL syntax</w:t>
            </w:r>
            <w:r w:rsidRPr="00EA257C">
              <w:rPr>
                <w:rFonts w:ascii="Arial" w:hAnsi="Arial" w:cs="Arial"/>
                <w:color w:val="000000"/>
                <w:sz w:val="18"/>
                <w:szCs w:val="18"/>
              </w:rPr>
              <w:t>: XBRL technical syntax consistent with XBRL technical specification requirements</w:t>
            </w:r>
          </w:p>
        </w:tc>
        <w:tc>
          <w:tcPr>
            <w:tcW w:w="1080" w:type="dxa"/>
            <w:tcBorders>
              <w:top w:val="nil"/>
              <w:left w:val="nil"/>
              <w:bottom w:val="single" w:sz="4" w:space="0" w:color="auto"/>
              <w:right w:val="single" w:sz="4" w:space="0" w:color="auto"/>
            </w:tcBorders>
            <w:shd w:val="clear" w:color="auto" w:fill="auto"/>
            <w:hideMark/>
          </w:tcPr>
          <w:p w14:paraId="653248B4" w14:textId="77777777" w:rsidR="00200A70" w:rsidRPr="00EA257C" w:rsidRDefault="00200A70" w:rsidP="00991583">
            <w:pPr>
              <w:jc w:val="center"/>
              <w:rPr>
                <w:rFonts w:ascii="Arial" w:hAnsi="Arial" w:cs="Arial"/>
                <w:color w:val="000000"/>
                <w:sz w:val="18"/>
                <w:szCs w:val="18"/>
              </w:rPr>
            </w:pPr>
            <w:r w:rsidRPr="00EA257C">
              <w:rPr>
                <w:rFonts w:ascii="Arial" w:hAnsi="Arial" w:cs="Arial"/>
                <w:color w:val="000000"/>
                <w:sz w:val="18"/>
                <w:szCs w:val="18"/>
              </w:rPr>
              <w:t>X</w:t>
            </w:r>
          </w:p>
        </w:tc>
        <w:tc>
          <w:tcPr>
            <w:tcW w:w="800" w:type="dxa"/>
            <w:tcBorders>
              <w:top w:val="nil"/>
              <w:left w:val="nil"/>
              <w:bottom w:val="single" w:sz="4" w:space="0" w:color="auto"/>
              <w:right w:val="single" w:sz="4" w:space="0" w:color="auto"/>
            </w:tcBorders>
            <w:shd w:val="clear" w:color="auto" w:fill="auto"/>
            <w:hideMark/>
          </w:tcPr>
          <w:p w14:paraId="551C0040" w14:textId="77777777" w:rsidR="00200A70" w:rsidRPr="00EA257C" w:rsidRDefault="00200A70" w:rsidP="00991583">
            <w:pPr>
              <w:rPr>
                <w:rFonts w:ascii="Arial" w:hAnsi="Arial" w:cs="Arial"/>
                <w:color w:val="000000"/>
                <w:sz w:val="18"/>
                <w:szCs w:val="18"/>
              </w:rPr>
            </w:pPr>
            <w:r w:rsidRPr="00EA257C">
              <w:rPr>
                <w:rFonts w:ascii="Arial" w:hAnsi="Arial" w:cs="Arial"/>
                <w:color w:val="000000"/>
                <w:sz w:val="18"/>
                <w:szCs w:val="18"/>
              </w:rPr>
              <w:t> </w:t>
            </w:r>
          </w:p>
        </w:tc>
      </w:tr>
      <w:tr w:rsidR="00200A70" w:rsidRPr="00EA257C" w14:paraId="77C3CB5A" w14:textId="77777777" w:rsidTr="00991583">
        <w:trPr>
          <w:trHeight w:val="480"/>
        </w:trPr>
        <w:tc>
          <w:tcPr>
            <w:tcW w:w="520" w:type="dxa"/>
            <w:tcBorders>
              <w:top w:val="nil"/>
              <w:left w:val="single" w:sz="4" w:space="0" w:color="auto"/>
              <w:bottom w:val="single" w:sz="4" w:space="0" w:color="auto"/>
              <w:right w:val="single" w:sz="4" w:space="0" w:color="auto"/>
            </w:tcBorders>
            <w:shd w:val="clear" w:color="auto" w:fill="auto"/>
            <w:hideMark/>
          </w:tcPr>
          <w:p w14:paraId="45BA13DF" w14:textId="77777777" w:rsidR="00200A70" w:rsidRPr="00EA257C" w:rsidRDefault="00200A70" w:rsidP="00991583">
            <w:pPr>
              <w:jc w:val="right"/>
              <w:rPr>
                <w:rFonts w:ascii="Arial" w:hAnsi="Arial" w:cs="Arial"/>
                <w:color w:val="000000"/>
                <w:sz w:val="18"/>
                <w:szCs w:val="18"/>
              </w:rPr>
            </w:pPr>
            <w:r w:rsidRPr="00EA257C">
              <w:rPr>
                <w:rFonts w:ascii="Arial" w:hAnsi="Arial" w:cs="Arial"/>
                <w:color w:val="000000"/>
                <w:sz w:val="18"/>
                <w:szCs w:val="18"/>
              </w:rPr>
              <w:t>2</w:t>
            </w:r>
          </w:p>
        </w:tc>
        <w:tc>
          <w:tcPr>
            <w:tcW w:w="6180" w:type="dxa"/>
            <w:tcBorders>
              <w:top w:val="nil"/>
              <w:left w:val="nil"/>
              <w:bottom w:val="single" w:sz="4" w:space="0" w:color="auto"/>
              <w:right w:val="single" w:sz="4" w:space="0" w:color="auto"/>
            </w:tcBorders>
            <w:shd w:val="clear" w:color="auto" w:fill="auto"/>
            <w:hideMark/>
          </w:tcPr>
          <w:p w14:paraId="0E993957" w14:textId="77777777" w:rsidR="00200A70" w:rsidRPr="00EA257C" w:rsidRDefault="00200A70" w:rsidP="00991583">
            <w:pPr>
              <w:rPr>
                <w:rFonts w:ascii="Arial" w:hAnsi="Arial" w:cs="Arial"/>
                <w:color w:val="000000"/>
                <w:sz w:val="18"/>
                <w:szCs w:val="18"/>
              </w:rPr>
            </w:pPr>
            <w:r w:rsidRPr="00EA257C">
              <w:rPr>
                <w:rFonts w:ascii="Arial" w:hAnsi="Arial" w:cs="Arial"/>
                <w:b/>
                <w:bCs/>
                <w:color w:val="000000"/>
                <w:sz w:val="18"/>
                <w:szCs w:val="18"/>
              </w:rPr>
              <w:t>EFM</w:t>
            </w:r>
            <w:r w:rsidRPr="00EA257C">
              <w:rPr>
                <w:rFonts w:ascii="Arial" w:hAnsi="Arial" w:cs="Arial"/>
                <w:color w:val="000000"/>
                <w:sz w:val="18"/>
                <w:szCs w:val="18"/>
              </w:rPr>
              <w:t>: Consistent with requirements of EDGAR Filer automated and manual (EFM) syntax/semantics rules</w:t>
            </w:r>
          </w:p>
        </w:tc>
        <w:tc>
          <w:tcPr>
            <w:tcW w:w="1080" w:type="dxa"/>
            <w:tcBorders>
              <w:top w:val="nil"/>
              <w:left w:val="nil"/>
              <w:bottom w:val="single" w:sz="4" w:space="0" w:color="auto"/>
              <w:right w:val="single" w:sz="4" w:space="0" w:color="auto"/>
            </w:tcBorders>
            <w:shd w:val="clear" w:color="auto" w:fill="auto"/>
            <w:hideMark/>
          </w:tcPr>
          <w:p w14:paraId="27398497" w14:textId="77777777" w:rsidR="00200A70" w:rsidRPr="00EA257C" w:rsidRDefault="00200A70" w:rsidP="00991583">
            <w:pPr>
              <w:jc w:val="center"/>
              <w:rPr>
                <w:rFonts w:ascii="Arial" w:hAnsi="Arial" w:cs="Arial"/>
                <w:color w:val="000000"/>
                <w:sz w:val="18"/>
                <w:szCs w:val="18"/>
              </w:rPr>
            </w:pPr>
            <w:r w:rsidRPr="00EA257C">
              <w:rPr>
                <w:rFonts w:ascii="Arial" w:hAnsi="Arial" w:cs="Arial"/>
                <w:color w:val="000000"/>
                <w:sz w:val="18"/>
                <w:szCs w:val="18"/>
              </w:rPr>
              <w:t>X</w:t>
            </w:r>
          </w:p>
        </w:tc>
        <w:tc>
          <w:tcPr>
            <w:tcW w:w="800" w:type="dxa"/>
            <w:tcBorders>
              <w:top w:val="nil"/>
              <w:left w:val="nil"/>
              <w:bottom w:val="single" w:sz="4" w:space="0" w:color="auto"/>
              <w:right w:val="single" w:sz="4" w:space="0" w:color="auto"/>
            </w:tcBorders>
            <w:shd w:val="clear" w:color="auto" w:fill="auto"/>
            <w:hideMark/>
          </w:tcPr>
          <w:p w14:paraId="64A0615B" w14:textId="77777777" w:rsidR="00200A70" w:rsidRPr="00EA257C" w:rsidRDefault="00200A70" w:rsidP="00991583">
            <w:pPr>
              <w:jc w:val="center"/>
              <w:rPr>
                <w:rFonts w:ascii="Arial" w:hAnsi="Arial" w:cs="Arial"/>
                <w:color w:val="000000"/>
                <w:sz w:val="18"/>
                <w:szCs w:val="18"/>
              </w:rPr>
            </w:pPr>
            <w:r w:rsidRPr="00EA257C">
              <w:rPr>
                <w:rFonts w:ascii="Arial" w:hAnsi="Arial" w:cs="Arial"/>
                <w:color w:val="000000"/>
                <w:sz w:val="18"/>
                <w:szCs w:val="18"/>
              </w:rPr>
              <w:t>X</w:t>
            </w:r>
          </w:p>
        </w:tc>
      </w:tr>
      <w:tr w:rsidR="00200A70" w:rsidRPr="00EA257C" w14:paraId="22CCEC15" w14:textId="77777777" w:rsidTr="00991583">
        <w:trPr>
          <w:trHeight w:val="480"/>
        </w:trPr>
        <w:tc>
          <w:tcPr>
            <w:tcW w:w="520" w:type="dxa"/>
            <w:tcBorders>
              <w:top w:val="nil"/>
              <w:left w:val="single" w:sz="4" w:space="0" w:color="auto"/>
              <w:bottom w:val="single" w:sz="4" w:space="0" w:color="auto"/>
              <w:right w:val="single" w:sz="4" w:space="0" w:color="auto"/>
            </w:tcBorders>
            <w:shd w:val="clear" w:color="auto" w:fill="auto"/>
            <w:hideMark/>
          </w:tcPr>
          <w:p w14:paraId="2D5D4018" w14:textId="77777777" w:rsidR="00200A70" w:rsidRPr="00EA257C" w:rsidRDefault="00200A70" w:rsidP="00991583">
            <w:pPr>
              <w:jc w:val="right"/>
              <w:rPr>
                <w:rFonts w:ascii="Arial" w:hAnsi="Arial" w:cs="Arial"/>
                <w:color w:val="000000"/>
                <w:sz w:val="18"/>
                <w:szCs w:val="18"/>
              </w:rPr>
            </w:pPr>
            <w:r w:rsidRPr="00EA257C">
              <w:rPr>
                <w:rFonts w:ascii="Arial" w:hAnsi="Arial" w:cs="Arial"/>
                <w:color w:val="000000"/>
                <w:sz w:val="18"/>
                <w:szCs w:val="18"/>
              </w:rPr>
              <w:t>3</w:t>
            </w:r>
          </w:p>
        </w:tc>
        <w:tc>
          <w:tcPr>
            <w:tcW w:w="6180" w:type="dxa"/>
            <w:tcBorders>
              <w:top w:val="nil"/>
              <w:left w:val="nil"/>
              <w:bottom w:val="single" w:sz="4" w:space="0" w:color="auto"/>
              <w:right w:val="single" w:sz="4" w:space="0" w:color="auto"/>
            </w:tcBorders>
            <w:shd w:val="clear" w:color="auto" w:fill="auto"/>
            <w:hideMark/>
          </w:tcPr>
          <w:p w14:paraId="6D70B10F" w14:textId="77777777" w:rsidR="00200A70" w:rsidRPr="00EA257C" w:rsidRDefault="00200A70" w:rsidP="00991583">
            <w:pPr>
              <w:rPr>
                <w:rFonts w:ascii="Arial" w:hAnsi="Arial" w:cs="Arial"/>
                <w:color w:val="000000"/>
                <w:sz w:val="18"/>
                <w:szCs w:val="18"/>
              </w:rPr>
            </w:pPr>
            <w:r w:rsidRPr="00EA257C">
              <w:rPr>
                <w:rFonts w:ascii="Arial" w:hAnsi="Arial" w:cs="Arial"/>
                <w:b/>
                <w:bCs/>
                <w:color w:val="000000"/>
                <w:sz w:val="18"/>
                <w:szCs w:val="18"/>
              </w:rPr>
              <w:t>Model structure</w:t>
            </w:r>
            <w:r w:rsidRPr="00EA257C">
              <w:rPr>
                <w:rFonts w:ascii="Arial" w:hAnsi="Arial" w:cs="Arial"/>
                <w:color w:val="000000"/>
                <w:sz w:val="18"/>
                <w:szCs w:val="18"/>
              </w:rPr>
              <w:t>: Consistent and unambiguous report level representation or model structure</w:t>
            </w:r>
          </w:p>
        </w:tc>
        <w:tc>
          <w:tcPr>
            <w:tcW w:w="1080" w:type="dxa"/>
            <w:tcBorders>
              <w:top w:val="nil"/>
              <w:left w:val="nil"/>
              <w:bottom w:val="single" w:sz="4" w:space="0" w:color="auto"/>
              <w:right w:val="single" w:sz="4" w:space="0" w:color="auto"/>
            </w:tcBorders>
            <w:shd w:val="clear" w:color="auto" w:fill="auto"/>
            <w:hideMark/>
          </w:tcPr>
          <w:p w14:paraId="17456C36" w14:textId="77777777" w:rsidR="00200A70" w:rsidRPr="00EA257C" w:rsidRDefault="00200A70" w:rsidP="00991583">
            <w:pPr>
              <w:jc w:val="center"/>
              <w:rPr>
                <w:rFonts w:ascii="Arial" w:hAnsi="Arial" w:cs="Arial"/>
                <w:color w:val="000000"/>
                <w:sz w:val="18"/>
                <w:szCs w:val="18"/>
              </w:rPr>
            </w:pPr>
            <w:r w:rsidRPr="00EA257C">
              <w:rPr>
                <w:rFonts w:ascii="Arial" w:hAnsi="Arial" w:cs="Arial"/>
                <w:color w:val="000000"/>
                <w:sz w:val="18"/>
                <w:szCs w:val="18"/>
              </w:rPr>
              <w:t>X</w:t>
            </w:r>
          </w:p>
        </w:tc>
        <w:tc>
          <w:tcPr>
            <w:tcW w:w="800" w:type="dxa"/>
            <w:tcBorders>
              <w:top w:val="nil"/>
              <w:left w:val="nil"/>
              <w:bottom w:val="single" w:sz="4" w:space="0" w:color="auto"/>
              <w:right w:val="single" w:sz="4" w:space="0" w:color="auto"/>
            </w:tcBorders>
            <w:shd w:val="clear" w:color="auto" w:fill="auto"/>
            <w:hideMark/>
          </w:tcPr>
          <w:p w14:paraId="5D550C7C" w14:textId="77777777" w:rsidR="00200A70" w:rsidRPr="00EA257C" w:rsidRDefault="00200A70" w:rsidP="00991583">
            <w:pPr>
              <w:jc w:val="center"/>
              <w:rPr>
                <w:rFonts w:ascii="Arial" w:hAnsi="Arial" w:cs="Arial"/>
                <w:color w:val="000000"/>
                <w:sz w:val="18"/>
                <w:szCs w:val="18"/>
              </w:rPr>
            </w:pPr>
            <w:r w:rsidRPr="00EA257C">
              <w:rPr>
                <w:rFonts w:ascii="Arial" w:hAnsi="Arial" w:cs="Arial"/>
                <w:color w:val="000000"/>
                <w:sz w:val="18"/>
                <w:szCs w:val="18"/>
              </w:rPr>
              <w:t> </w:t>
            </w:r>
          </w:p>
        </w:tc>
      </w:tr>
      <w:tr w:rsidR="00200A70" w:rsidRPr="00EA257C" w14:paraId="4C352495" w14:textId="77777777" w:rsidTr="00991583">
        <w:trPr>
          <w:trHeight w:val="480"/>
        </w:trPr>
        <w:tc>
          <w:tcPr>
            <w:tcW w:w="520" w:type="dxa"/>
            <w:tcBorders>
              <w:top w:val="nil"/>
              <w:left w:val="single" w:sz="4" w:space="0" w:color="auto"/>
              <w:bottom w:val="single" w:sz="4" w:space="0" w:color="auto"/>
              <w:right w:val="single" w:sz="4" w:space="0" w:color="auto"/>
            </w:tcBorders>
            <w:shd w:val="clear" w:color="auto" w:fill="auto"/>
            <w:hideMark/>
          </w:tcPr>
          <w:p w14:paraId="2A899ED9" w14:textId="77777777" w:rsidR="00200A70" w:rsidRPr="00EA257C" w:rsidRDefault="00200A70" w:rsidP="00991583">
            <w:pPr>
              <w:jc w:val="right"/>
              <w:rPr>
                <w:rFonts w:ascii="Arial" w:hAnsi="Arial" w:cs="Arial"/>
                <w:color w:val="000000"/>
                <w:sz w:val="18"/>
                <w:szCs w:val="18"/>
              </w:rPr>
            </w:pPr>
            <w:r w:rsidRPr="00EA257C">
              <w:rPr>
                <w:rFonts w:ascii="Arial" w:hAnsi="Arial" w:cs="Arial"/>
                <w:color w:val="000000"/>
                <w:sz w:val="18"/>
                <w:szCs w:val="18"/>
              </w:rPr>
              <w:t>4</w:t>
            </w:r>
          </w:p>
        </w:tc>
        <w:tc>
          <w:tcPr>
            <w:tcW w:w="6180" w:type="dxa"/>
            <w:tcBorders>
              <w:top w:val="nil"/>
              <w:left w:val="nil"/>
              <w:bottom w:val="single" w:sz="4" w:space="0" w:color="auto"/>
              <w:right w:val="single" w:sz="4" w:space="0" w:color="auto"/>
            </w:tcBorders>
            <w:shd w:val="clear" w:color="auto" w:fill="auto"/>
            <w:hideMark/>
          </w:tcPr>
          <w:p w14:paraId="7C9FADAA" w14:textId="77777777" w:rsidR="00200A70" w:rsidRPr="00EA257C" w:rsidRDefault="00200A70" w:rsidP="00991583">
            <w:pPr>
              <w:rPr>
                <w:rFonts w:ascii="Arial" w:hAnsi="Arial" w:cs="Arial"/>
                <w:color w:val="000000"/>
                <w:sz w:val="18"/>
                <w:szCs w:val="18"/>
              </w:rPr>
            </w:pPr>
            <w:r w:rsidRPr="00EA257C">
              <w:rPr>
                <w:rFonts w:ascii="Arial" w:hAnsi="Arial" w:cs="Arial"/>
                <w:b/>
                <w:bCs/>
                <w:color w:val="000000"/>
                <w:sz w:val="18"/>
                <w:szCs w:val="18"/>
              </w:rPr>
              <w:t>Root economic entity discovery</w:t>
            </w:r>
            <w:r w:rsidRPr="00EA257C">
              <w:rPr>
                <w:rFonts w:ascii="Arial" w:hAnsi="Arial" w:cs="Arial"/>
                <w:color w:val="000000"/>
                <w:sz w:val="18"/>
                <w:szCs w:val="18"/>
              </w:rPr>
              <w:t>: Root entity of focus (economic entity, accounting entity) successfully and unambiguously detectable</w:t>
            </w:r>
          </w:p>
        </w:tc>
        <w:tc>
          <w:tcPr>
            <w:tcW w:w="1080" w:type="dxa"/>
            <w:tcBorders>
              <w:top w:val="nil"/>
              <w:left w:val="nil"/>
              <w:bottom w:val="single" w:sz="4" w:space="0" w:color="auto"/>
              <w:right w:val="single" w:sz="4" w:space="0" w:color="auto"/>
            </w:tcBorders>
            <w:shd w:val="clear" w:color="auto" w:fill="auto"/>
            <w:hideMark/>
          </w:tcPr>
          <w:p w14:paraId="14D653DD" w14:textId="77777777" w:rsidR="00200A70" w:rsidRPr="00EA257C" w:rsidRDefault="00200A70" w:rsidP="00991583">
            <w:pPr>
              <w:jc w:val="center"/>
              <w:rPr>
                <w:rFonts w:ascii="Arial" w:hAnsi="Arial" w:cs="Arial"/>
                <w:color w:val="000000"/>
                <w:sz w:val="18"/>
                <w:szCs w:val="18"/>
              </w:rPr>
            </w:pPr>
            <w:r w:rsidRPr="00EA257C">
              <w:rPr>
                <w:rFonts w:ascii="Arial" w:hAnsi="Arial" w:cs="Arial"/>
                <w:color w:val="000000"/>
                <w:sz w:val="18"/>
                <w:szCs w:val="18"/>
              </w:rPr>
              <w:t>X</w:t>
            </w:r>
          </w:p>
        </w:tc>
        <w:tc>
          <w:tcPr>
            <w:tcW w:w="800" w:type="dxa"/>
            <w:tcBorders>
              <w:top w:val="nil"/>
              <w:left w:val="nil"/>
              <w:bottom w:val="single" w:sz="4" w:space="0" w:color="auto"/>
              <w:right w:val="single" w:sz="4" w:space="0" w:color="auto"/>
            </w:tcBorders>
            <w:shd w:val="clear" w:color="auto" w:fill="auto"/>
            <w:hideMark/>
          </w:tcPr>
          <w:p w14:paraId="7D5BF78F" w14:textId="77777777" w:rsidR="00200A70" w:rsidRPr="00EA257C" w:rsidRDefault="00200A70" w:rsidP="00991583">
            <w:pPr>
              <w:jc w:val="center"/>
              <w:rPr>
                <w:rFonts w:ascii="Arial" w:hAnsi="Arial" w:cs="Arial"/>
                <w:color w:val="000000"/>
                <w:sz w:val="18"/>
                <w:szCs w:val="18"/>
              </w:rPr>
            </w:pPr>
            <w:r w:rsidRPr="00EA257C">
              <w:rPr>
                <w:rFonts w:ascii="Arial" w:hAnsi="Arial" w:cs="Arial"/>
                <w:color w:val="000000"/>
                <w:sz w:val="18"/>
                <w:szCs w:val="18"/>
              </w:rPr>
              <w:t> </w:t>
            </w:r>
          </w:p>
        </w:tc>
      </w:tr>
      <w:tr w:rsidR="00200A70" w:rsidRPr="00EA257C" w14:paraId="21316F8F" w14:textId="77777777" w:rsidTr="00991583">
        <w:trPr>
          <w:trHeight w:val="720"/>
        </w:trPr>
        <w:tc>
          <w:tcPr>
            <w:tcW w:w="520" w:type="dxa"/>
            <w:tcBorders>
              <w:top w:val="nil"/>
              <w:left w:val="single" w:sz="4" w:space="0" w:color="auto"/>
              <w:bottom w:val="single" w:sz="4" w:space="0" w:color="auto"/>
              <w:right w:val="single" w:sz="4" w:space="0" w:color="auto"/>
            </w:tcBorders>
            <w:shd w:val="clear" w:color="auto" w:fill="auto"/>
            <w:hideMark/>
          </w:tcPr>
          <w:p w14:paraId="2DC936E1" w14:textId="77777777" w:rsidR="00200A70" w:rsidRPr="00EA257C" w:rsidRDefault="00200A70" w:rsidP="00991583">
            <w:pPr>
              <w:jc w:val="right"/>
              <w:rPr>
                <w:rFonts w:ascii="Arial" w:hAnsi="Arial" w:cs="Arial"/>
                <w:color w:val="000000"/>
                <w:sz w:val="18"/>
                <w:szCs w:val="18"/>
              </w:rPr>
            </w:pPr>
            <w:r w:rsidRPr="00EA257C">
              <w:rPr>
                <w:rFonts w:ascii="Arial" w:hAnsi="Arial" w:cs="Arial"/>
                <w:color w:val="000000"/>
                <w:sz w:val="18"/>
                <w:szCs w:val="18"/>
              </w:rPr>
              <w:t>5</w:t>
            </w:r>
          </w:p>
        </w:tc>
        <w:tc>
          <w:tcPr>
            <w:tcW w:w="6180" w:type="dxa"/>
            <w:tcBorders>
              <w:top w:val="nil"/>
              <w:left w:val="nil"/>
              <w:bottom w:val="single" w:sz="4" w:space="0" w:color="auto"/>
              <w:right w:val="single" w:sz="4" w:space="0" w:color="auto"/>
            </w:tcBorders>
            <w:shd w:val="clear" w:color="auto" w:fill="auto"/>
            <w:hideMark/>
          </w:tcPr>
          <w:p w14:paraId="1B4B2BE9" w14:textId="77777777" w:rsidR="00200A70" w:rsidRPr="00EA257C" w:rsidRDefault="00200A70" w:rsidP="00991583">
            <w:pPr>
              <w:rPr>
                <w:rFonts w:ascii="Arial" w:hAnsi="Arial" w:cs="Arial"/>
                <w:color w:val="000000"/>
                <w:sz w:val="18"/>
                <w:szCs w:val="18"/>
              </w:rPr>
            </w:pPr>
            <w:r w:rsidRPr="00EA257C">
              <w:rPr>
                <w:rFonts w:ascii="Arial" w:hAnsi="Arial" w:cs="Arial"/>
                <w:b/>
                <w:bCs/>
                <w:color w:val="000000"/>
                <w:sz w:val="18"/>
                <w:szCs w:val="18"/>
              </w:rPr>
              <w:t>Key dates</w:t>
            </w:r>
            <w:r w:rsidRPr="00EA257C">
              <w:rPr>
                <w:rFonts w:ascii="Arial" w:hAnsi="Arial" w:cs="Arial"/>
                <w:color w:val="000000"/>
                <w:sz w:val="18"/>
                <w:szCs w:val="18"/>
              </w:rPr>
              <w:t>: Current balance sheet date (document period end date) and income statement period (period context of document period end date) successfully and unambiguously detected</w:t>
            </w:r>
          </w:p>
        </w:tc>
        <w:tc>
          <w:tcPr>
            <w:tcW w:w="1080" w:type="dxa"/>
            <w:tcBorders>
              <w:top w:val="nil"/>
              <w:left w:val="nil"/>
              <w:bottom w:val="single" w:sz="4" w:space="0" w:color="auto"/>
              <w:right w:val="single" w:sz="4" w:space="0" w:color="auto"/>
            </w:tcBorders>
            <w:shd w:val="clear" w:color="auto" w:fill="auto"/>
            <w:hideMark/>
          </w:tcPr>
          <w:p w14:paraId="2DE038C7" w14:textId="77777777" w:rsidR="00200A70" w:rsidRPr="00EA257C" w:rsidRDefault="00200A70" w:rsidP="00991583">
            <w:pPr>
              <w:jc w:val="center"/>
              <w:rPr>
                <w:rFonts w:ascii="Arial" w:hAnsi="Arial" w:cs="Arial"/>
                <w:color w:val="000000"/>
                <w:sz w:val="18"/>
                <w:szCs w:val="18"/>
              </w:rPr>
            </w:pPr>
            <w:r w:rsidRPr="00EA257C">
              <w:rPr>
                <w:rFonts w:ascii="Arial" w:hAnsi="Arial" w:cs="Arial"/>
                <w:color w:val="000000"/>
                <w:sz w:val="18"/>
                <w:szCs w:val="18"/>
              </w:rPr>
              <w:t>X</w:t>
            </w:r>
          </w:p>
        </w:tc>
        <w:tc>
          <w:tcPr>
            <w:tcW w:w="800" w:type="dxa"/>
            <w:tcBorders>
              <w:top w:val="nil"/>
              <w:left w:val="nil"/>
              <w:bottom w:val="single" w:sz="4" w:space="0" w:color="auto"/>
              <w:right w:val="single" w:sz="4" w:space="0" w:color="auto"/>
            </w:tcBorders>
            <w:shd w:val="clear" w:color="auto" w:fill="auto"/>
            <w:hideMark/>
          </w:tcPr>
          <w:p w14:paraId="0DEEE770" w14:textId="77777777" w:rsidR="00200A70" w:rsidRPr="00EA257C" w:rsidRDefault="00200A70" w:rsidP="00991583">
            <w:pPr>
              <w:jc w:val="center"/>
              <w:rPr>
                <w:rFonts w:ascii="Arial" w:hAnsi="Arial" w:cs="Arial"/>
                <w:color w:val="000000"/>
                <w:sz w:val="18"/>
                <w:szCs w:val="18"/>
              </w:rPr>
            </w:pPr>
            <w:r w:rsidRPr="00EA257C">
              <w:rPr>
                <w:rFonts w:ascii="Arial" w:hAnsi="Arial" w:cs="Arial"/>
                <w:color w:val="000000"/>
                <w:sz w:val="18"/>
                <w:szCs w:val="18"/>
              </w:rPr>
              <w:t> </w:t>
            </w:r>
          </w:p>
        </w:tc>
      </w:tr>
      <w:tr w:rsidR="00200A70" w:rsidRPr="00EA257C" w14:paraId="56DC609F" w14:textId="77777777" w:rsidTr="00991583">
        <w:trPr>
          <w:trHeight w:val="525"/>
        </w:trPr>
        <w:tc>
          <w:tcPr>
            <w:tcW w:w="520" w:type="dxa"/>
            <w:tcBorders>
              <w:top w:val="nil"/>
              <w:left w:val="single" w:sz="4" w:space="0" w:color="auto"/>
              <w:bottom w:val="single" w:sz="4" w:space="0" w:color="auto"/>
              <w:right w:val="single" w:sz="4" w:space="0" w:color="auto"/>
            </w:tcBorders>
            <w:shd w:val="clear" w:color="auto" w:fill="auto"/>
            <w:hideMark/>
          </w:tcPr>
          <w:p w14:paraId="00917973" w14:textId="77777777" w:rsidR="00200A70" w:rsidRPr="00EA257C" w:rsidRDefault="00200A70" w:rsidP="00991583">
            <w:pPr>
              <w:jc w:val="right"/>
              <w:rPr>
                <w:rFonts w:ascii="Arial" w:hAnsi="Arial" w:cs="Arial"/>
                <w:color w:val="000000"/>
                <w:sz w:val="18"/>
                <w:szCs w:val="18"/>
              </w:rPr>
            </w:pPr>
            <w:r w:rsidRPr="00EA257C">
              <w:rPr>
                <w:rFonts w:ascii="Arial" w:hAnsi="Arial" w:cs="Arial"/>
                <w:color w:val="000000"/>
                <w:sz w:val="18"/>
                <w:szCs w:val="18"/>
              </w:rPr>
              <w:t>6</w:t>
            </w:r>
          </w:p>
        </w:tc>
        <w:tc>
          <w:tcPr>
            <w:tcW w:w="6180" w:type="dxa"/>
            <w:tcBorders>
              <w:top w:val="nil"/>
              <w:left w:val="nil"/>
              <w:bottom w:val="single" w:sz="4" w:space="0" w:color="auto"/>
              <w:right w:val="single" w:sz="4" w:space="0" w:color="auto"/>
            </w:tcBorders>
            <w:shd w:val="clear" w:color="auto" w:fill="auto"/>
            <w:hideMark/>
          </w:tcPr>
          <w:p w14:paraId="67ECE29A" w14:textId="77777777" w:rsidR="00200A70" w:rsidRPr="00EA257C" w:rsidRDefault="00200A70" w:rsidP="00991583">
            <w:pPr>
              <w:rPr>
                <w:rFonts w:ascii="Arial" w:hAnsi="Arial" w:cs="Arial"/>
                <w:color w:val="000000"/>
                <w:sz w:val="18"/>
                <w:szCs w:val="18"/>
              </w:rPr>
            </w:pPr>
            <w:r w:rsidRPr="00EA257C">
              <w:rPr>
                <w:rFonts w:ascii="Arial" w:hAnsi="Arial" w:cs="Arial"/>
                <w:b/>
                <w:bCs/>
                <w:color w:val="000000"/>
                <w:sz w:val="18"/>
                <w:szCs w:val="18"/>
              </w:rPr>
              <w:t>FAC relations</w:t>
            </w:r>
            <w:r w:rsidRPr="00EA257C">
              <w:rPr>
                <w:rFonts w:ascii="Arial" w:hAnsi="Arial" w:cs="Arial"/>
                <w:color w:val="000000"/>
                <w:sz w:val="18"/>
                <w:szCs w:val="18"/>
              </w:rPr>
              <w:t>: Fundamental accounting concept skeleton successfully and unambiguously detected and relations between concepts consistent</w:t>
            </w:r>
          </w:p>
        </w:tc>
        <w:tc>
          <w:tcPr>
            <w:tcW w:w="1080" w:type="dxa"/>
            <w:tcBorders>
              <w:top w:val="nil"/>
              <w:left w:val="nil"/>
              <w:bottom w:val="single" w:sz="4" w:space="0" w:color="auto"/>
              <w:right w:val="single" w:sz="4" w:space="0" w:color="auto"/>
            </w:tcBorders>
            <w:shd w:val="clear" w:color="auto" w:fill="auto"/>
            <w:hideMark/>
          </w:tcPr>
          <w:p w14:paraId="05BE2623" w14:textId="77777777" w:rsidR="00200A70" w:rsidRPr="00EA257C" w:rsidRDefault="00200A70" w:rsidP="00991583">
            <w:pPr>
              <w:jc w:val="center"/>
              <w:rPr>
                <w:rFonts w:ascii="Arial" w:hAnsi="Arial" w:cs="Arial"/>
                <w:color w:val="000000"/>
                <w:sz w:val="18"/>
                <w:szCs w:val="18"/>
              </w:rPr>
            </w:pPr>
            <w:r w:rsidRPr="00EA257C">
              <w:rPr>
                <w:rFonts w:ascii="Arial" w:hAnsi="Arial" w:cs="Arial"/>
                <w:color w:val="000000"/>
                <w:sz w:val="18"/>
                <w:szCs w:val="18"/>
              </w:rPr>
              <w:t>X</w:t>
            </w:r>
          </w:p>
        </w:tc>
        <w:tc>
          <w:tcPr>
            <w:tcW w:w="800" w:type="dxa"/>
            <w:tcBorders>
              <w:top w:val="nil"/>
              <w:left w:val="nil"/>
              <w:bottom w:val="single" w:sz="4" w:space="0" w:color="auto"/>
              <w:right w:val="single" w:sz="4" w:space="0" w:color="auto"/>
            </w:tcBorders>
            <w:shd w:val="clear" w:color="auto" w:fill="auto"/>
            <w:hideMark/>
          </w:tcPr>
          <w:p w14:paraId="6AC9B2C7" w14:textId="77777777" w:rsidR="00200A70" w:rsidRPr="00EA257C" w:rsidRDefault="00200A70" w:rsidP="00991583">
            <w:pPr>
              <w:jc w:val="center"/>
              <w:rPr>
                <w:rFonts w:ascii="Arial" w:hAnsi="Arial" w:cs="Arial"/>
                <w:color w:val="000000"/>
                <w:sz w:val="18"/>
                <w:szCs w:val="18"/>
              </w:rPr>
            </w:pPr>
            <w:r w:rsidRPr="00EA257C">
              <w:rPr>
                <w:rFonts w:ascii="Arial" w:hAnsi="Arial" w:cs="Arial"/>
                <w:color w:val="000000"/>
                <w:sz w:val="18"/>
                <w:szCs w:val="18"/>
              </w:rPr>
              <w:t> </w:t>
            </w:r>
          </w:p>
        </w:tc>
      </w:tr>
      <w:tr w:rsidR="00200A70" w:rsidRPr="00EA257C" w14:paraId="6244F8B2" w14:textId="77777777" w:rsidTr="00991583">
        <w:trPr>
          <w:trHeight w:val="750"/>
        </w:trPr>
        <w:tc>
          <w:tcPr>
            <w:tcW w:w="520" w:type="dxa"/>
            <w:tcBorders>
              <w:top w:val="nil"/>
              <w:left w:val="single" w:sz="4" w:space="0" w:color="auto"/>
              <w:bottom w:val="single" w:sz="4" w:space="0" w:color="auto"/>
              <w:right w:val="single" w:sz="4" w:space="0" w:color="auto"/>
            </w:tcBorders>
            <w:shd w:val="clear" w:color="auto" w:fill="auto"/>
            <w:hideMark/>
          </w:tcPr>
          <w:p w14:paraId="5F7395FE" w14:textId="77777777" w:rsidR="00200A70" w:rsidRPr="00EA257C" w:rsidRDefault="00200A70" w:rsidP="00991583">
            <w:pPr>
              <w:jc w:val="right"/>
              <w:rPr>
                <w:rFonts w:ascii="Arial" w:hAnsi="Arial" w:cs="Arial"/>
                <w:color w:val="000000"/>
                <w:sz w:val="18"/>
                <w:szCs w:val="18"/>
              </w:rPr>
            </w:pPr>
            <w:r w:rsidRPr="00EA257C">
              <w:rPr>
                <w:rFonts w:ascii="Arial" w:hAnsi="Arial" w:cs="Arial"/>
                <w:color w:val="000000"/>
                <w:sz w:val="18"/>
                <w:szCs w:val="18"/>
              </w:rPr>
              <w:t>7</w:t>
            </w:r>
          </w:p>
        </w:tc>
        <w:tc>
          <w:tcPr>
            <w:tcW w:w="6180" w:type="dxa"/>
            <w:tcBorders>
              <w:top w:val="nil"/>
              <w:left w:val="nil"/>
              <w:bottom w:val="single" w:sz="4" w:space="0" w:color="auto"/>
              <w:right w:val="single" w:sz="4" w:space="0" w:color="auto"/>
            </w:tcBorders>
            <w:shd w:val="clear" w:color="auto" w:fill="auto"/>
            <w:hideMark/>
          </w:tcPr>
          <w:p w14:paraId="704E1021" w14:textId="77777777" w:rsidR="00200A70" w:rsidRPr="00EA257C" w:rsidRDefault="00200A70" w:rsidP="00991583">
            <w:pPr>
              <w:rPr>
                <w:rFonts w:ascii="Arial" w:hAnsi="Arial" w:cs="Arial"/>
                <w:color w:val="000000"/>
                <w:sz w:val="18"/>
                <w:szCs w:val="18"/>
              </w:rPr>
            </w:pPr>
            <w:r w:rsidRPr="00EA257C">
              <w:rPr>
                <w:rFonts w:ascii="Arial" w:hAnsi="Arial" w:cs="Arial"/>
                <w:b/>
                <w:bCs/>
                <w:color w:val="000000"/>
                <w:sz w:val="18"/>
                <w:szCs w:val="18"/>
              </w:rPr>
              <w:t>Statement roll ups</w:t>
            </w:r>
            <w:r w:rsidRPr="00EA257C">
              <w:rPr>
                <w:rFonts w:ascii="Arial" w:hAnsi="Arial" w:cs="Arial"/>
                <w:color w:val="000000"/>
                <w:sz w:val="18"/>
                <w:szCs w:val="18"/>
              </w:rPr>
              <w:t xml:space="preserve">: Primary financial statement </w:t>
            </w:r>
            <w:proofErr w:type="gramStart"/>
            <w:r w:rsidRPr="00EA257C">
              <w:rPr>
                <w:rFonts w:ascii="Arial" w:hAnsi="Arial" w:cs="Arial"/>
                <w:color w:val="000000"/>
                <w:sz w:val="18"/>
                <w:szCs w:val="18"/>
              </w:rPr>
              <w:t>roll</w:t>
            </w:r>
            <w:proofErr w:type="gramEnd"/>
            <w:r w:rsidRPr="00EA257C">
              <w:rPr>
                <w:rFonts w:ascii="Arial" w:hAnsi="Arial" w:cs="Arial"/>
                <w:color w:val="000000"/>
                <w:sz w:val="18"/>
                <w:szCs w:val="18"/>
              </w:rPr>
              <w:t xml:space="preserve"> up computations (balance sheet, income statement, statement of comprehensive income, cash flow statement) detected, intact, and foot</w:t>
            </w:r>
          </w:p>
        </w:tc>
        <w:tc>
          <w:tcPr>
            <w:tcW w:w="1080" w:type="dxa"/>
            <w:tcBorders>
              <w:top w:val="nil"/>
              <w:left w:val="nil"/>
              <w:bottom w:val="single" w:sz="4" w:space="0" w:color="auto"/>
              <w:right w:val="single" w:sz="4" w:space="0" w:color="auto"/>
            </w:tcBorders>
            <w:shd w:val="clear" w:color="auto" w:fill="auto"/>
            <w:hideMark/>
          </w:tcPr>
          <w:p w14:paraId="7DCDC08A" w14:textId="77777777" w:rsidR="00200A70" w:rsidRPr="00EA257C" w:rsidRDefault="00200A70" w:rsidP="00991583">
            <w:pPr>
              <w:jc w:val="center"/>
              <w:rPr>
                <w:rFonts w:ascii="Arial" w:hAnsi="Arial" w:cs="Arial"/>
                <w:color w:val="000000"/>
                <w:sz w:val="18"/>
                <w:szCs w:val="18"/>
              </w:rPr>
            </w:pPr>
            <w:r w:rsidRPr="00EA257C">
              <w:rPr>
                <w:rFonts w:ascii="Arial" w:hAnsi="Arial" w:cs="Arial"/>
                <w:color w:val="000000"/>
                <w:sz w:val="18"/>
                <w:szCs w:val="18"/>
              </w:rPr>
              <w:t>X</w:t>
            </w:r>
          </w:p>
        </w:tc>
        <w:tc>
          <w:tcPr>
            <w:tcW w:w="800" w:type="dxa"/>
            <w:tcBorders>
              <w:top w:val="nil"/>
              <w:left w:val="nil"/>
              <w:bottom w:val="single" w:sz="4" w:space="0" w:color="auto"/>
              <w:right w:val="single" w:sz="4" w:space="0" w:color="auto"/>
            </w:tcBorders>
            <w:shd w:val="clear" w:color="auto" w:fill="auto"/>
            <w:hideMark/>
          </w:tcPr>
          <w:p w14:paraId="59606664" w14:textId="77777777" w:rsidR="00200A70" w:rsidRPr="00EA257C" w:rsidRDefault="00200A70" w:rsidP="00991583">
            <w:pPr>
              <w:jc w:val="center"/>
              <w:rPr>
                <w:rFonts w:ascii="Arial" w:hAnsi="Arial" w:cs="Arial"/>
                <w:color w:val="000000"/>
                <w:sz w:val="18"/>
                <w:szCs w:val="18"/>
              </w:rPr>
            </w:pPr>
            <w:r w:rsidRPr="00EA257C">
              <w:rPr>
                <w:rFonts w:ascii="Arial" w:hAnsi="Arial" w:cs="Arial"/>
                <w:color w:val="000000"/>
                <w:sz w:val="18"/>
                <w:szCs w:val="18"/>
              </w:rPr>
              <w:t> </w:t>
            </w:r>
          </w:p>
        </w:tc>
      </w:tr>
      <w:tr w:rsidR="00200A70" w:rsidRPr="00EA257C" w14:paraId="6C6620EB" w14:textId="77777777" w:rsidTr="00991583">
        <w:trPr>
          <w:trHeight w:val="480"/>
        </w:trPr>
        <w:tc>
          <w:tcPr>
            <w:tcW w:w="520" w:type="dxa"/>
            <w:tcBorders>
              <w:top w:val="nil"/>
              <w:left w:val="single" w:sz="4" w:space="0" w:color="auto"/>
              <w:bottom w:val="single" w:sz="4" w:space="0" w:color="auto"/>
              <w:right w:val="single" w:sz="4" w:space="0" w:color="auto"/>
            </w:tcBorders>
            <w:shd w:val="clear" w:color="auto" w:fill="auto"/>
            <w:hideMark/>
          </w:tcPr>
          <w:p w14:paraId="0B05B3DC" w14:textId="77777777" w:rsidR="00200A70" w:rsidRPr="00EA257C" w:rsidRDefault="00200A70" w:rsidP="00991583">
            <w:pPr>
              <w:jc w:val="right"/>
              <w:rPr>
                <w:rFonts w:ascii="Arial" w:hAnsi="Arial" w:cs="Arial"/>
                <w:color w:val="000000"/>
                <w:sz w:val="18"/>
                <w:szCs w:val="18"/>
              </w:rPr>
            </w:pPr>
            <w:r w:rsidRPr="00EA257C">
              <w:rPr>
                <w:rFonts w:ascii="Arial" w:hAnsi="Arial" w:cs="Arial"/>
                <w:color w:val="000000"/>
                <w:sz w:val="18"/>
                <w:szCs w:val="18"/>
              </w:rPr>
              <w:t>8</w:t>
            </w:r>
          </w:p>
        </w:tc>
        <w:tc>
          <w:tcPr>
            <w:tcW w:w="6180" w:type="dxa"/>
            <w:tcBorders>
              <w:top w:val="nil"/>
              <w:left w:val="nil"/>
              <w:bottom w:val="single" w:sz="4" w:space="0" w:color="auto"/>
              <w:right w:val="single" w:sz="4" w:space="0" w:color="auto"/>
            </w:tcBorders>
            <w:shd w:val="clear" w:color="auto" w:fill="auto"/>
            <w:hideMark/>
          </w:tcPr>
          <w:p w14:paraId="74D1C7AD" w14:textId="77777777" w:rsidR="00200A70" w:rsidRPr="00EA257C" w:rsidRDefault="00200A70" w:rsidP="00991583">
            <w:pPr>
              <w:rPr>
                <w:rFonts w:ascii="Arial" w:hAnsi="Arial" w:cs="Arial"/>
                <w:color w:val="000000"/>
                <w:sz w:val="18"/>
                <w:szCs w:val="18"/>
              </w:rPr>
            </w:pPr>
            <w:r w:rsidRPr="00EA257C">
              <w:rPr>
                <w:rFonts w:ascii="Arial" w:hAnsi="Arial" w:cs="Arial"/>
                <w:b/>
                <w:bCs/>
                <w:color w:val="000000"/>
                <w:sz w:val="18"/>
                <w:szCs w:val="18"/>
              </w:rPr>
              <w:t>Statement discovery</w:t>
            </w:r>
            <w:r w:rsidRPr="00EA257C">
              <w:rPr>
                <w:rFonts w:ascii="Arial" w:hAnsi="Arial" w:cs="Arial"/>
                <w:color w:val="000000"/>
                <w:sz w:val="18"/>
                <w:szCs w:val="18"/>
              </w:rPr>
              <w:t>: Primary financial statements successfully discovered</w:t>
            </w:r>
          </w:p>
        </w:tc>
        <w:tc>
          <w:tcPr>
            <w:tcW w:w="1080" w:type="dxa"/>
            <w:tcBorders>
              <w:top w:val="nil"/>
              <w:left w:val="nil"/>
              <w:bottom w:val="single" w:sz="4" w:space="0" w:color="auto"/>
              <w:right w:val="single" w:sz="4" w:space="0" w:color="auto"/>
            </w:tcBorders>
            <w:shd w:val="clear" w:color="auto" w:fill="auto"/>
            <w:hideMark/>
          </w:tcPr>
          <w:p w14:paraId="2EE62000" w14:textId="77777777" w:rsidR="00200A70" w:rsidRPr="00EA257C" w:rsidRDefault="00200A70" w:rsidP="00991583">
            <w:pPr>
              <w:jc w:val="center"/>
              <w:rPr>
                <w:rFonts w:ascii="Arial" w:hAnsi="Arial" w:cs="Arial"/>
                <w:color w:val="000000"/>
                <w:sz w:val="18"/>
                <w:szCs w:val="18"/>
              </w:rPr>
            </w:pPr>
            <w:r w:rsidRPr="00EA257C">
              <w:rPr>
                <w:rFonts w:ascii="Arial" w:hAnsi="Arial" w:cs="Arial"/>
                <w:color w:val="000000"/>
                <w:sz w:val="18"/>
                <w:szCs w:val="18"/>
              </w:rPr>
              <w:t>X</w:t>
            </w:r>
          </w:p>
        </w:tc>
        <w:tc>
          <w:tcPr>
            <w:tcW w:w="800" w:type="dxa"/>
            <w:tcBorders>
              <w:top w:val="nil"/>
              <w:left w:val="nil"/>
              <w:bottom w:val="single" w:sz="4" w:space="0" w:color="auto"/>
              <w:right w:val="single" w:sz="4" w:space="0" w:color="auto"/>
            </w:tcBorders>
            <w:shd w:val="clear" w:color="auto" w:fill="auto"/>
            <w:hideMark/>
          </w:tcPr>
          <w:p w14:paraId="4D66660F" w14:textId="77777777" w:rsidR="00200A70" w:rsidRPr="00EA257C" w:rsidRDefault="00200A70" w:rsidP="00991583">
            <w:pPr>
              <w:jc w:val="center"/>
              <w:rPr>
                <w:rFonts w:ascii="Arial" w:hAnsi="Arial" w:cs="Arial"/>
                <w:color w:val="000000"/>
                <w:sz w:val="18"/>
                <w:szCs w:val="18"/>
              </w:rPr>
            </w:pPr>
            <w:r w:rsidRPr="00EA257C">
              <w:rPr>
                <w:rFonts w:ascii="Arial" w:hAnsi="Arial" w:cs="Arial"/>
                <w:color w:val="000000"/>
                <w:sz w:val="18"/>
                <w:szCs w:val="18"/>
              </w:rPr>
              <w:t>X</w:t>
            </w:r>
          </w:p>
        </w:tc>
      </w:tr>
      <w:tr w:rsidR="00200A70" w:rsidRPr="00EA257C" w14:paraId="346CDCAA" w14:textId="77777777" w:rsidTr="00991583">
        <w:trPr>
          <w:trHeight w:val="720"/>
        </w:trPr>
        <w:tc>
          <w:tcPr>
            <w:tcW w:w="520" w:type="dxa"/>
            <w:tcBorders>
              <w:top w:val="nil"/>
              <w:left w:val="single" w:sz="4" w:space="0" w:color="auto"/>
              <w:bottom w:val="single" w:sz="4" w:space="0" w:color="auto"/>
              <w:right w:val="single" w:sz="4" w:space="0" w:color="auto"/>
            </w:tcBorders>
            <w:shd w:val="clear" w:color="auto" w:fill="auto"/>
            <w:hideMark/>
          </w:tcPr>
          <w:p w14:paraId="2509BE8D" w14:textId="77777777" w:rsidR="00200A70" w:rsidRPr="00EA257C" w:rsidRDefault="00200A70" w:rsidP="00991583">
            <w:pPr>
              <w:jc w:val="right"/>
              <w:rPr>
                <w:rFonts w:ascii="Arial" w:hAnsi="Arial" w:cs="Arial"/>
                <w:color w:val="000000"/>
                <w:sz w:val="18"/>
                <w:szCs w:val="18"/>
              </w:rPr>
            </w:pPr>
            <w:r w:rsidRPr="00EA257C">
              <w:rPr>
                <w:rFonts w:ascii="Arial" w:hAnsi="Arial" w:cs="Arial"/>
                <w:color w:val="000000"/>
                <w:sz w:val="18"/>
                <w:szCs w:val="18"/>
              </w:rPr>
              <w:t>9</w:t>
            </w:r>
          </w:p>
        </w:tc>
        <w:tc>
          <w:tcPr>
            <w:tcW w:w="6180" w:type="dxa"/>
            <w:tcBorders>
              <w:top w:val="nil"/>
              <w:left w:val="nil"/>
              <w:bottom w:val="single" w:sz="4" w:space="0" w:color="auto"/>
              <w:right w:val="single" w:sz="4" w:space="0" w:color="auto"/>
            </w:tcBorders>
            <w:shd w:val="clear" w:color="auto" w:fill="auto"/>
            <w:hideMark/>
          </w:tcPr>
          <w:p w14:paraId="01DFDF59" w14:textId="77777777" w:rsidR="00200A70" w:rsidRPr="00EA257C" w:rsidRDefault="00200A70" w:rsidP="00991583">
            <w:pPr>
              <w:rPr>
                <w:rFonts w:ascii="Arial" w:hAnsi="Arial" w:cs="Arial"/>
                <w:color w:val="000000"/>
                <w:sz w:val="18"/>
                <w:szCs w:val="18"/>
              </w:rPr>
            </w:pPr>
            <w:r w:rsidRPr="00EA257C">
              <w:rPr>
                <w:rFonts w:ascii="Arial" w:hAnsi="Arial" w:cs="Arial"/>
                <w:b/>
                <w:bCs/>
                <w:color w:val="000000"/>
                <w:sz w:val="18"/>
                <w:szCs w:val="18"/>
              </w:rPr>
              <w:t>Statement computations</w:t>
            </w:r>
            <w:r w:rsidRPr="00EA257C">
              <w:rPr>
                <w:rFonts w:ascii="Arial" w:hAnsi="Arial" w:cs="Arial"/>
                <w:color w:val="000000"/>
                <w:sz w:val="18"/>
                <w:szCs w:val="18"/>
              </w:rPr>
              <w:t>: Primary financial statements foot and roll forward (cash flow statement, statement of changes in equity) appropriately</w:t>
            </w:r>
          </w:p>
        </w:tc>
        <w:tc>
          <w:tcPr>
            <w:tcW w:w="1080" w:type="dxa"/>
            <w:tcBorders>
              <w:top w:val="nil"/>
              <w:left w:val="nil"/>
              <w:bottom w:val="single" w:sz="4" w:space="0" w:color="auto"/>
              <w:right w:val="single" w:sz="4" w:space="0" w:color="auto"/>
            </w:tcBorders>
            <w:shd w:val="clear" w:color="auto" w:fill="auto"/>
            <w:hideMark/>
          </w:tcPr>
          <w:p w14:paraId="04880EAF" w14:textId="77777777" w:rsidR="00200A70" w:rsidRPr="00EA257C" w:rsidRDefault="00200A70" w:rsidP="00991583">
            <w:pPr>
              <w:jc w:val="center"/>
              <w:rPr>
                <w:rFonts w:ascii="Arial" w:hAnsi="Arial" w:cs="Arial"/>
                <w:color w:val="000000"/>
                <w:sz w:val="18"/>
                <w:szCs w:val="18"/>
              </w:rPr>
            </w:pPr>
            <w:r w:rsidRPr="00EA257C">
              <w:rPr>
                <w:rFonts w:ascii="Arial" w:hAnsi="Arial" w:cs="Arial"/>
                <w:color w:val="000000"/>
                <w:sz w:val="18"/>
                <w:szCs w:val="18"/>
              </w:rPr>
              <w:t>X</w:t>
            </w:r>
          </w:p>
        </w:tc>
        <w:tc>
          <w:tcPr>
            <w:tcW w:w="800" w:type="dxa"/>
            <w:tcBorders>
              <w:top w:val="nil"/>
              <w:left w:val="nil"/>
              <w:bottom w:val="single" w:sz="4" w:space="0" w:color="auto"/>
              <w:right w:val="single" w:sz="4" w:space="0" w:color="auto"/>
            </w:tcBorders>
            <w:shd w:val="clear" w:color="auto" w:fill="auto"/>
            <w:hideMark/>
          </w:tcPr>
          <w:p w14:paraId="72A80FA3" w14:textId="77777777" w:rsidR="00200A70" w:rsidRPr="00EA257C" w:rsidRDefault="00200A70" w:rsidP="00991583">
            <w:pPr>
              <w:jc w:val="center"/>
              <w:rPr>
                <w:rFonts w:ascii="Arial" w:hAnsi="Arial" w:cs="Arial"/>
                <w:color w:val="000000"/>
                <w:sz w:val="18"/>
                <w:szCs w:val="18"/>
              </w:rPr>
            </w:pPr>
            <w:r w:rsidRPr="00EA257C">
              <w:rPr>
                <w:rFonts w:ascii="Arial" w:hAnsi="Arial" w:cs="Arial"/>
                <w:color w:val="000000"/>
                <w:sz w:val="18"/>
                <w:szCs w:val="18"/>
              </w:rPr>
              <w:t> </w:t>
            </w:r>
          </w:p>
        </w:tc>
      </w:tr>
      <w:tr w:rsidR="00200A70" w:rsidRPr="00EA257C" w14:paraId="25CEF8FC" w14:textId="77777777" w:rsidTr="00991583">
        <w:trPr>
          <w:trHeight w:val="240"/>
        </w:trPr>
        <w:tc>
          <w:tcPr>
            <w:tcW w:w="520" w:type="dxa"/>
            <w:tcBorders>
              <w:top w:val="nil"/>
              <w:left w:val="single" w:sz="4" w:space="0" w:color="auto"/>
              <w:bottom w:val="single" w:sz="4" w:space="0" w:color="auto"/>
              <w:right w:val="single" w:sz="4" w:space="0" w:color="auto"/>
            </w:tcBorders>
            <w:shd w:val="clear" w:color="auto" w:fill="auto"/>
            <w:hideMark/>
          </w:tcPr>
          <w:p w14:paraId="4F5A2512" w14:textId="77777777" w:rsidR="00200A70" w:rsidRPr="00EA257C" w:rsidRDefault="00200A70" w:rsidP="00991583">
            <w:pPr>
              <w:jc w:val="right"/>
              <w:rPr>
                <w:rFonts w:ascii="Arial" w:hAnsi="Arial" w:cs="Arial"/>
                <w:color w:val="000000"/>
                <w:sz w:val="18"/>
                <w:szCs w:val="18"/>
              </w:rPr>
            </w:pPr>
            <w:r w:rsidRPr="00EA257C">
              <w:rPr>
                <w:rFonts w:ascii="Arial" w:hAnsi="Arial" w:cs="Arial"/>
                <w:color w:val="000000"/>
                <w:sz w:val="18"/>
                <w:szCs w:val="18"/>
              </w:rPr>
              <w:t>10</w:t>
            </w:r>
          </w:p>
        </w:tc>
        <w:tc>
          <w:tcPr>
            <w:tcW w:w="6180" w:type="dxa"/>
            <w:tcBorders>
              <w:top w:val="nil"/>
              <w:left w:val="nil"/>
              <w:bottom w:val="single" w:sz="4" w:space="0" w:color="auto"/>
              <w:right w:val="single" w:sz="4" w:space="0" w:color="auto"/>
            </w:tcBorders>
            <w:shd w:val="clear" w:color="auto" w:fill="auto"/>
            <w:hideMark/>
          </w:tcPr>
          <w:p w14:paraId="504D1009" w14:textId="77777777" w:rsidR="00200A70" w:rsidRPr="00EA257C" w:rsidRDefault="00200A70" w:rsidP="00991583">
            <w:pPr>
              <w:rPr>
                <w:rFonts w:ascii="Arial" w:hAnsi="Arial" w:cs="Arial"/>
                <w:color w:val="000000"/>
                <w:sz w:val="18"/>
                <w:szCs w:val="18"/>
              </w:rPr>
            </w:pPr>
            <w:r w:rsidRPr="00EA257C">
              <w:rPr>
                <w:rFonts w:ascii="Arial" w:hAnsi="Arial" w:cs="Arial"/>
                <w:b/>
                <w:bCs/>
                <w:color w:val="000000"/>
                <w:sz w:val="18"/>
                <w:szCs w:val="18"/>
              </w:rPr>
              <w:t>Level 1 notes</w:t>
            </w:r>
            <w:r w:rsidRPr="00EA257C">
              <w:rPr>
                <w:rFonts w:ascii="Arial" w:hAnsi="Arial" w:cs="Arial"/>
                <w:color w:val="000000"/>
                <w:sz w:val="18"/>
                <w:szCs w:val="18"/>
              </w:rPr>
              <w:t>: Level 1 footnote disclosures appropriate</w:t>
            </w:r>
          </w:p>
        </w:tc>
        <w:tc>
          <w:tcPr>
            <w:tcW w:w="1080" w:type="dxa"/>
            <w:tcBorders>
              <w:top w:val="nil"/>
              <w:left w:val="nil"/>
              <w:bottom w:val="single" w:sz="4" w:space="0" w:color="auto"/>
              <w:right w:val="single" w:sz="4" w:space="0" w:color="auto"/>
            </w:tcBorders>
            <w:shd w:val="clear" w:color="auto" w:fill="auto"/>
            <w:hideMark/>
          </w:tcPr>
          <w:p w14:paraId="376D03B5" w14:textId="77777777" w:rsidR="00200A70" w:rsidRPr="00EA257C" w:rsidRDefault="00200A70" w:rsidP="00991583">
            <w:pPr>
              <w:jc w:val="center"/>
              <w:rPr>
                <w:rFonts w:ascii="Arial" w:hAnsi="Arial" w:cs="Arial"/>
                <w:color w:val="000000"/>
                <w:sz w:val="18"/>
                <w:szCs w:val="18"/>
              </w:rPr>
            </w:pPr>
            <w:r w:rsidRPr="00EA257C">
              <w:rPr>
                <w:rFonts w:ascii="Arial" w:hAnsi="Arial" w:cs="Arial"/>
                <w:color w:val="000000"/>
                <w:sz w:val="18"/>
                <w:szCs w:val="18"/>
              </w:rPr>
              <w:t>X</w:t>
            </w:r>
          </w:p>
        </w:tc>
        <w:tc>
          <w:tcPr>
            <w:tcW w:w="800" w:type="dxa"/>
            <w:tcBorders>
              <w:top w:val="nil"/>
              <w:left w:val="nil"/>
              <w:bottom w:val="single" w:sz="4" w:space="0" w:color="auto"/>
              <w:right w:val="single" w:sz="4" w:space="0" w:color="auto"/>
            </w:tcBorders>
            <w:shd w:val="clear" w:color="auto" w:fill="auto"/>
            <w:hideMark/>
          </w:tcPr>
          <w:p w14:paraId="6C3419CF" w14:textId="77777777" w:rsidR="00200A70" w:rsidRPr="00EA257C" w:rsidRDefault="00200A70" w:rsidP="00991583">
            <w:pPr>
              <w:jc w:val="center"/>
              <w:rPr>
                <w:rFonts w:ascii="Arial" w:hAnsi="Arial" w:cs="Arial"/>
                <w:color w:val="000000"/>
                <w:sz w:val="18"/>
                <w:szCs w:val="18"/>
              </w:rPr>
            </w:pPr>
            <w:r w:rsidRPr="00EA257C">
              <w:rPr>
                <w:rFonts w:ascii="Arial" w:hAnsi="Arial" w:cs="Arial"/>
                <w:color w:val="000000"/>
                <w:sz w:val="18"/>
                <w:szCs w:val="18"/>
              </w:rPr>
              <w:t>X</w:t>
            </w:r>
          </w:p>
        </w:tc>
      </w:tr>
      <w:tr w:rsidR="00200A70" w:rsidRPr="00EA257C" w14:paraId="72F56875" w14:textId="77777777" w:rsidTr="00991583">
        <w:trPr>
          <w:trHeight w:val="480"/>
        </w:trPr>
        <w:tc>
          <w:tcPr>
            <w:tcW w:w="520" w:type="dxa"/>
            <w:tcBorders>
              <w:top w:val="nil"/>
              <w:left w:val="single" w:sz="4" w:space="0" w:color="auto"/>
              <w:bottom w:val="single" w:sz="4" w:space="0" w:color="auto"/>
              <w:right w:val="single" w:sz="4" w:space="0" w:color="auto"/>
            </w:tcBorders>
            <w:shd w:val="clear" w:color="auto" w:fill="auto"/>
            <w:hideMark/>
          </w:tcPr>
          <w:p w14:paraId="1032ACD9" w14:textId="77777777" w:rsidR="00200A70" w:rsidRPr="00EA257C" w:rsidRDefault="00200A70" w:rsidP="00991583">
            <w:pPr>
              <w:jc w:val="right"/>
              <w:rPr>
                <w:rFonts w:ascii="Arial" w:hAnsi="Arial" w:cs="Arial"/>
                <w:color w:val="000000"/>
                <w:sz w:val="18"/>
                <w:szCs w:val="18"/>
              </w:rPr>
            </w:pPr>
            <w:r w:rsidRPr="00EA257C">
              <w:rPr>
                <w:rFonts w:ascii="Arial" w:hAnsi="Arial" w:cs="Arial"/>
                <w:color w:val="000000"/>
                <w:sz w:val="18"/>
                <w:szCs w:val="18"/>
              </w:rPr>
              <w:t>11</w:t>
            </w:r>
          </w:p>
        </w:tc>
        <w:tc>
          <w:tcPr>
            <w:tcW w:w="6180" w:type="dxa"/>
            <w:tcBorders>
              <w:top w:val="nil"/>
              <w:left w:val="nil"/>
              <w:bottom w:val="single" w:sz="4" w:space="0" w:color="auto"/>
              <w:right w:val="single" w:sz="4" w:space="0" w:color="auto"/>
            </w:tcBorders>
            <w:shd w:val="clear" w:color="auto" w:fill="auto"/>
            <w:hideMark/>
          </w:tcPr>
          <w:p w14:paraId="031DB762" w14:textId="77777777" w:rsidR="00200A70" w:rsidRPr="00EA257C" w:rsidRDefault="00200A70" w:rsidP="00991583">
            <w:pPr>
              <w:rPr>
                <w:rFonts w:ascii="Arial" w:hAnsi="Arial" w:cs="Arial"/>
                <w:color w:val="000000"/>
                <w:sz w:val="18"/>
                <w:szCs w:val="18"/>
              </w:rPr>
            </w:pPr>
            <w:r w:rsidRPr="00EA257C">
              <w:rPr>
                <w:rFonts w:ascii="Arial" w:hAnsi="Arial" w:cs="Arial"/>
                <w:b/>
                <w:bCs/>
                <w:color w:val="000000"/>
                <w:sz w:val="18"/>
                <w:szCs w:val="18"/>
              </w:rPr>
              <w:t>Industry specific</w:t>
            </w:r>
            <w:r w:rsidRPr="00EA257C">
              <w:rPr>
                <w:rFonts w:ascii="Arial" w:hAnsi="Arial" w:cs="Arial"/>
                <w:color w:val="000000"/>
                <w:sz w:val="18"/>
                <w:szCs w:val="18"/>
              </w:rPr>
              <w:t>: Industry specific accounting concepts and relations valid</w:t>
            </w:r>
          </w:p>
        </w:tc>
        <w:tc>
          <w:tcPr>
            <w:tcW w:w="1080" w:type="dxa"/>
            <w:tcBorders>
              <w:top w:val="nil"/>
              <w:left w:val="nil"/>
              <w:bottom w:val="single" w:sz="4" w:space="0" w:color="auto"/>
              <w:right w:val="single" w:sz="4" w:space="0" w:color="auto"/>
            </w:tcBorders>
            <w:shd w:val="clear" w:color="auto" w:fill="auto"/>
            <w:hideMark/>
          </w:tcPr>
          <w:p w14:paraId="2610E712" w14:textId="77777777" w:rsidR="00200A70" w:rsidRPr="00EA257C" w:rsidRDefault="00200A70" w:rsidP="00991583">
            <w:pPr>
              <w:jc w:val="center"/>
              <w:rPr>
                <w:rFonts w:ascii="Arial" w:hAnsi="Arial" w:cs="Arial"/>
                <w:color w:val="000000"/>
                <w:sz w:val="18"/>
                <w:szCs w:val="18"/>
              </w:rPr>
            </w:pPr>
            <w:r w:rsidRPr="00EA257C">
              <w:rPr>
                <w:rFonts w:ascii="Arial" w:hAnsi="Arial" w:cs="Arial"/>
                <w:color w:val="000000"/>
                <w:sz w:val="18"/>
                <w:szCs w:val="18"/>
              </w:rPr>
              <w:t>X</w:t>
            </w:r>
          </w:p>
        </w:tc>
        <w:tc>
          <w:tcPr>
            <w:tcW w:w="800" w:type="dxa"/>
            <w:tcBorders>
              <w:top w:val="nil"/>
              <w:left w:val="nil"/>
              <w:bottom w:val="single" w:sz="4" w:space="0" w:color="auto"/>
              <w:right w:val="single" w:sz="4" w:space="0" w:color="auto"/>
            </w:tcBorders>
            <w:shd w:val="clear" w:color="auto" w:fill="auto"/>
            <w:hideMark/>
          </w:tcPr>
          <w:p w14:paraId="717D676B" w14:textId="77777777" w:rsidR="00200A70" w:rsidRPr="00EA257C" w:rsidRDefault="00200A70" w:rsidP="00991583">
            <w:pPr>
              <w:jc w:val="center"/>
              <w:rPr>
                <w:rFonts w:ascii="Arial" w:hAnsi="Arial" w:cs="Arial"/>
                <w:color w:val="000000"/>
                <w:sz w:val="18"/>
                <w:szCs w:val="18"/>
              </w:rPr>
            </w:pPr>
            <w:r w:rsidRPr="00EA257C">
              <w:rPr>
                <w:rFonts w:ascii="Arial" w:hAnsi="Arial" w:cs="Arial"/>
                <w:color w:val="000000"/>
                <w:sz w:val="18"/>
                <w:szCs w:val="18"/>
              </w:rPr>
              <w:t>X</w:t>
            </w:r>
          </w:p>
        </w:tc>
      </w:tr>
      <w:tr w:rsidR="00200A70" w:rsidRPr="00EA257C" w14:paraId="71222C4C" w14:textId="77777777" w:rsidTr="00991583">
        <w:trPr>
          <w:trHeight w:val="240"/>
        </w:trPr>
        <w:tc>
          <w:tcPr>
            <w:tcW w:w="520" w:type="dxa"/>
            <w:tcBorders>
              <w:top w:val="nil"/>
              <w:left w:val="single" w:sz="4" w:space="0" w:color="auto"/>
              <w:bottom w:val="single" w:sz="4" w:space="0" w:color="auto"/>
              <w:right w:val="single" w:sz="4" w:space="0" w:color="auto"/>
            </w:tcBorders>
            <w:shd w:val="clear" w:color="auto" w:fill="auto"/>
            <w:hideMark/>
          </w:tcPr>
          <w:p w14:paraId="4BB5429F" w14:textId="77777777" w:rsidR="00200A70" w:rsidRPr="00EA257C" w:rsidRDefault="00200A70" w:rsidP="00991583">
            <w:pPr>
              <w:jc w:val="right"/>
              <w:rPr>
                <w:rFonts w:ascii="Arial" w:hAnsi="Arial" w:cs="Arial"/>
                <w:color w:val="000000"/>
                <w:sz w:val="18"/>
                <w:szCs w:val="18"/>
              </w:rPr>
            </w:pPr>
            <w:r w:rsidRPr="00EA257C">
              <w:rPr>
                <w:rFonts w:ascii="Arial" w:hAnsi="Arial" w:cs="Arial"/>
                <w:color w:val="000000"/>
                <w:sz w:val="18"/>
                <w:szCs w:val="18"/>
              </w:rPr>
              <w:t>12</w:t>
            </w:r>
          </w:p>
        </w:tc>
        <w:tc>
          <w:tcPr>
            <w:tcW w:w="6180" w:type="dxa"/>
            <w:tcBorders>
              <w:top w:val="nil"/>
              <w:left w:val="nil"/>
              <w:bottom w:val="single" w:sz="4" w:space="0" w:color="auto"/>
              <w:right w:val="single" w:sz="4" w:space="0" w:color="auto"/>
            </w:tcBorders>
            <w:shd w:val="clear" w:color="auto" w:fill="auto"/>
            <w:hideMark/>
          </w:tcPr>
          <w:p w14:paraId="03C999D1" w14:textId="77777777" w:rsidR="00200A70" w:rsidRPr="00EA257C" w:rsidRDefault="00200A70" w:rsidP="00991583">
            <w:pPr>
              <w:rPr>
                <w:rFonts w:ascii="Arial" w:hAnsi="Arial" w:cs="Arial"/>
                <w:color w:val="000000"/>
                <w:sz w:val="18"/>
                <w:szCs w:val="18"/>
              </w:rPr>
            </w:pPr>
            <w:r w:rsidRPr="00EA257C">
              <w:rPr>
                <w:rFonts w:ascii="Arial" w:hAnsi="Arial" w:cs="Arial"/>
                <w:b/>
                <w:bCs/>
                <w:color w:val="000000"/>
                <w:sz w:val="18"/>
                <w:szCs w:val="18"/>
              </w:rPr>
              <w:t>Level 2 policies</w:t>
            </w:r>
            <w:r w:rsidRPr="00EA257C">
              <w:rPr>
                <w:rFonts w:ascii="Arial" w:hAnsi="Arial" w:cs="Arial"/>
                <w:color w:val="000000"/>
                <w:sz w:val="18"/>
                <w:szCs w:val="18"/>
              </w:rPr>
              <w:t>: Level 2 policy text block disclosures appropriate</w:t>
            </w:r>
          </w:p>
        </w:tc>
        <w:tc>
          <w:tcPr>
            <w:tcW w:w="1080" w:type="dxa"/>
            <w:tcBorders>
              <w:top w:val="nil"/>
              <w:left w:val="nil"/>
              <w:bottom w:val="single" w:sz="4" w:space="0" w:color="auto"/>
              <w:right w:val="single" w:sz="4" w:space="0" w:color="auto"/>
            </w:tcBorders>
            <w:shd w:val="clear" w:color="auto" w:fill="auto"/>
            <w:hideMark/>
          </w:tcPr>
          <w:p w14:paraId="681EA869" w14:textId="77777777" w:rsidR="00200A70" w:rsidRPr="00EA257C" w:rsidRDefault="00200A70" w:rsidP="00991583">
            <w:pPr>
              <w:jc w:val="center"/>
              <w:rPr>
                <w:rFonts w:ascii="Arial" w:hAnsi="Arial" w:cs="Arial"/>
                <w:color w:val="000000"/>
                <w:sz w:val="18"/>
                <w:szCs w:val="18"/>
              </w:rPr>
            </w:pPr>
            <w:r w:rsidRPr="00EA257C">
              <w:rPr>
                <w:rFonts w:ascii="Arial" w:hAnsi="Arial" w:cs="Arial"/>
                <w:color w:val="000000"/>
                <w:sz w:val="18"/>
                <w:szCs w:val="18"/>
              </w:rPr>
              <w:t> </w:t>
            </w:r>
          </w:p>
        </w:tc>
        <w:tc>
          <w:tcPr>
            <w:tcW w:w="800" w:type="dxa"/>
            <w:tcBorders>
              <w:top w:val="nil"/>
              <w:left w:val="nil"/>
              <w:bottom w:val="single" w:sz="4" w:space="0" w:color="auto"/>
              <w:right w:val="single" w:sz="4" w:space="0" w:color="auto"/>
            </w:tcBorders>
            <w:shd w:val="clear" w:color="auto" w:fill="auto"/>
            <w:hideMark/>
          </w:tcPr>
          <w:p w14:paraId="7B2FBAE7" w14:textId="77777777" w:rsidR="00200A70" w:rsidRPr="00EA257C" w:rsidRDefault="00200A70" w:rsidP="00991583">
            <w:pPr>
              <w:jc w:val="center"/>
              <w:rPr>
                <w:rFonts w:ascii="Arial" w:hAnsi="Arial" w:cs="Arial"/>
                <w:color w:val="000000"/>
                <w:sz w:val="18"/>
                <w:szCs w:val="18"/>
              </w:rPr>
            </w:pPr>
            <w:r w:rsidRPr="00EA257C">
              <w:rPr>
                <w:rFonts w:ascii="Arial" w:hAnsi="Arial" w:cs="Arial"/>
                <w:color w:val="000000"/>
                <w:sz w:val="18"/>
                <w:szCs w:val="18"/>
              </w:rPr>
              <w:t>X</w:t>
            </w:r>
          </w:p>
        </w:tc>
      </w:tr>
      <w:tr w:rsidR="00200A70" w:rsidRPr="00EA257C" w14:paraId="605E016B" w14:textId="77777777" w:rsidTr="00991583">
        <w:trPr>
          <w:trHeight w:val="480"/>
        </w:trPr>
        <w:tc>
          <w:tcPr>
            <w:tcW w:w="520" w:type="dxa"/>
            <w:tcBorders>
              <w:top w:val="nil"/>
              <w:left w:val="single" w:sz="4" w:space="0" w:color="auto"/>
              <w:bottom w:val="single" w:sz="4" w:space="0" w:color="auto"/>
              <w:right w:val="single" w:sz="4" w:space="0" w:color="auto"/>
            </w:tcBorders>
            <w:shd w:val="clear" w:color="auto" w:fill="auto"/>
            <w:hideMark/>
          </w:tcPr>
          <w:p w14:paraId="470A4D87" w14:textId="77777777" w:rsidR="00200A70" w:rsidRPr="00EA257C" w:rsidRDefault="00200A70" w:rsidP="00991583">
            <w:pPr>
              <w:jc w:val="right"/>
              <w:rPr>
                <w:rFonts w:ascii="Arial" w:hAnsi="Arial" w:cs="Arial"/>
                <w:color w:val="000000"/>
                <w:sz w:val="18"/>
                <w:szCs w:val="18"/>
              </w:rPr>
            </w:pPr>
            <w:r w:rsidRPr="00EA257C">
              <w:rPr>
                <w:rFonts w:ascii="Arial" w:hAnsi="Arial" w:cs="Arial"/>
                <w:color w:val="000000"/>
                <w:sz w:val="18"/>
                <w:szCs w:val="18"/>
              </w:rPr>
              <w:t>13</w:t>
            </w:r>
          </w:p>
        </w:tc>
        <w:tc>
          <w:tcPr>
            <w:tcW w:w="6180" w:type="dxa"/>
            <w:tcBorders>
              <w:top w:val="nil"/>
              <w:left w:val="nil"/>
              <w:bottom w:val="single" w:sz="4" w:space="0" w:color="auto"/>
              <w:right w:val="single" w:sz="4" w:space="0" w:color="auto"/>
            </w:tcBorders>
            <w:shd w:val="clear" w:color="auto" w:fill="auto"/>
            <w:hideMark/>
          </w:tcPr>
          <w:p w14:paraId="714D1FDD" w14:textId="77777777" w:rsidR="00200A70" w:rsidRPr="00EA257C" w:rsidRDefault="00200A70" w:rsidP="00991583">
            <w:pPr>
              <w:rPr>
                <w:rFonts w:ascii="Arial" w:hAnsi="Arial" w:cs="Arial"/>
                <w:color w:val="000000"/>
                <w:sz w:val="18"/>
                <w:szCs w:val="18"/>
              </w:rPr>
            </w:pPr>
            <w:r w:rsidRPr="00EA257C">
              <w:rPr>
                <w:rFonts w:ascii="Arial" w:hAnsi="Arial" w:cs="Arial"/>
                <w:b/>
                <w:bCs/>
                <w:color w:val="000000"/>
                <w:sz w:val="18"/>
                <w:szCs w:val="18"/>
              </w:rPr>
              <w:t>Level 3 Text Block disclosures</w:t>
            </w:r>
            <w:r w:rsidRPr="00EA257C">
              <w:rPr>
                <w:rFonts w:ascii="Arial" w:hAnsi="Arial" w:cs="Arial"/>
                <w:color w:val="000000"/>
                <w:sz w:val="18"/>
                <w:szCs w:val="18"/>
              </w:rPr>
              <w:t>: Each Level 3 [Text Block] and related Level 4 detail disclosure match appropriately</w:t>
            </w:r>
          </w:p>
        </w:tc>
        <w:tc>
          <w:tcPr>
            <w:tcW w:w="1080" w:type="dxa"/>
            <w:tcBorders>
              <w:top w:val="nil"/>
              <w:left w:val="nil"/>
              <w:bottom w:val="single" w:sz="4" w:space="0" w:color="auto"/>
              <w:right w:val="single" w:sz="4" w:space="0" w:color="auto"/>
            </w:tcBorders>
            <w:shd w:val="clear" w:color="auto" w:fill="auto"/>
            <w:hideMark/>
          </w:tcPr>
          <w:p w14:paraId="36CC49BC" w14:textId="77777777" w:rsidR="00200A70" w:rsidRPr="00EA257C" w:rsidRDefault="00200A70" w:rsidP="00991583">
            <w:pPr>
              <w:jc w:val="center"/>
              <w:rPr>
                <w:rFonts w:ascii="Arial" w:hAnsi="Arial" w:cs="Arial"/>
                <w:color w:val="000000"/>
                <w:sz w:val="18"/>
                <w:szCs w:val="18"/>
              </w:rPr>
            </w:pPr>
            <w:r w:rsidRPr="00EA257C">
              <w:rPr>
                <w:rFonts w:ascii="Arial" w:hAnsi="Arial" w:cs="Arial"/>
                <w:color w:val="000000"/>
                <w:sz w:val="18"/>
                <w:szCs w:val="18"/>
              </w:rPr>
              <w:t>X</w:t>
            </w:r>
          </w:p>
        </w:tc>
        <w:tc>
          <w:tcPr>
            <w:tcW w:w="800" w:type="dxa"/>
            <w:tcBorders>
              <w:top w:val="nil"/>
              <w:left w:val="nil"/>
              <w:bottom w:val="single" w:sz="4" w:space="0" w:color="auto"/>
              <w:right w:val="single" w:sz="4" w:space="0" w:color="auto"/>
            </w:tcBorders>
            <w:shd w:val="clear" w:color="auto" w:fill="auto"/>
            <w:hideMark/>
          </w:tcPr>
          <w:p w14:paraId="5635933A" w14:textId="77777777" w:rsidR="00200A70" w:rsidRPr="00EA257C" w:rsidRDefault="00200A70" w:rsidP="00991583">
            <w:pPr>
              <w:jc w:val="center"/>
              <w:rPr>
                <w:rFonts w:ascii="Arial" w:hAnsi="Arial" w:cs="Arial"/>
                <w:color w:val="000000"/>
                <w:sz w:val="18"/>
                <w:szCs w:val="18"/>
              </w:rPr>
            </w:pPr>
            <w:r w:rsidRPr="00EA257C">
              <w:rPr>
                <w:rFonts w:ascii="Arial" w:hAnsi="Arial" w:cs="Arial"/>
                <w:color w:val="000000"/>
                <w:sz w:val="18"/>
                <w:szCs w:val="18"/>
              </w:rPr>
              <w:t>X</w:t>
            </w:r>
          </w:p>
        </w:tc>
      </w:tr>
      <w:tr w:rsidR="00200A70" w:rsidRPr="00EA257C" w14:paraId="320A1F59" w14:textId="77777777" w:rsidTr="00991583">
        <w:trPr>
          <w:trHeight w:val="720"/>
        </w:trPr>
        <w:tc>
          <w:tcPr>
            <w:tcW w:w="520" w:type="dxa"/>
            <w:tcBorders>
              <w:top w:val="nil"/>
              <w:left w:val="single" w:sz="4" w:space="0" w:color="auto"/>
              <w:bottom w:val="single" w:sz="4" w:space="0" w:color="auto"/>
              <w:right w:val="single" w:sz="4" w:space="0" w:color="auto"/>
            </w:tcBorders>
            <w:shd w:val="clear" w:color="auto" w:fill="auto"/>
            <w:hideMark/>
          </w:tcPr>
          <w:p w14:paraId="11694E8D" w14:textId="77777777" w:rsidR="00200A70" w:rsidRPr="00EA257C" w:rsidRDefault="00200A70" w:rsidP="00991583">
            <w:pPr>
              <w:jc w:val="right"/>
              <w:rPr>
                <w:rFonts w:ascii="Arial" w:hAnsi="Arial" w:cs="Arial"/>
                <w:color w:val="000000"/>
                <w:sz w:val="18"/>
                <w:szCs w:val="18"/>
              </w:rPr>
            </w:pPr>
            <w:r w:rsidRPr="00EA257C">
              <w:rPr>
                <w:rFonts w:ascii="Arial" w:hAnsi="Arial" w:cs="Arial"/>
                <w:color w:val="000000"/>
                <w:sz w:val="18"/>
                <w:szCs w:val="18"/>
              </w:rPr>
              <w:t>14</w:t>
            </w:r>
          </w:p>
        </w:tc>
        <w:tc>
          <w:tcPr>
            <w:tcW w:w="6180" w:type="dxa"/>
            <w:tcBorders>
              <w:top w:val="nil"/>
              <w:left w:val="nil"/>
              <w:bottom w:val="single" w:sz="4" w:space="0" w:color="auto"/>
              <w:right w:val="single" w:sz="4" w:space="0" w:color="auto"/>
            </w:tcBorders>
            <w:shd w:val="clear" w:color="auto" w:fill="auto"/>
            <w:hideMark/>
          </w:tcPr>
          <w:p w14:paraId="0FF72130" w14:textId="77777777" w:rsidR="00200A70" w:rsidRPr="00EA257C" w:rsidRDefault="00200A70" w:rsidP="00991583">
            <w:pPr>
              <w:rPr>
                <w:rFonts w:ascii="Arial" w:hAnsi="Arial" w:cs="Arial"/>
                <w:color w:val="000000"/>
                <w:sz w:val="18"/>
                <w:szCs w:val="18"/>
              </w:rPr>
            </w:pPr>
            <w:r w:rsidRPr="00EA257C">
              <w:rPr>
                <w:rFonts w:ascii="Arial" w:hAnsi="Arial" w:cs="Arial"/>
                <w:b/>
                <w:bCs/>
                <w:color w:val="000000"/>
                <w:sz w:val="18"/>
                <w:szCs w:val="18"/>
              </w:rPr>
              <w:t>Level 4 detailed disclosures</w:t>
            </w:r>
            <w:r w:rsidRPr="00EA257C">
              <w:rPr>
                <w:rFonts w:ascii="Arial" w:hAnsi="Arial" w:cs="Arial"/>
                <w:color w:val="000000"/>
                <w:sz w:val="18"/>
                <w:szCs w:val="18"/>
              </w:rPr>
              <w:t>: Each Level 4 detail disclosure valid including representation structure, mathematical computations, intersections with other components, etc.</w:t>
            </w:r>
          </w:p>
        </w:tc>
        <w:tc>
          <w:tcPr>
            <w:tcW w:w="1080" w:type="dxa"/>
            <w:tcBorders>
              <w:top w:val="nil"/>
              <w:left w:val="nil"/>
              <w:bottom w:val="single" w:sz="4" w:space="0" w:color="auto"/>
              <w:right w:val="single" w:sz="4" w:space="0" w:color="auto"/>
            </w:tcBorders>
            <w:shd w:val="clear" w:color="auto" w:fill="auto"/>
            <w:hideMark/>
          </w:tcPr>
          <w:p w14:paraId="16C0D720" w14:textId="77777777" w:rsidR="00200A70" w:rsidRPr="00EA257C" w:rsidRDefault="00200A70" w:rsidP="00991583">
            <w:pPr>
              <w:jc w:val="center"/>
              <w:rPr>
                <w:rFonts w:ascii="Arial" w:hAnsi="Arial" w:cs="Arial"/>
                <w:color w:val="000000"/>
                <w:sz w:val="18"/>
                <w:szCs w:val="18"/>
              </w:rPr>
            </w:pPr>
            <w:r w:rsidRPr="00EA257C">
              <w:rPr>
                <w:rFonts w:ascii="Arial" w:hAnsi="Arial" w:cs="Arial"/>
                <w:color w:val="000000"/>
                <w:sz w:val="18"/>
                <w:szCs w:val="18"/>
              </w:rPr>
              <w:t>X</w:t>
            </w:r>
          </w:p>
        </w:tc>
        <w:tc>
          <w:tcPr>
            <w:tcW w:w="800" w:type="dxa"/>
            <w:tcBorders>
              <w:top w:val="nil"/>
              <w:left w:val="nil"/>
              <w:bottom w:val="single" w:sz="4" w:space="0" w:color="auto"/>
              <w:right w:val="single" w:sz="4" w:space="0" w:color="auto"/>
            </w:tcBorders>
            <w:shd w:val="clear" w:color="auto" w:fill="auto"/>
            <w:hideMark/>
          </w:tcPr>
          <w:p w14:paraId="7F09B24D" w14:textId="77777777" w:rsidR="00200A70" w:rsidRPr="00EA257C" w:rsidRDefault="00200A70" w:rsidP="00991583">
            <w:pPr>
              <w:jc w:val="center"/>
              <w:rPr>
                <w:rFonts w:ascii="Arial" w:hAnsi="Arial" w:cs="Arial"/>
                <w:color w:val="000000"/>
                <w:sz w:val="18"/>
                <w:szCs w:val="18"/>
              </w:rPr>
            </w:pPr>
            <w:r w:rsidRPr="00EA257C">
              <w:rPr>
                <w:rFonts w:ascii="Arial" w:hAnsi="Arial" w:cs="Arial"/>
                <w:color w:val="000000"/>
                <w:sz w:val="18"/>
                <w:szCs w:val="18"/>
              </w:rPr>
              <w:t>X</w:t>
            </w:r>
          </w:p>
        </w:tc>
      </w:tr>
      <w:tr w:rsidR="00200A70" w:rsidRPr="00EA257C" w14:paraId="7A497E0A" w14:textId="77777777" w:rsidTr="00991583">
        <w:trPr>
          <w:trHeight w:val="240"/>
        </w:trPr>
        <w:tc>
          <w:tcPr>
            <w:tcW w:w="520" w:type="dxa"/>
            <w:tcBorders>
              <w:top w:val="nil"/>
              <w:left w:val="single" w:sz="4" w:space="0" w:color="auto"/>
              <w:bottom w:val="single" w:sz="4" w:space="0" w:color="auto"/>
              <w:right w:val="single" w:sz="4" w:space="0" w:color="auto"/>
            </w:tcBorders>
            <w:shd w:val="clear" w:color="auto" w:fill="auto"/>
            <w:hideMark/>
          </w:tcPr>
          <w:p w14:paraId="4961580C" w14:textId="77777777" w:rsidR="00200A70" w:rsidRPr="00EA257C" w:rsidRDefault="00200A70" w:rsidP="00991583">
            <w:pPr>
              <w:jc w:val="right"/>
              <w:rPr>
                <w:rFonts w:ascii="Arial" w:hAnsi="Arial" w:cs="Arial"/>
                <w:color w:val="000000"/>
                <w:sz w:val="18"/>
                <w:szCs w:val="18"/>
              </w:rPr>
            </w:pPr>
            <w:r w:rsidRPr="00EA257C">
              <w:rPr>
                <w:rFonts w:ascii="Arial" w:hAnsi="Arial" w:cs="Arial"/>
                <w:color w:val="000000"/>
                <w:sz w:val="18"/>
                <w:szCs w:val="18"/>
              </w:rPr>
              <w:t>15</w:t>
            </w:r>
          </w:p>
        </w:tc>
        <w:tc>
          <w:tcPr>
            <w:tcW w:w="6180" w:type="dxa"/>
            <w:tcBorders>
              <w:top w:val="nil"/>
              <w:left w:val="nil"/>
              <w:bottom w:val="single" w:sz="4" w:space="0" w:color="auto"/>
              <w:right w:val="single" w:sz="4" w:space="0" w:color="auto"/>
            </w:tcBorders>
            <w:shd w:val="clear" w:color="auto" w:fill="auto"/>
            <w:hideMark/>
          </w:tcPr>
          <w:p w14:paraId="367B9F79" w14:textId="77777777" w:rsidR="00200A70" w:rsidRPr="00EA257C" w:rsidRDefault="00200A70" w:rsidP="00991583">
            <w:pPr>
              <w:rPr>
                <w:rFonts w:ascii="Arial" w:hAnsi="Arial" w:cs="Arial"/>
                <w:color w:val="000000"/>
                <w:sz w:val="18"/>
                <w:szCs w:val="18"/>
              </w:rPr>
            </w:pPr>
            <w:r w:rsidRPr="00EA257C">
              <w:rPr>
                <w:rFonts w:ascii="Arial" w:hAnsi="Arial" w:cs="Arial"/>
                <w:b/>
                <w:bCs/>
                <w:color w:val="000000"/>
                <w:sz w:val="18"/>
                <w:szCs w:val="18"/>
              </w:rPr>
              <w:t>Required disclosures</w:t>
            </w:r>
            <w:r w:rsidRPr="00EA257C">
              <w:rPr>
                <w:rFonts w:ascii="Arial" w:hAnsi="Arial" w:cs="Arial"/>
                <w:color w:val="000000"/>
                <w:sz w:val="18"/>
                <w:szCs w:val="18"/>
              </w:rPr>
              <w:t>: Required disclosures discovered</w:t>
            </w:r>
          </w:p>
        </w:tc>
        <w:tc>
          <w:tcPr>
            <w:tcW w:w="1080" w:type="dxa"/>
            <w:tcBorders>
              <w:top w:val="nil"/>
              <w:left w:val="nil"/>
              <w:bottom w:val="single" w:sz="4" w:space="0" w:color="auto"/>
              <w:right w:val="single" w:sz="4" w:space="0" w:color="auto"/>
            </w:tcBorders>
            <w:shd w:val="clear" w:color="auto" w:fill="auto"/>
            <w:hideMark/>
          </w:tcPr>
          <w:p w14:paraId="3FA1BA00" w14:textId="77777777" w:rsidR="00200A70" w:rsidRPr="00EA257C" w:rsidRDefault="00200A70" w:rsidP="00991583">
            <w:pPr>
              <w:jc w:val="center"/>
              <w:rPr>
                <w:rFonts w:ascii="Arial" w:hAnsi="Arial" w:cs="Arial"/>
                <w:color w:val="000000"/>
                <w:sz w:val="18"/>
                <w:szCs w:val="18"/>
              </w:rPr>
            </w:pPr>
            <w:r w:rsidRPr="00EA257C">
              <w:rPr>
                <w:rFonts w:ascii="Arial" w:hAnsi="Arial" w:cs="Arial"/>
                <w:color w:val="000000"/>
                <w:sz w:val="18"/>
                <w:szCs w:val="18"/>
              </w:rPr>
              <w:t>X</w:t>
            </w:r>
          </w:p>
        </w:tc>
        <w:tc>
          <w:tcPr>
            <w:tcW w:w="800" w:type="dxa"/>
            <w:tcBorders>
              <w:top w:val="nil"/>
              <w:left w:val="nil"/>
              <w:bottom w:val="single" w:sz="4" w:space="0" w:color="auto"/>
              <w:right w:val="single" w:sz="4" w:space="0" w:color="auto"/>
            </w:tcBorders>
            <w:shd w:val="clear" w:color="auto" w:fill="auto"/>
            <w:hideMark/>
          </w:tcPr>
          <w:p w14:paraId="3A69720F" w14:textId="77777777" w:rsidR="00200A70" w:rsidRPr="00EA257C" w:rsidRDefault="00200A70" w:rsidP="00991583">
            <w:pPr>
              <w:jc w:val="center"/>
              <w:rPr>
                <w:rFonts w:ascii="Arial" w:hAnsi="Arial" w:cs="Arial"/>
                <w:color w:val="000000"/>
                <w:sz w:val="18"/>
                <w:szCs w:val="18"/>
              </w:rPr>
            </w:pPr>
            <w:r w:rsidRPr="00EA257C">
              <w:rPr>
                <w:rFonts w:ascii="Arial" w:hAnsi="Arial" w:cs="Arial"/>
                <w:color w:val="000000"/>
                <w:sz w:val="18"/>
                <w:szCs w:val="18"/>
              </w:rPr>
              <w:t> </w:t>
            </w:r>
          </w:p>
        </w:tc>
      </w:tr>
      <w:tr w:rsidR="00200A70" w:rsidRPr="00EA257C" w14:paraId="3870F71A" w14:textId="77777777" w:rsidTr="00991583">
        <w:trPr>
          <w:trHeight w:val="480"/>
        </w:trPr>
        <w:tc>
          <w:tcPr>
            <w:tcW w:w="520" w:type="dxa"/>
            <w:tcBorders>
              <w:top w:val="nil"/>
              <w:left w:val="single" w:sz="4" w:space="0" w:color="auto"/>
              <w:bottom w:val="single" w:sz="4" w:space="0" w:color="auto"/>
              <w:right w:val="single" w:sz="4" w:space="0" w:color="auto"/>
            </w:tcBorders>
            <w:shd w:val="clear" w:color="auto" w:fill="auto"/>
            <w:hideMark/>
          </w:tcPr>
          <w:p w14:paraId="7075489B" w14:textId="77777777" w:rsidR="00200A70" w:rsidRPr="00EA257C" w:rsidRDefault="00200A70" w:rsidP="00991583">
            <w:pPr>
              <w:jc w:val="right"/>
              <w:rPr>
                <w:rFonts w:ascii="Arial" w:hAnsi="Arial" w:cs="Arial"/>
                <w:color w:val="000000"/>
                <w:sz w:val="18"/>
                <w:szCs w:val="18"/>
              </w:rPr>
            </w:pPr>
            <w:r w:rsidRPr="00EA257C">
              <w:rPr>
                <w:rFonts w:ascii="Arial" w:hAnsi="Arial" w:cs="Arial"/>
                <w:color w:val="000000"/>
                <w:sz w:val="18"/>
                <w:szCs w:val="18"/>
              </w:rPr>
              <w:t>16</w:t>
            </w:r>
          </w:p>
        </w:tc>
        <w:tc>
          <w:tcPr>
            <w:tcW w:w="6180" w:type="dxa"/>
            <w:tcBorders>
              <w:top w:val="nil"/>
              <w:left w:val="nil"/>
              <w:bottom w:val="single" w:sz="4" w:space="0" w:color="auto"/>
              <w:right w:val="single" w:sz="4" w:space="0" w:color="auto"/>
            </w:tcBorders>
            <w:shd w:val="clear" w:color="auto" w:fill="auto"/>
            <w:hideMark/>
          </w:tcPr>
          <w:p w14:paraId="5E6F4FA1" w14:textId="77777777" w:rsidR="00200A70" w:rsidRPr="00EA257C" w:rsidRDefault="00200A70" w:rsidP="00991583">
            <w:pPr>
              <w:rPr>
                <w:rFonts w:ascii="Arial" w:hAnsi="Arial" w:cs="Arial"/>
                <w:color w:val="000000"/>
                <w:sz w:val="18"/>
                <w:szCs w:val="18"/>
              </w:rPr>
            </w:pPr>
            <w:r w:rsidRPr="00EA257C">
              <w:rPr>
                <w:rFonts w:ascii="Arial" w:hAnsi="Arial" w:cs="Arial"/>
                <w:b/>
                <w:bCs/>
                <w:color w:val="000000"/>
                <w:sz w:val="18"/>
                <w:szCs w:val="18"/>
              </w:rPr>
              <w:t>Consistency with prior period</w:t>
            </w:r>
            <w:r w:rsidRPr="00EA257C">
              <w:rPr>
                <w:rFonts w:ascii="Arial" w:hAnsi="Arial" w:cs="Arial"/>
                <w:color w:val="000000"/>
                <w:sz w:val="18"/>
                <w:szCs w:val="18"/>
              </w:rPr>
              <w:t>: Reported prior period information consistent with prior report current period information where appropriate</w:t>
            </w:r>
          </w:p>
        </w:tc>
        <w:tc>
          <w:tcPr>
            <w:tcW w:w="1080" w:type="dxa"/>
            <w:tcBorders>
              <w:top w:val="nil"/>
              <w:left w:val="nil"/>
              <w:bottom w:val="single" w:sz="4" w:space="0" w:color="auto"/>
              <w:right w:val="single" w:sz="4" w:space="0" w:color="auto"/>
            </w:tcBorders>
            <w:shd w:val="clear" w:color="auto" w:fill="auto"/>
            <w:hideMark/>
          </w:tcPr>
          <w:p w14:paraId="6F4EADED" w14:textId="77777777" w:rsidR="00200A70" w:rsidRPr="00EA257C" w:rsidRDefault="00200A70" w:rsidP="00991583">
            <w:pPr>
              <w:jc w:val="center"/>
              <w:rPr>
                <w:rFonts w:ascii="Arial" w:hAnsi="Arial" w:cs="Arial"/>
                <w:color w:val="000000"/>
                <w:sz w:val="18"/>
                <w:szCs w:val="18"/>
              </w:rPr>
            </w:pPr>
            <w:r w:rsidRPr="00EA257C">
              <w:rPr>
                <w:rFonts w:ascii="Arial" w:hAnsi="Arial" w:cs="Arial"/>
                <w:color w:val="000000"/>
                <w:sz w:val="18"/>
                <w:szCs w:val="18"/>
              </w:rPr>
              <w:t>X</w:t>
            </w:r>
          </w:p>
        </w:tc>
        <w:tc>
          <w:tcPr>
            <w:tcW w:w="800" w:type="dxa"/>
            <w:tcBorders>
              <w:top w:val="nil"/>
              <w:left w:val="nil"/>
              <w:bottom w:val="single" w:sz="4" w:space="0" w:color="auto"/>
              <w:right w:val="single" w:sz="4" w:space="0" w:color="auto"/>
            </w:tcBorders>
            <w:shd w:val="clear" w:color="auto" w:fill="auto"/>
            <w:hideMark/>
          </w:tcPr>
          <w:p w14:paraId="38734027" w14:textId="77777777" w:rsidR="00200A70" w:rsidRPr="00EA257C" w:rsidRDefault="00200A70" w:rsidP="00991583">
            <w:pPr>
              <w:jc w:val="center"/>
              <w:rPr>
                <w:rFonts w:ascii="Arial" w:hAnsi="Arial" w:cs="Arial"/>
                <w:color w:val="000000"/>
                <w:sz w:val="18"/>
                <w:szCs w:val="18"/>
              </w:rPr>
            </w:pPr>
            <w:r w:rsidRPr="00EA257C">
              <w:rPr>
                <w:rFonts w:ascii="Arial" w:hAnsi="Arial" w:cs="Arial"/>
                <w:color w:val="000000"/>
                <w:sz w:val="18"/>
                <w:szCs w:val="18"/>
              </w:rPr>
              <w:t>X</w:t>
            </w:r>
          </w:p>
        </w:tc>
      </w:tr>
      <w:tr w:rsidR="00200A70" w:rsidRPr="00EA257C" w14:paraId="4A2B3E7E" w14:textId="77777777" w:rsidTr="00991583">
        <w:trPr>
          <w:trHeight w:val="480"/>
        </w:trPr>
        <w:tc>
          <w:tcPr>
            <w:tcW w:w="520" w:type="dxa"/>
            <w:tcBorders>
              <w:top w:val="nil"/>
              <w:left w:val="single" w:sz="4" w:space="0" w:color="auto"/>
              <w:bottom w:val="single" w:sz="4" w:space="0" w:color="auto"/>
              <w:right w:val="single" w:sz="4" w:space="0" w:color="auto"/>
            </w:tcBorders>
            <w:shd w:val="clear" w:color="auto" w:fill="auto"/>
            <w:hideMark/>
          </w:tcPr>
          <w:p w14:paraId="60C47F9A" w14:textId="77777777" w:rsidR="00200A70" w:rsidRPr="00EA257C" w:rsidRDefault="00200A70" w:rsidP="00991583">
            <w:pPr>
              <w:jc w:val="right"/>
              <w:rPr>
                <w:rFonts w:ascii="Arial" w:hAnsi="Arial" w:cs="Arial"/>
                <w:color w:val="000000"/>
                <w:sz w:val="18"/>
                <w:szCs w:val="18"/>
              </w:rPr>
            </w:pPr>
            <w:r w:rsidRPr="00EA257C">
              <w:rPr>
                <w:rFonts w:ascii="Arial" w:hAnsi="Arial" w:cs="Arial"/>
                <w:color w:val="000000"/>
                <w:sz w:val="18"/>
                <w:szCs w:val="18"/>
              </w:rPr>
              <w:t>17</w:t>
            </w:r>
          </w:p>
        </w:tc>
        <w:tc>
          <w:tcPr>
            <w:tcW w:w="6180" w:type="dxa"/>
            <w:tcBorders>
              <w:top w:val="nil"/>
              <w:left w:val="nil"/>
              <w:bottom w:val="single" w:sz="4" w:space="0" w:color="auto"/>
              <w:right w:val="single" w:sz="4" w:space="0" w:color="auto"/>
            </w:tcBorders>
            <w:shd w:val="clear" w:color="auto" w:fill="auto"/>
            <w:hideMark/>
          </w:tcPr>
          <w:p w14:paraId="6D602B02" w14:textId="77777777" w:rsidR="00200A70" w:rsidRPr="00EA257C" w:rsidRDefault="00200A70" w:rsidP="00991583">
            <w:pPr>
              <w:rPr>
                <w:rFonts w:ascii="Arial" w:hAnsi="Arial" w:cs="Arial"/>
                <w:color w:val="000000"/>
                <w:sz w:val="18"/>
                <w:szCs w:val="18"/>
              </w:rPr>
            </w:pPr>
            <w:r w:rsidRPr="00EA257C">
              <w:rPr>
                <w:rFonts w:ascii="Arial" w:hAnsi="Arial" w:cs="Arial"/>
                <w:b/>
                <w:bCs/>
                <w:color w:val="000000"/>
                <w:sz w:val="18"/>
                <w:szCs w:val="18"/>
              </w:rPr>
              <w:t>Consistency of disclosures</w:t>
            </w:r>
            <w:r w:rsidRPr="00EA257C">
              <w:rPr>
                <w:rFonts w:ascii="Arial" w:hAnsi="Arial" w:cs="Arial"/>
                <w:color w:val="000000"/>
                <w:sz w:val="18"/>
                <w:szCs w:val="18"/>
              </w:rPr>
              <w:t>: Disclosure rules have been met and make sense</w:t>
            </w:r>
          </w:p>
        </w:tc>
        <w:tc>
          <w:tcPr>
            <w:tcW w:w="1080" w:type="dxa"/>
            <w:tcBorders>
              <w:top w:val="nil"/>
              <w:left w:val="nil"/>
              <w:bottom w:val="single" w:sz="4" w:space="0" w:color="auto"/>
              <w:right w:val="single" w:sz="4" w:space="0" w:color="auto"/>
            </w:tcBorders>
            <w:shd w:val="clear" w:color="auto" w:fill="auto"/>
            <w:hideMark/>
          </w:tcPr>
          <w:p w14:paraId="1D5ED36E" w14:textId="77777777" w:rsidR="00200A70" w:rsidRPr="00EA257C" w:rsidRDefault="00200A70" w:rsidP="00991583">
            <w:pPr>
              <w:jc w:val="center"/>
              <w:rPr>
                <w:rFonts w:ascii="Arial" w:hAnsi="Arial" w:cs="Arial"/>
                <w:color w:val="000000"/>
                <w:sz w:val="18"/>
                <w:szCs w:val="18"/>
              </w:rPr>
            </w:pPr>
            <w:r w:rsidRPr="00EA257C">
              <w:rPr>
                <w:rFonts w:ascii="Arial" w:hAnsi="Arial" w:cs="Arial"/>
                <w:color w:val="000000"/>
                <w:sz w:val="18"/>
                <w:szCs w:val="18"/>
              </w:rPr>
              <w:t>X</w:t>
            </w:r>
          </w:p>
        </w:tc>
        <w:tc>
          <w:tcPr>
            <w:tcW w:w="800" w:type="dxa"/>
            <w:tcBorders>
              <w:top w:val="nil"/>
              <w:left w:val="nil"/>
              <w:bottom w:val="single" w:sz="4" w:space="0" w:color="auto"/>
              <w:right w:val="single" w:sz="4" w:space="0" w:color="auto"/>
            </w:tcBorders>
            <w:shd w:val="clear" w:color="auto" w:fill="auto"/>
            <w:hideMark/>
          </w:tcPr>
          <w:p w14:paraId="59E1E56C" w14:textId="77777777" w:rsidR="00200A70" w:rsidRPr="00EA257C" w:rsidRDefault="00200A70" w:rsidP="00991583">
            <w:pPr>
              <w:jc w:val="center"/>
              <w:rPr>
                <w:rFonts w:ascii="Arial" w:hAnsi="Arial" w:cs="Arial"/>
                <w:color w:val="000000"/>
                <w:sz w:val="18"/>
                <w:szCs w:val="18"/>
              </w:rPr>
            </w:pPr>
            <w:r w:rsidRPr="00EA257C">
              <w:rPr>
                <w:rFonts w:ascii="Arial" w:hAnsi="Arial" w:cs="Arial"/>
                <w:color w:val="000000"/>
                <w:sz w:val="18"/>
                <w:szCs w:val="18"/>
              </w:rPr>
              <w:t>X</w:t>
            </w:r>
          </w:p>
        </w:tc>
      </w:tr>
      <w:tr w:rsidR="00200A70" w:rsidRPr="00EA257C" w14:paraId="41821813" w14:textId="77777777" w:rsidTr="00991583">
        <w:trPr>
          <w:trHeight w:val="480"/>
        </w:trPr>
        <w:tc>
          <w:tcPr>
            <w:tcW w:w="520" w:type="dxa"/>
            <w:tcBorders>
              <w:top w:val="nil"/>
              <w:left w:val="single" w:sz="4" w:space="0" w:color="auto"/>
              <w:bottom w:val="single" w:sz="4" w:space="0" w:color="auto"/>
              <w:right w:val="single" w:sz="4" w:space="0" w:color="auto"/>
            </w:tcBorders>
            <w:shd w:val="clear" w:color="auto" w:fill="auto"/>
            <w:hideMark/>
          </w:tcPr>
          <w:p w14:paraId="780954F1" w14:textId="77777777" w:rsidR="00200A70" w:rsidRPr="00EA257C" w:rsidRDefault="00200A70" w:rsidP="00991583">
            <w:pPr>
              <w:jc w:val="right"/>
              <w:rPr>
                <w:rFonts w:ascii="Arial" w:hAnsi="Arial" w:cs="Arial"/>
                <w:color w:val="000000"/>
                <w:sz w:val="18"/>
                <w:szCs w:val="18"/>
              </w:rPr>
            </w:pPr>
            <w:r w:rsidRPr="00EA257C">
              <w:rPr>
                <w:rFonts w:ascii="Arial" w:hAnsi="Arial" w:cs="Arial"/>
                <w:color w:val="000000"/>
                <w:sz w:val="18"/>
                <w:szCs w:val="18"/>
              </w:rPr>
              <w:t>18</w:t>
            </w:r>
          </w:p>
        </w:tc>
        <w:tc>
          <w:tcPr>
            <w:tcW w:w="6180" w:type="dxa"/>
            <w:tcBorders>
              <w:top w:val="nil"/>
              <w:left w:val="nil"/>
              <w:bottom w:val="single" w:sz="4" w:space="0" w:color="auto"/>
              <w:right w:val="single" w:sz="4" w:space="0" w:color="auto"/>
            </w:tcBorders>
            <w:shd w:val="clear" w:color="auto" w:fill="auto"/>
            <w:hideMark/>
          </w:tcPr>
          <w:p w14:paraId="190C9458" w14:textId="77777777" w:rsidR="00200A70" w:rsidRPr="00EA257C" w:rsidRDefault="00200A70" w:rsidP="00991583">
            <w:pPr>
              <w:rPr>
                <w:rFonts w:ascii="Arial" w:hAnsi="Arial" w:cs="Arial"/>
                <w:color w:val="000000"/>
                <w:sz w:val="18"/>
                <w:szCs w:val="18"/>
              </w:rPr>
            </w:pPr>
            <w:r w:rsidRPr="00EA257C">
              <w:rPr>
                <w:rFonts w:ascii="Arial" w:hAnsi="Arial" w:cs="Arial"/>
                <w:b/>
                <w:bCs/>
                <w:color w:val="000000"/>
                <w:sz w:val="18"/>
                <w:szCs w:val="18"/>
              </w:rPr>
              <w:t>Concept selection appropriateness</w:t>
            </w:r>
            <w:r w:rsidRPr="00EA257C">
              <w:rPr>
                <w:rFonts w:ascii="Arial" w:hAnsi="Arial" w:cs="Arial"/>
                <w:color w:val="000000"/>
                <w:sz w:val="18"/>
                <w:szCs w:val="18"/>
              </w:rPr>
              <w:t>: Report element selection is justifiable, defensible, and otherwise appropriate</w:t>
            </w:r>
          </w:p>
        </w:tc>
        <w:tc>
          <w:tcPr>
            <w:tcW w:w="1080" w:type="dxa"/>
            <w:tcBorders>
              <w:top w:val="nil"/>
              <w:left w:val="nil"/>
              <w:bottom w:val="single" w:sz="4" w:space="0" w:color="auto"/>
              <w:right w:val="single" w:sz="4" w:space="0" w:color="auto"/>
            </w:tcBorders>
            <w:shd w:val="clear" w:color="auto" w:fill="auto"/>
            <w:hideMark/>
          </w:tcPr>
          <w:p w14:paraId="12A3B1F0" w14:textId="77777777" w:rsidR="00200A70" w:rsidRPr="00EA257C" w:rsidRDefault="00200A70" w:rsidP="00991583">
            <w:pPr>
              <w:jc w:val="center"/>
              <w:rPr>
                <w:rFonts w:ascii="Arial" w:hAnsi="Arial" w:cs="Arial"/>
                <w:color w:val="000000"/>
                <w:sz w:val="18"/>
                <w:szCs w:val="18"/>
              </w:rPr>
            </w:pPr>
            <w:r w:rsidRPr="00EA257C">
              <w:rPr>
                <w:rFonts w:ascii="Arial" w:hAnsi="Arial" w:cs="Arial"/>
                <w:color w:val="000000"/>
                <w:sz w:val="18"/>
                <w:szCs w:val="18"/>
              </w:rPr>
              <w:t> </w:t>
            </w:r>
          </w:p>
        </w:tc>
        <w:tc>
          <w:tcPr>
            <w:tcW w:w="800" w:type="dxa"/>
            <w:tcBorders>
              <w:top w:val="nil"/>
              <w:left w:val="nil"/>
              <w:bottom w:val="single" w:sz="4" w:space="0" w:color="auto"/>
              <w:right w:val="single" w:sz="4" w:space="0" w:color="auto"/>
            </w:tcBorders>
            <w:shd w:val="clear" w:color="auto" w:fill="auto"/>
            <w:hideMark/>
          </w:tcPr>
          <w:p w14:paraId="2CEDFFFB" w14:textId="77777777" w:rsidR="00200A70" w:rsidRPr="00EA257C" w:rsidRDefault="00200A70" w:rsidP="00991583">
            <w:pPr>
              <w:jc w:val="center"/>
              <w:rPr>
                <w:rFonts w:ascii="Arial" w:hAnsi="Arial" w:cs="Arial"/>
                <w:color w:val="000000"/>
                <w:sz w:val="18"/>
                <w:szCs w:val="18"/>
              </w:rPr>
            </w:pPr>
            <w:r w:rsidRPr="00EA257C">
              <w:rPr>
                <w:rFonts w:ascii="Arial" w:hAnsi="Arial" w:cs="Arial"/>
                <w:color w:val="000000"/>
                <w:sz w:val="18"/>
                <w:szCs w:val="18"/>
              </w:rPr>
              <w:t>X</w:t>
            </w:r>
          </w:p>
        </w:tc>
      </w:tr>
      <w:tr w:rsidR="00200A70" w:rsidRPr="00EA257C" w14:paraId="699BA8FD" w14:textId="77777777" w:rsidTr="00991583">
        <w:trPr>
          <w:trHeight w:val="240"/>
        </w:trPr>
        <w:tc>
          <w:tcPr>
            <w:tcW w:w="520" w:type="dxa"/>
            <w:tcBorders>
              <w:top w:val="nil"/>
              <w:left w:val="single" w:sz="4" w:space="0" w:color="auto"/>
              <w:bottom w:val="single" w:sz="4" w:space="0" w:color="auto"/>
              <w:right w:val="single" w:sz="4" w:space="0" w:color="auto"/>
            </w:tcBorders>
            <w:shd w:val="clear" w:color="auto" w:fill="auto"/>
            <w:hideMark/>
          </w:tcPr>
          <w:p w14:paraId="36E26D37" w14:textId="77777777" w:rsidR="00200A70" w:rsidRPr="00EA257C" w:rsidRDefault="00200A70" w:rsidP="00991583">
            <w:pPr>
              <w:jc w:val="right"/>
              <w:rPr>
                <w:rFonts w:ascii="Arial" w:hAnsi="Arial" w:cs="Arial"/>
                <w:color w:val="000000"/>
                <w:sz w:val="18"/>
                <w:szCs w:val="18"/>
              </w:rPr>
            </w:pPr>
            <w:r w:rsidRPr="00EA257C">
              <w:rPr>
                <w:rFonts w:ascii="Arial" w:hAnsi="Arial" w:cs="Arial"/>
                <w:color w:val="000000"/>
                <w:sz w:val="18"/>
                <w:szCs w:val="18"/>
              </w:rPr>
              <w:t>19</w:t>
            </w:r>
          </w:p>
        </w:tc>
        <w:tc>
          <w:tcPr>
            <w:tcW w:w="6180" w:type="dxa"/>
            <w:tcBorders>
              <w:top w:val="nil"/>
              <w:left w:val="nil"/>
              <w:bottom w:val="single" w:sz="4" w:space="0" w:color="auto"/>
              <w:right w:val="single" w:sz="4" w:space="0" w:color="auto"/>
            </w:tcBorders>
            <w:shd w:val="clear" w:color="auto" w:fill="auto"/>
            <w:hideMark/>
          </w:tcPr>
          <w:p w14:paraId="2784A86E" w14:textId="77777777" w:rsidR="00200A70" w:rsidRPr="00EA257C" w:rsidRDefault="00200A70" w:rsidP="00991583">
            <w:pPr>
              <w:rPr>
                <w:rFonts w:ascii="Arial" w:hAnsi="Arial" w:cs="Arial"/>
                <w:color w:val="000000"/>
                <w:sz w:val="18"/>
                <w:szCs w:val="18"/>
              </w:rPr>
            </w:pPr>
            <w:r w:rsidRPr="00EA257C">
              <w:rPr>
                <w:rFonts w:ascii="Arial" w:hAnsi="Arial" w:cs="Arial"/>
                <w:b/>
                <w:bCs/>
                <w:color w:val="000000"/>
                <w:sz w:val="18"/>
                <w:szCs w:val="18"/>
              </w:rPr>
              <w:t>Reported facts full/false inclusion</w:t>
            </w:r>
            <w:r w:rsidRPr="00EA257C">
              <w:rPr>
                <w:rFonts w:ascii="Arial" w:hAnsi="Arial" w:cs="Arial"/>
                <w:color w:val="000000"/>
                <w:sz w:val="18"/>
                <w:szCs w:val="18"/>
              </w:rPr>
              <w:t>: Reported facts appropriate</w:t>
            </w:r>
          </w:p>
        </w:tc>
        <w:tc>
          <w:tcPr>
            <w:tcW w:w="1080" w:type="dxa"/>
            <w:tcBorders>
              <w:top w:val="nil"/>
              <w:left w:val="nil"/>
              <w:bottom w:val="single" w:sz="4" w:space="0" w:color="auto"/>
              <w:right w:val="single" w:sz="4" w:space="0" w:color="auto"/>
            </w:tcBorders>
            <w:shd w:val="clear" w:color="auto" w:fill="auto"/>
            <w:hideMark/>
          </w:tcPr>
          <w:p w14:paraId="273E4872" w14:textId="77777777" w:rsidR="00200A70" w:rsidRPr="00EA257C" w:rsidRDefault="00200A70" w:rsidP="00991583">
            <w:pPr>
              <w:jc w:val="center"/>
              <w:rPr>
                <w:rFonts w:ascii="Arial" w:hAnsi="Arial" w:cs="Arial"/>
                <w:color w:val="000000"/>
                <w:sz w:val="18"/>
                <w:szCs w:val="18"/>
              </w:rPr>
            </w:pPr>
            <w:r w:rsidRPr="00EA257C">
              <w:rPr>
                <w:rFonts w:ascii="Arial" w:hAnsi="Arial" w:cs="Arial"/>
                <w:color w:val="000000"/>
                <w:sz w:val="18"/>
                <w:szCs w:val="18"/>
              </w:rPr>
              <w:t> </w:t>
            </w:r>
          </w:p>
        </w:tc>
        <w:tc>
          <w:tcPr>
            <w:tcW w:w="800" w:type="dxa"/>
            <w:tcBorders>
              <w:top w:val="nil"/>
              <w:left w:val="nil"/>
              <w:bottom w:val="single" w:sz="4" w:space="0" w:color="auto"/>
              <w:right w:val="single" w:sz="4" w:space="0" w:color="auto"/>
            </w:tcBorders>
            <w:shd w:val="clear" w:color="auto" w:fill="auto"/>
            <w:hideMark/>
          </w:tcPr>
          <w:p w14:paraId="1B6E1801" w14:textId="77777777" w:rsidR="00200A70" w:rsidRPr="00EA257C" w:rsidRDefault="00200A70" w:rsidP="00991583">
            <w:pPr>
              <w:jc w:val="center"/>
              <w:rPr>
                <w:rFonts w:ascii="Arial" w:hAnsi="Arial" w:cs="Arial"/>
                <w:color w:val="000000"/>
                <w:sz w:val="18"/>
                <w:szCs w:val="18"/>
              </w:rPr>
            </w:pPr>
            <w:r w:rsidRPr="00EA257C">
              <w:rPr>
                <w:rFonts w:ascii="Arial" w:hAnsi="Arial" w:cs="Arial"/>
                <w:color w:val="000000"/>
                <w:sz w:val="18"/>
                <w:szCs w:val="18"/>
              </w:rPr>
              <w:t>X</w:t>
            </w:r>
          </w:p>
        </w:tc>
      </w:tr>
      <w:tr w:rsidR="00200A70" w:rsidRPr="00EA257C" w14:paraId="7C0C9F22" w14:textId="77777777" w:rsidTr="00991583">
        <w:trPr>
          <w:trHeight w:val="480"/>
        </w:trPr>
        <w:tc>
          <w:tcPr>
            <w:tcW w:w="520" w:type="dxa"/>
            <w:tcBorders>
              <w:top w:val="nil"/>
              <w:left w:val="single" w:sz="4" w:space="0" w:color="auto"/>
              <w:bottom w:val="single" w:sz="4" w:space="0" w:color="auto"/>
              <w:right w:val="single" w:sz="4" w:space="0" w:color="auto"/>
            </w:tcBorders>
            <w:shd w:val="clear" w:color="auto" w:fill="auto"/>
            <w:hideMark/>
          </w:tcPr>
          <w:p w14:paraId="13AEEED2" w14:textId="77777777" w:rsidR="00200A70" w:rsidRPr="00EA257C" w:rsidRDefault="00200A70" w:rsidP="00991583">
            <w:pPr>
              <w:jc w:val="right"/>
              <w:rPr>
                <w:rFonts w:ascii="Arial" w:hAnsi="Arial" w:cs="Arial"/>
                <w:color w:val="000000"/>
                <w:sz w:val="18"/>
                <w:szCs w:val="18"/>
              </w:rPr>
            </w:pPr>
            <w:r w:rsidRPr="00EA257C">
              <w:rPr>
                <w:rFonts w:ascii="Arial" w:hAnsi="Arial" w:cs="Arial"/>
                <w:color w:val="000000"/>
                <w:sz w:val="18"/>
                <w:szCs w:val="18"/>
              </w:rPr>
              <w:t>20</w:t>
            </w:r>
          </w:p>
        </w:tc>
        <w:tc>
          <w:tcPr>
            <w:tcW w:w="6180" w:type="dxa"/>
            <w:tcBorders>
              <w:top w:val="nil"/>
              <w:left w:val="nil"/>
              <w:bottom w:val="single" w:sz="4" w:space="0" w:color="auto"/>
              <w:right w:val="single" w:sz="4" w:space="0" w:color="auto"/>
            </w:tcBorders>
            <w:shd w:val="clear" w:color="auto" w:fill="auto"/>
            <w:hideMark/>
          </w:tcPr>
          <w:p w14:paraId="390C99E6" w14:textId="77777777" w:rsidR="00200A70" w:rsidRPr="00EA257C" w:rsidRDefault="00200A70" w:rsidP="00991583">
            <w:pPr>
              <w:rPr>
                <w:rFonts w:ascii="Arial" w:hAnsi="Arial" w:cs="Arial"/>
                <w:color w:val="000000"/>
                <w:sz w:val="18"/>
                <w:szCs w:val="18"/>
              </w:rPr>
            </w:pPr>
            <w:r w:rsidRPr="00EA257C">
              <w:rPr>
                <w:rFonts w:ascii="Arial" w:hAnsi="Arial" w:cs="Arial"/>
                <w:b/>
                <w:bCs/>
                <w:color w:val="000000"/>
                <w:sz w:val="18"/>
                <w:szCs w:val="18"/>
              </w:rPr>
              <w:t>Consistency of facts with peers</w:t>
            </w:r>
            <w:r w:rsidRPr="00EA257C">
              <w:rPr>
                <w:rFonts w:ascii="Arial" w:hAnsi="Arial" w:cs="Arial"/>
                <w:color w:val="000000"/>
                <w:sz w:val="18"/>
                <w:szCs w:val="18"/>
              </w:rPr>
              <w:t>: Variance analysis of reported facts as compared to peer or peer group appropriately explainable</w:t>
            </w:r>
          </w:p>
        </w:tc>
        <w:tc>
          <w:tcPr>
            <w:tcW w:w="1080" w:type="dxa"/>
            <w:tcBorders>
              <w:top w:val="nil"/>
              <w:left w:val="nil"/>
              <w:bottom w:val="single" w:sz="4" w:space="0" w:color="auto"/>
              <w:right w:val="single" w:sz="4" w:space="0" w:color="auto"/>
            </w:tcBorders>
            <w:shd w:val="clear" w:color="auto" w:fill="auto"/>
            <w:hideMark/>
          </w:tcPr>
          <w:p w14:paraId="3378DB75" w14:textId="77777777" w:rsidR="00200A70" w:rsidRPr="00EA257C" w:rsidRDefault="00200A70" w:rsidP="00991583">
            <w:pPr>
              <w:jc w:val="center"/>
              <w:rPr>
                <w:rFonts w:ascii="Arial" w:hAnsi="Arial" w:cs="Arial"/>
                <w:color w:val="000000"/>
                <w:sz w:val="18"/>
                <w:szCs w:val="18"/>
              </w:rPr>
            </w:pPr>
            <w:r w:rsidRPr="00EA257C">
              <w:rPr>
                <w:rFonts w:ascii="Arial" w:hAnsi="Arial" w:cs="Arial"/>
                <w:color w:val="000000"/>
                <w:sz w:val="18"/>
                <w:szCs w:val="18"/>
              </w:rPr>
              <w:t>X</w:t>
            </w:r>
          </w:p>
        </w:tc>
        <w:tc>
          <w:tcPr>
            <w:tcW w:w="800" w:type="dxa"/>
            <w:tcBorders>
              <w:top w:val="nil"/>
              <w:left w:val="nil"/>
              <w:bottom w:val="single" w:sz="4" w:space="0" w:color="auto"/>
              <w:right w:val="single" w:sz="4" w:space="0" w:color="auto"/>
            </w:tcBorders>
            <w:shd w:val="clear" w:color="auto" w:fill="auto"/>
            <w:hideMark/>
          </w:tcPr>
          <w:p w14:paraId="3E87D53F" w14:textId="77777777" w:rsidR="00200A70" w:rsidRPr="00EA257C" w:rsidRDefault="00200A70" w:rsidP="00991583">
            <w:pPr>
              <w:jc w:val="center"/>
              <w:rPr>
                <w:rFonts w:ascii="Arial" w:hAnsi="Arial" w:cs="Arial"/>
                <w:color w:val="000000"/>
                <w:sz w:val="18"/>
                <w:szCs w:val="18"/>
              </w:rPr>
            </w:pPr>
            <w:r w:rsidRPr="00EA257C">
              <w:rPr>
                <w:rFonts w:ascii="Arial" w:hAnsi="Arial" w:cs="Arial"/>
                <w:color w:val="000000"/>
                <w:sz w:val="18"/>
                <w:szCs w:val="18"/>
              </w:rPr>
              <w:t>X</w:t>
            </w:r>
          </w:p>
        </w:tc>
      </w:tr>
      <w:tr w:rsidR="00200A70" w:rsidRPr="00EA257C" w14:paraId="79220010" w14:textId="77777777" w:rsidTr="00991583">
        <w:trPr>
          <w:trHeight w:val="480"/>
        </w:trPr>
        <w:tc>
          <w:tcPr>
            <w:tcW w:w="520" w:type="dxa"/>
            <w:tcBorders>
              <w:top w:val="nil"/>
              <w:left w:val="single" w:sz="4" w:space="0" w:color="auto"/>
              <w:bottom w:val="single" w:sz="4" w:space="0" w:color="auto"/>
              <w:right w:val="single" w:sz="4" w:space="0" w:color="auto"/>
            </w:tcBorders>
            <w:shd w:val="clear" w:color="auto" w:fill="auto"/>
            <w:hideMark/>
          </w:tcPr>
          <w:p w14:paraId="0B41E5F9" w14:textId="77777777" w:rsidR="00200A70" w:rsidRPr="00EA257C" w:rsidRDefault="00200A70" w:rsidP="00991583">
            <w:pPr>
              <w:jc w:val="right"/>
              <w:rPr>
                <w:rFonts w:ascii="Arial" w:hAnsi="Arial" w:cs="Arial"/>
                <w:color w:val="000000"/>
                <w:sz w:val="18"/>
                <w:szCs w:val="18"/>
              </w:rPr>
            </w:pPr>
            <w:r w:rsidRPr="00EA257C">
              <w:rPr>
                <w:rFonts w:ascii="Arial" w:hAnsi="Arial" w:cs="Arial"/>
                <w:color w:val="000000"/>
                <w:sz w:val="18"/>
                <w:szCs w:val="18"/>
              </w:rPr>
              <w:t>21</w:t>
            </w:r>
          </w:p>
        </w:tc>
        <w:tc>
          <w:tcPr>
            <w:tcW w:w="6180" w:type="dxa"/>
            <w:tcBorders>
              <w:top w:val="nil"/>
              <w:left w:val="nil"/>
              <w:bottom w:val="single" w:sz="4" w:space="0" w:color="auto"/>
              <w:right w:val="single" w:sz="4" w:space="0" w:color="auto"/>
            </w:tcBorders>
            <w:shd w:val="clear" w:color="auto" w:fill="auto"/>
            <w:hideMark/>
          </w:tcPr>
          <w:p w14:paraId="7A20366E" w14:textId="77777777" w:rsidR="00200A70" w:rsidRPr="00EA257C" w:rsidRDefault="00200A70" w:rsidP="00991583">
            <w:pPr>
              <w:rPr>
                <w:rFonts w:ascii="Arial" w:hAnsi="Arial" w:cs="Arial"/>
                <w:color w:val="000000"/>
                <w:sz w:val="18"/>
                <w:szCs w:val="18"/>
              </w:rPr>
            </w:pPr>
            <w:r w:rsidRPr="00EA257C">
              <w:rPr>
                <w:rFonts w:ascii="Arial" w:hAnsi="Arial" w:cs="Arial"/>
                <w:b/>
                <w:bCs/>
                <w:color w:val="000000"/>
                <w:sz w:val="18"/>
                <w:szCs w:val="18"/>
              </w:rPr>
              <w:t>Concept selection consistent with peers</w:t>
            </w:r>
            <w:r w:rsidRPr="00EA257C">
              <w:rPr>
                <w:rFonts w:ascii="Arial" w:hAnsi="Arial" w:cs="Arial"/>
                <w:color w:val="000000"/>
                <w:sz w:val="18"/>
                <w:szCs w:val="18"/>
              </w:rPr>
              <w:t>: Report element selection is consistent with peers or peer groups as appropriate</w:t>
            </w:r>
          </w:p>
        </w:tc>
        <w:tc>
          <w:tcPr>
            <w:tcW w:w="1080" w:type="dxa"/>
            <w:tcBorders>
              <w:top w:val="nil"/>
              <w:left w:val="nil"/>
              <w:bottom w:val="single" w:sz="4" w:space="0" w:color="auto"/>
              <w:right w:val="single" w:sz="4" w:space="0" w:color="auto"/>
            </w:tcBorders>
            <w:shd w:val="clear" w:color="auto" w:fill="auto"/>
            <w:hideMark/>
          </w:tcPr>
          <w:p w14:paraId="40D503E9" w14:textId="77777777" w:rsidR="00200A70" w:rsidRPr="00EA257C" w:rsidRDefault="00200A70" w:rsidP="00991583">
            <w:pPr>
              <w:jc w:val="center"/>
              <w:rPr>
                <w:rFonts w:ascii="Arial" w:hAnsi="Arial" w:cs="Arial"/>
                <w:color w:val="000000"/>
                <w:sz w:val="18"/>
                <w:szCs w:val="18"/>
              </w:rPr>
            </w:pPr>
            <w:r w:rsidRPr="00EA257C">
              <w:rPr>
                <w:rFonts w:ascii="Arial" w:hAnsi="Arial" w:cs="Arial"/>
                <w:color w:val="000000"/>
                <w:sz w:val="18"/>
                <w:szCs w:val="18"/>
              </w:rPr>
              <w:t> </w:t>
            </w:r>
          </w:p>
        </w:tc>
        <w:tc>
          <w:tcPr>
            <w:tcW w:w="800" w:type="dxa"/>
            <w:tcBorders>
              <w:top w:val="nil"/>
              <w:left w:val="nil"/>
              <w:bottom w:val="single" w:sz="4" w:space="0" w:color="auto"/>
              <w:right w:val="single" w:sz="4" w:space="0" w:color="auto"/>
            </w:tcBorders>
            <w:shd w:val="clear" w:color="auto" w:fill="auto"/>
            <w:hideMark/>
          </w:tcPr>
          <w:p w14:paraId="4703D57D" w14:textId="77777777" w:rsidR="00200A70" w:rsidRPr="00EA257C" w:rsidRDefault="00200A70" w:rsidP="00991583">
            <w:pPr>
              <w:jc w:val="center"/>
              <w:rPr>
                <w:rFonts w:ascii="Arial" w:hAnsi="Arial" w:cs="Arial"/>
                <w:color w:val="000000"/>
                <w:sz w:val="18"/>
                <w:szCs w:val="18"/>
              </w:rPr>
            </w:pPr>
            <w:r w:rsidRPr="00EA257C">
              <w:rPr>
                <w:rFonts w:ascii="Arial" w:hAnsi="Arial" w:cs="Arial"/>
                <w:color w:val="000000"/>
                <w:sz w:val="18"/>
                <w:szCs w:val="18"/>
              </w:rPr>
              <w:t>X</w:t>
            </w:r>
          </w:p>
        </w:tc>
      </w:tr>
      <w:tr w:rsidR="00200A70" w:rsidRPr="00EA257C" w14:paraId="21C47B34" w14:textId="77777777" w:rsidTr="00991583">
        <w:trPr>
          <w:trHeight w:val="795"/>
        </w:trPr>
        <w:tc>
          <w:tcPr>
            <w:tcW w:w="520" w:type="dxa"/>
            <w:tcBorders>
              <w:top w:val="nil"/>
              <w:left w:val="single" w:sz="4" w:space="0" w:color="auto"/>
              <w:bottom w:val="single" w:sz="4" w:space="0" w:color="auto"/>
              <w:right w:val="single" w:sz="4" w:space="0" w:color="auto"/>
            </w:tcBorders>
            <w:shd w:val="clear" w:color="auto" w:fill="auto"/>
            <w:hideMark/>
          </w:tcPr>
          <w:p w14:paraId="286955FB" w14:textId="77777777" w:rsidR="00200A70" w:rsidRPr="00EA257C" w:rsidRDefault="00200A70" w:rsidP="00991583">
            <w:pPr>
              <w:jc w:val="right"/>
              <w:rPr>
                <w:rFonts w:ascii="Arial" w:hAnsi="Arial" w:cs="Arial"/>
                <w:color w:val="000000"/>
                <w:sz w:val="18"/>
                <w:szCs w:val="18"/>
              </w:rPr>
            </w:pPr>
            <w:r w:rsidRPr="00EA257C">
              <w:rPr>
                <w:rFonts w:ascii="Arial" w:hAnsi="Arial" w:cs="Arial"/>
                <w:color w:val="000000"/>
                <w:sz w:val="18"/>
                <w:szCs w:val="18"/>
              </w:rPr>
              <w:lastRenderedPageBreak/>
              <w:t>22</w:t>
            </w:r>
          </w:p>
        </w:tc>
        <w:tc>
          <w:tcPr>
            <w:tcW w:w="6180" w:type="dxa"/>
            <w:tcBorders>
              <w:top w:val="nil"/>
              <w:left w:val="nil"/>
              <w:bottom w:val="single" w:sz="4" w:space="0" w:color="auto"/>
              <w:right w:val="single" w:sz="4" w:space="0" w:color="auto"/>
            </w:tcBorders>
            <w:shd w:val="clear" w:color="auto" w:fill="auto"/>
            <w:hideMark/>
          </w:tcPr>
          <w:p w14:paraId="6C1454E0" w14:textId="77777777" w:rsidR="00200A70" w:rsidRPr="00EA257C" w:rsidRDefault="00200A70" w:rsidP="00991583">
            <w:pPr>
              <w:rPr>
                <w:rFonts w:ascii="Arial" w:hAnsi="Arial" w:cs="Arial"/>
                <w:color w:val="000000"/>
                <w:sz w:val="18"/>
                <w:szCs w:val="18"/>
              </w:rPr>
            </w:pPr>
            <w:r w:rsidRPr="00EA257C">
              <w:rPr>
                <w:rFonts w:ascii="Arial" w:hAnsi="Arial" w:cs="Arial"/>
                <w:b/>
                <w:bCs/>
                <w:color w:val="000000"/>
                <w:sz w:val="18"/>
                <w:szCs w:val="18"/>
              </w:rPr>
              <w:t>Disclosure full/false inclusion</w:t>
            </w:r>
            <w:r w:rsidRPr="00EA257C">
              <w:rPr>
                <w:rFonts w:ascii="Arial" w:hAnsi="Arial" w:cs="Arial"/>
                <w:color w:val="000000"/>
                <w:sz w:val="18"/>
                <w:szCs w:val="18"/>
              </w:rPr>
              <w:t>: Disclosure checklist review for full inclusion</w:t>
            </w:r>
          </w:p>
        </w:tc>
        <w:tc>
          <w:tcPr>
            <w:tcW w:w="1080" w:type="dxa"/>
            <w:tcBorders>
              <w:top w:val="nil"/>
              <w:left w:val="nil"/>
              <w:bottom w:val="single" w:sz="4" w:space="0" w:color="auto"/>
              <w:right w:val="single" w:sz="4" w:space="0" w:color="auto"/>
            </w:tcBorders>
            <w:shd w:val="clear" w:color="auto" w:fill="auto"/>
            <w:hideMark/>
          </w:tcPr>
          <w:p w14:paraId="6308F548" w14:textId="77777777" w:rsidR="00200A70" w:rsidRPr="00EA257C" w:rsidRDefault="00200A70" w:rsidP="00991583">
            <w:pPr>
              <w:jc w:val="center"/>
              <w:rPr>
                <w:rFonts w:ascii="Arial" w:hAnsi="Arial" w:cs="Arial"/>
                <w:color w:val="000000"/>
                <w:sz w:val="18"/>
                <w:szCs w:val="18"/>
              </w:rPr>
            </w:pPr>
            <w:r w:rsidRPr="00EA257C">
              <w:rPr>
                <w:rFonts w:ascii="Arial" w:hAnsi="Arial" w:cs="Arial"/>
                <w:color w:val="000000"/>
                <w:sz w:val="18"/>
                <w:szCs w:val="18"/>
              </w:rPr>
              <w:t> </w:t>
            </w:r>
          </w:p>
        </w:tc>
        <w:tc>
          <w:tcPr>
            <w:tcW w:w="800" w:type="dxa"/>
            <w:tcBorders>
              <w:top w:val="nil"/>
              <w:left w:val="nil"/>
              <w:bottom w:val="single" w:sz="4" w:space="0" w:color="auto"/>
              <w:right w:val="single" w:sz="4" w:space="0" w:color="auto"/>
            </w:tcBorders>
            <w:shd w:val="clear" w:color="auto" w:fill="auto"/>
            <w:hideMark/>
          </w:tcPr>
          <w:p w14:paraId="69B6B82D" w14:textId="77777777" w:rsidR="00200A70" w:rsidRPr="00EA257C" w:rsidRDefault="00200A70" w:rsidP="00991583">
            <w:pPr>
              <w:jc w:val="center"/>
              <w:rPr>
                <w:rFonts w:ascii="Arial" w:hAnsi="Arial" w:cs="Arial"/>
                <w:color w:val="000000"/>
                <w:sz w:val="18"/>
                <w:szCs w:val="18"/>
              </w:rPr>
            </w:pPr>
            <w:r w:rsidRPr="00EA257C">
              <w:rPr>
                <w:rFonts w:ascii="Arial" w:hAnsi="Arial" w:cs="Arial"/>
                <w:color w:val="000000"/>
                <w:sz w:val="18"/>
                <w:szCs w:val="18"/>
              </w:rPr>
              <w:t>X</w:t>
            </w:r>
          </w:p>
        </w:tc>
      </w:tr>
      <w:tr w:rsidR="00200A70" w:rsidRPr="00EA257C" w14:paraId="65F37CB0" w14:textId="77777777" w:rsidTr="00991583">
        <w:trPr>
          <w:trHeight w:val="480"/>
        </w:trPr>
        <w:tc>
          <w:tcPr>
            <w:tcW w:w="520" w:type="dxa"/>
            <w:tcBorders>
              <w:top w:val="nil"/>
              <w:left w:val="single" w:sz="4" w:space="0" w:color="auto"/>
              <w:bottom w:val="single" w:sz="4" w:space="0" w:color="auto"/>
              <w:right w:val="single" w:sz="4" w:space="0" w:color="auto"/>
            </w:tcBorders>
            <w:shd w:val="clear" w:color="auto" w:fill="auto"/>
            <w:hideMark/>
          </w:tcPr>
          <w:p w14:paraId="09B7401A" w14:textId="77777777" w:rsidR="00200A70" w:rsidRPr="00EA257C" w:rsidRDefault="00200A70" w:rsidP="00991583">
            <w:pPr>
              <w:jc w:val="right"/>
              <w:rPr>
                <w:rFonts w:ascii="Arial" w:hAnsi="Arial" w:cs="Arial"/>
                <w:color w:val="000000"/>
                <w:sz w:val="18"/>
                <w:szCs w:val="18"/>
              </w:rPr>
            </w:pPr>
            <w:r w:rsidRPr="00EA257C">
              <w:rPr>
                <w:rFonts w:ascii="Arial" w:hAnsi="Arial" w:cs="Arial"/>
                <w:color w:val="000000"/>
                <w:sz w:val="18"/>
                <w:szCs w:val="18"/>
              </w:rPr>
              <w:t>23</w:t>
            </w:r>
          </w:p>
        </w:tc>
        <w:tc>
          <w:tcPr>
            <w:tcW w:w="6180" w:type="dxa"/>
            <w:tcBorders>
              <w:top w:val="nil"/>
              <w:left w:val="nil"/>
              <w:bottom w:val="single" w:sz="4" w:space="0" w:color="auto"/>
              <w:right w:val="single" w:sz="4" w:space="0" w:color="auto"/>
            </w:tcBorders>
            <w:shd w:val="clear" w:color="auto" w:fill="auto"/>
            <w:hideMark/>
          </w:tcPr>
          <w:p w14:paraId="5622E07D" w14:textId="77777777" w:rsidR="00200A70" w:rsidRPr="00EA257C" w:rsidRDefault="00200A70" w:rsidP="00991583">
            <w:pPr>
              <w:rPr>
                <w:rFonts w:ascii="Arial" w:hAnsi="Arial" w:cs="Arial"/>
                <w:color w:val="000000"/>
                <w:sz w:val="18"/>
                <w:szCs w:val="18"/>
              </w:rPr>
            </w:pPr>
            <w:r w:rsidRPr="00EA257C">
              <w:rPr>
                <w:rFonts w:ascii="Arial" w:hAnsi="Arial" w:cs="Arial"/>
                <w:b/>
                <w:bCs/>
                <w:color w:val="000000"/>
                <w:sz w:val="18"/>
                <w:szCs w:val="18"/>
              </w:rPr>
              <w:t>True and fair representation</w:t>
            </w:r>
            <w:r w:rsidRPr="00EA257C">
              <w:rPr>
                <w:rFonts w:ascii="Arial" w:hAnsi="Arial" w:cs="Arial"/>
                <w:color w:val="000000"/>
                <w:sz w:val="18"/>
                <w:szCs w:val="18"/>
              </w:rPr>
              <w:t>: True and fair representation of financial information of economic entity</w:t>
            </w:r>
          </w:p>
        </w:tc>
        <w:tc>
          <w:tcPr>
            <w:tcW w:w="1080" w:type="dxa"/>
            <w:tcBorders>
              <w:top w:val="nil"/>
              <w:left w:val="nil"/>
              <w:bottom w:val="single" w:sz="4" w:space="0" w:color="auto"/>
              <w:right w:val="single" w:sz="4" w:space="0" w:color="auto"/>
            </w:tcBorders>
            <w:shd w:val="clear" w:color="auto" w:fill="auto"/>
            <w:hideMark/>
          </w:tcPr>
          <w:p w14:paraId="130AFA59" w14:textId="77777777" w:rsidR="00200A70" w:rsidRPr="00EA257C" w:rsidRDefault="00200A70" w:rsidP="00991583">
            <w:pPr>
              <w:jc w:val="center"/>
              <w:rPr>
                <w:rFonts w:ascii="Arial" w:hAnsi="Arial" w:cs="Arial"/>
                <w:color w:val="000000"/>
                <w:sz w:val="18"/>
                <w:szCs w:val="18"/>
              </w:rPr>
            </w:pPr>
            <w:r w:rsidRPr="00EA257C">
              <w:rPr>
                <w:rFonts w:ascii="Arial" w:hAnsi="Arial" w:cs="Arial"/>
                <w:color w:val="000000"/>
                <w:sz w:val="18"/>
                <w:szCs w:val="18"/>
              </w:rPr>
              <w:t> </w:t>
            </w:r>
          </w:p>
        </w:tc>
        <w:tc>
          <w:tcPr>
            <w:tcW w:w="800" w:type="dxa"/>
            <w:tcBorders>
              <w:top w:val="nil"/>
              <w:left w:val="nil"/>
              <w:bottom w:val="single" w:sz="4" w:space="0" w:color="auto"/>
              <w:right w:val="single" w:sz="4" w:space="0" w:color="auto"/>
            </w:tcBorders>
            <w:shd w:val="clear" w:color="auto" w:fill="auto"/>
            <w:hideMark/>
          </w:tcPr>
          <w:p w14:paraId="2732E121" w14:textId="77777777" w:rsidR="00200A70" w:rsidRPr="00EA257C" w:rsidRDefault="00200A70" w:rsidP="00991583">
            <w:pPr>
              <w:jc w:val="center"/>
              <w:rPr>
                <w:rFonts w:ascii="Arial" w:hAnsi="Arial" w:cs="Arial"/>
                <w:color w:val="000000"/>
                <w:sz w:val="18"/>
                <w:szCs w:val="18"/>
              </w:rPr>
            </w:pPr>
            <w:r w:rsidRPr="00EA257C">
              <w:rPr>
                <w:rFonts w:ascii="Arial" w:hAnsi="Arial" w:cs="Arial"/>
                <w:color w:val="000000"/>
                <w:sz w:val="18"/>
                <w:szCs w:val="18"/>
              </w:rPr>
              <w:t>X</w:t>
            </w:r>
          </w:p>
        </w:tc>
      </w:tr>
    </w:tbl>
    <w:p w14:paraId="490353A3" w14:textId="77777777" w:rsidR="00200A70" w:rsidRDefault="00200A70" w:rsidP="002C62B9">
      <w:pPr>
        <w:pStyle w:val="BodyText"/>
      </w:pPr>
      <w:r>
        <w:t>Current manually created disclosure checklists will be replaced, to a degree, by automated machine-based processes</w:t>
      </w:r>
      <w:r>
        <w:rPr>
          <w:rStyle w:val="FootnoteReference"/>
        </w:rPr>
        <w:footnoteReference w:id="5"/>
      </w:r>
      <w:r>
        <w:t>.  Structured information makes this possible.  You can think of it this way.  In the past, information was unstructured and therefore unreadable by a computer process.  Now information is structured.  Some portion of the manual process of creating a financial report will be automated.  The extent that a process can be automated is directly correlated with the ability to create machine readable rules and extent to which those rules exist.</w:t>
      </w:r>
    </w:p>
    <w:p w14:paraId="1FAC7D0B" w14:textId="77777777" w:rsidR="00200A70" w:rsidRDefault="00200A70" w:rsidP="00215A84">
      <w:pPr>
        <w:pStyle w:val="Heading2"/>
      </w:pPr>
      <w:r>
        <w:t>Respect all basic logical relations, structural relations, and mathematical relations that trump the ‘rule books’</w:t>
      </w:r>
    </w:p>
    <w:p w14:paraId="3745C6E5" w14:textId="77777777" w:rsidR="00200A70" w:rsidRDefault="00200A70" w:rsidP="002C62B9">
      <w:pPr>
        <w:pStyle w:val="BodyText"/>
      </w:pPr>
      <w:r>
        <w:t>Whether they are explicitly required by some “rule book” or not; all logical, structural, and mathematical relations must be respected because these relations are mandated by something that trumps the rule books: common sense and the rules of logic.</w:t>
      </w:r>
    </w:p>
    <w:p w14:paraId="0AEC0601" w14:textId="77777777" w:rsidR="00200A70" w:rsidRDefault="00200A70" w:rsidP="002C62B9">
      <w:pPr>
        <w:pStyle w:val="BodyText"/>
      </w:pPr>
      <w:r>
        <w:t>For example, there is nothing in SEC regulations or the Edgar Filer Manual (EFM) that says that “Assets = Liabilities and Equity”.  However, that does not mean that you can simply violate the accounting equation</w:t>
      </w:r>
      <w:r>
        <w:rPr>
          <w:rStyle w:val="FootnoteReference"/>
        </w:rPr>
        <w:footnoteReference w:id="6"/>
      </w:r>
      <w:r>
        <w:t xml:space="preserve"> which is a fundamental rule of accounting.</w:t>
      </w:r>
    </w:p>
    <w:p w14:paraId="1BAEFA6E" w14:textId="77777777" w:rsidR="00200A70" w:rsidRDefault="00200A70" w:rsidP="002C62B9">
      <w:pPr>
        <w:pStyle w:val="BodyText"/>
      </w:pPr>
      <w:r>
        <w:t>And whether you have an automated machine-based process for detecting and checking these logical, structural, and mathematical relations or not; someone else will and these errors will be detected eventually.</w:t>
      </w:r>
    </w:p>
    <w:p w14:paraId="22CA0BEE" w14:textId="77777777" w:rsidR="00200A70" w:rsidRDefault="00200A70" w:rsidP="002C62B9">
      <w:pPr>
        <w:pStyle w:val="BodyText"/>
      </w:pPr>
      <w:r>
        <w:t>There are two primary reasons for making the effort to detect and correct these basic issues.  The obvious reason is that you don’t want to make mistakes.  But the less obvious reason, and really the most important reason, is because doing so will help you create processes and procedures for detecting and correcting such errors and will help you realize that ultimately software should be created that does not let you create these errors in the first place</w:t>
      </w:r>
      <w:r>
        <w:rPr>
          <w:rStyle w:val="FootnoteReference"/>
        </w:rPr>
        <w:footnoteReference w:id="7"/>
      </w:r>
      <w:r>
        <w:t>.</w:t>
      </w:r>
    </w:p>
    <w:p w14:paraId="3C386541" w14:textId="77777777" w:rsidR="00200A70" w:rsidRDefault="00200A70" w:rsidP="002C62B9">
      <w:pPr>
        <w:pStyle w:val="BodyText"/>
      </w:pPr>
      <w:r>
        <w:t xml:space="preserve">The document </w:t>
      </w:r>
      <w:r w:rsidRPr="00A3609C">
        <w:rPr>
          <w:i/>
        </w:rPr>
        <w:t>Understanding Disclosure Mechanics</w:t>
      </w:r>
      <w:r>
        <w:rPr>
          <w:rStyle w:val="FootnoteReference"/>
        </w:rPr>
        <w:footnoteReference w:id="8"/>
      </w:r>
      <w:r>
        <w:t xml:space="preserve"> provides a basic starting point you can strive for:</w:t>
      </w:r>
    </w:p>
    <w:p w14:paraId="5A914681" w14:textId="77777777" w:rsidR="00200A70" w:rsidRDefault="00200A70" w:rsidP="002C61B1">
      <w:pPr>
        <w:pStyle w:val="BodyText"/>
        <w:numPr>
          <w:ilvl w:val="0"/>
          <w:numId w:val="6"/>
        </w:numPr>
      </w:pPr>
      <w:r>
        <w:t>Don’t use Level 3 Disclosure Level Text Blocks to represent Level 1 Note Level Text Blocks.</w:t>
      </w:r>
    </w:p>
    <w:p w14:paraId="124A9F2E" w14:textId="77777777" w:rsidR="00200A70" w:rsidRDefault="00200A70" w:rsidP="002C61B1">
      <w:pPr>
        <w:pStyle w:val="BodyText"/>
        <w:numPr>
          <w:ilvl w:val="0"/>
          <w:numId w:val="6"/>
        </w:numPr>
      </w:pPr>
      <w:r>
        <w:t>Don’t use Level 1 Note Level Text Blocks to represent Level 3 Disclosure Level Text Blocks.</w:t>
      </w:r>
    </w:p>
    <w:p w14:paraId="53C952CB" w14:textId="77777777" w:rsidR="00200A70" w:rsidRDefault="00200A70" w:rsidP="002C61B1">
      <w:pPr>
        <w:pStyle w:val="BodyText"/>
        <w:numPr>
          <w:ilvl w:val="0"/>
          <w:numId w:val="6"/>
        </w:numPr>
      </w:pPr>
      <w:r>
        <w:lastRenderedPageBreak/>
        <w:t>Make sure your Level 3 Disclosure Level Text Blocks and Level 4 Disclosure Details are matched sets.</w:t>
      </w:r>
    </w:p>
    <w:p w14:paraId="6D7A2097" w14:textId="77777777" w:rsidR="00200A70" w:rsidRDefault="00200A70" w:rsidP="002C61B1">
      <w:pPr>
        <w:pStyle w:val="BodyText"/>
        <w:numPr>
          <w:ilvl w:val="0"/>
          <w:numId w:val="6"/>
        </w:numPr>
      </w:pPr>
      <w:r>
        <w:t>Make sure that every Roll Up has the required XBRL calculation relations and that the XBRL calculation relations show that the Roll Up you represented is consistent and actually rolls up.</w:t>
      </w:r>
    </w:p>
    <w:p w14:paraId="014141D0" w14:textId="77777777" w:rsidR="00200A70" w:rsidRDefault="00200A70" w:rsidP="002C61B1">
      <w:pPr>
        <w:pStyle w:val="BodyText"/>
        <w:numPr>
          <w:ilvl w:val="0"/>
          <w:numId w:val="6"/>
        </w:numPr>
      </w:pPr>
      <w:r>
        <w:t>Don’t use the sort category “Schedule”.  Use “Disclosure” instead.  The SEC does not distinguish between the two sort categories; it is just easier to stick with “Disclosure”.</w:t>
      </w:r>
    </w:p>
    <w:p w14:paraId="3F866CE7" w14:textId="77777777" w:rsidR="00200A70" w:rsidRDefault="00200A70" w:rsidP="002C61B1">
      <w:pPr>
        <w:pStyle w:val="BodyText"/>
        <w:numPr>
          <w:ilvl w:val="0"/>
          <w:numId w:val="6"/>
        </w:numPr>
      </w:pPr>
      <w:r>
        <w:t>When you create your XBRL instances, test them using XBRL Formula relations to make sure all of your roll forwards and member aggregations work correctly.  After you know they work, you can detach the XBRL Formula relations from your XBRL instance for submission to the SEC.</w:t>
      </w:r>
    </w:p>
    <w:p w14:paraId="230CB76F" w14:textId="77777777" w:rsidR="00200A70" w:rsidRDefault="00200A70" w:rsidP="002C61B1">
      <w:pPr>
        <w:pStyle w:val="BodyText"/>
        <w:numPr>
          <w:ilvl w:val="0"/>
          <w:numId w:val="6"/>
        </w:numPr>
      </w:pPr>
      <w:r>
        <w:t>Filing agents, create an internal taxonomy and try to consistently use the same Level 3 Disclosure Text Blocks from your one internal taxonomy for all your customer filings.  Why?  Because there are a lot of missing Level 3 Disclosure Text Blocks missing from the US GAAP XBRL Taxonomy.  What this also does is helps you accumulate a list that you can provide to the FASB to get them to add those missing text blocks.</w:t>
      </w:r>
    </w:p>
    <w:p w14:paraId="39E5D047" w14:textId="77777777" w:rsidR="00200A70" w:rsidRDefault="00200A70" w:rsidP="002C61B1">
      <w:pPr>
        <w:pStyle w:val="BodyText"/>
        <w:numPr>
          <w:ilvl w:val="0"/>
          <w:numId w:val="6"/>
        </w:numPr>
      </w:pPr>
      <w:r>
        <w:t>Focus on the most commonly occurring disclosures</w:t>
      </w:r>
      <w:r>
        <w:rPr>
          <w:rStyle w:val="FootnoteReference"/>
        </w:rPr>
        <w:footnoteReference w:id="9"/>
      </w:r>
      <w:r>
        <w:t>.</w:t>
      </w:r>
    </w:p>
    <w:p w14:paraId="4073FB0D" w14:textId="77777777" w:rsidR="00200A70" w:rsidRDefault="00200A70" w:rsidP="008B4B7D">
      <w:pPr>
        <w:pStyle w:val="BodyText"/>
      </w:pPr>
      <w:r>
        <w:t>As you endeavor to detect and correct issues, keep good notes.  You will likely accumulate a lot of very good information which will be helpful to both get the US GAAP XBRL Taxonomy better dialed in and to software engineers who provide you with the software you need to do your work.</w:t>
      </w:r>
    </w:p>
    <w:p w14:paraId="3C72F199" w14:textId="77777777" w:rsidR="00200A70" w:rsidRDefault="00200A70" w:rsidP="002C62B9">
      <w:pPr>
        <w:pStyle w:val="Heading2"/>
      </w:pPr>
      <w:bookmarkStart w:id="5" w:name="_Toc456627583"/>
      <w:r>
        <w:t>Recognize that even if SEC filing rules and the US GAAP XBRL Taxonomy may allow for ambiguity; approaches do exist where XBRL-based digital financial reports rules can be followed and information is consistent, explicit and unambiguous</w:t>
      </w:r>
      <w:bookmarkEnd w:id="5"/>
    </w:p>
    <w:p w14:paraId="20AB4630" w14:textId="77777777" w:rsidR="00200A70" w:rsidRDefault="00200A70" w:rsidP="002C62B9">
      <w:pPr>
        <w:pStyle w:val="BodyText"/>
      </w:pPr>
      <w:r>
        <w:t>There is a “safe” or “happy path” through SEC Edgar Filer Manual (EFM) filing rules and the US GAAP XBRL Taxonomy where a quality, reliable, predictable, repeatable implementation approach can result. While it is likewise possible to pick a path where meaning is not clear and information is impossible or difficult to make use of; paths likewise exist which make meaning unambiguous and easy to make use of.</w:t>
      </w:r>
    </w:p>
    <w:p w14:paraId="65B05D7A" w14:textId="77777777" w:rsidR="00200A70" w:rsidRDefault="00200A70" w:rsidP="002C62B9">
      <w:pPr>
        <w:pStyle w:val="BodyText"/>
      </w:pPr>
      <w:r>
        <w:t xml:space="preserve">Consider the graphic below. </w:t>
      </w:r>
    </w:p>
    <w:p w14:paraId="39FEFA72" w14:textId="77777777" w:rsidR="00200A70" w:rsidRDefault="00200A70" w:rsidP="00AC3C95">
      <w:pPr>
        <w:pStyle w:val="BodyText"/>
        <w:jc w:val="center"/>
      </w:pPr>
      <w:r>
        <w:rPr>
          <w:noProof/>
        </w:rPr>
        <w:lastRenderedPageBreak/>
        <w:drawing>
          <wp:inline distT="0" distB="0" distL="0" distR="0" wp14:anchorId="738C4D7C" wp14:editId="68857E23">
            <wp:extent cx="3767328" cy="2314755"/>
            <wp:effectExtent l="0" t="0" r="5080" b="0"/>
            <wp:docPr id="5130" name="Picture 5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a:stretch>
                      <a:fillRect/>
                    </a:stretch>
                  </pic:blipFill>
                  <pic:spPr>
                    <a:xfrm>
                      <a:off x="0" y="0"/>
                      <a:ext cx="3771954" cy="2317598"/>
                    </a:xfrm>
                    <a:prstGeom prst="rect">
                      <a:avLst/>
                    </a:prstGeom>
                  </pic:spPr>
                </pic:pic>
              </a:graphicData>
            </a:graphic>
          </wp:inline>
        </w:drawing>
      </w:r>
    </w:p>
    <w:p w14:paraId="05DABB30" w14:textId="77777777" w:rsidR="00200A70" w:rsidRDefault="00200A70" w:rsidP="002C62B9">
      <w:pPr>
        <w:pStyle w:val="BodyText"/>
      </w:pPr>
      <w:r>
        <w:t xml:space="preserve">The outer most box represents what is allowed by the XBRL technical specifications. The US GAAP Taxonomy Architecture specifies addition constraints, limiting how the XBRL technical syntax can be used.  For example, the US GAAP Taxonomy Architecture disallows the use of tuples, the scenario context, and the precision attribute all of which the XBRL technical syntax does allow.  The SEC places further restrictions on what is allowed.  For example, every public company submitting an XBRL-based financial filing must use a specific entity identifier scheme and identifier, the CIK number.  The EFM rules require this and inbound validation performed by the SEC enforces this rule.  </w:t>
      </w:r>
    </w:p>
    <w:p w14:paraId="334BD6C3" w14:textId="77777777" w:rsidR="00200A70" w:rsidRDefault="00200A70" w:rsidP="002C62B9">
      <w:pPr>
        <w:pStyle w:val="BodyText"/>
      </w:pPr>
      <w:r>
        <w:t>US GAAP itself further restricts how the XBRL technical syntax can be used.  For example, balance sheets balance (assets = liabilities and equity) or the accounting equation is a business rule which all financial reports must follow. However, neither the SEC nor the FASB provides this rule in machine readable form.  But this does not prohibit a system from creating and enforcing this logical, mathematical business rule.</w:t>
      </w:r>
    </w:p>
    <w:p w14:paraId="7F7AC4C3" w14:textId="77777777" w:rsidR="00200A70" w:rsidRDefault="00200A70" w:rsidP="002C62B9">
      <w:pPr>
        <w:pStyle w:val="BodyText"/>
      </w:pPr>
      <w:r>
        <w:t xml:space="preserve">The smallest box is a more constrained set of rules that follows all other rules specified by US GAAP, the SEC, the US GAAP Taxonomy Architecture, and the XBRL technical specification. For example, the SEC and US GAAP XBRL Taxonomy architecture does not </w:t>
      </w:r>
      <w:r w:rsidRPr="005F2131">
        <w:rPr>
          <w:i/>
        </w:rPr>
        <w:t>require</w:t>
      </w:r>
      <w:r>
        <w:t xml:space="preserve"> [Table]s to be used to report all information. But it does </w:t>
      </w:r>
      <w:r w:rsidRPr="005F2131">
        <w:rPr>
          <w:i/>
        </w:rPr>
        <w:t>allow</w:t>
      </w:r>
      <w:r>
        <w:t xml:space="preserve"> [Table]s to be used. There is nothing that prevents a software vendor from </w:t>
      </w:r>
      <w:r w:rsidRPr="00BA6A91">
        <w:rPr>
          <w:i/>
        </w:rPr>
        <w:t>requiring</w:t>
      </w:r>
      <w:r>
        <w:t xml:space="preserve"> the consistent use of [Table]s in their software. In fact, some software vendors already do.  Why?  Because if software consistently uses [Table]s, you don’t need to explain to an accounting professional when to use a [Table] and when not to use a [Table].  One less detail business </w:t>
      </w:r>
      <w:proofErr w:type="gramStart"/>
      <w:r>
        <w:t>professionals</w:t>
      </w:r>
      <w:proofErr w:type="gramEnd"/>
      <w:r>
        <w:t xml:space="preserve"> need to worry about, the system takes care of that detail for you.</w:t>
      </w:r>
    </w:p>
    <w:p w14:paraId="23DB6973" w14:textId="77777777" w:rsidR="00200A70" w:rsidRDefault="00200A70" w:rsidP="002C62B9">
      <w:pPr>
        <w:pStyle w:val="BodyText"/>
      </w:pPr>
      <w:r>
        <w:t xml:space="preserve">Basically, the box labeled “Allowed by implementation model” is nothing more than an application profile, a </w:t>
      </w:r>
      <w:proofErr w:type="gramStart"/>
      <w:r>
        <w:t>common tool software developers</w:t>
      </w:r>
      <w:proofErr w:type="gramEnd"/>
      <w:r>
        <w:t xml:space="preserve"> use to hide complexity from business users making use of software.</w:t>
      </w:r>
    </w:p>
    <w:p w14:paraId="336916F4" w14:textId="77777777" w:rsidR="00200A70" w:rsidRDefault="00200A70" w:rsidP="00AC3C95">
      <w:pPr>
        <w:pStyle w:val="BodyText"/>
      </w:pPr>
      <w:r>
        <w:t>It is through balancing all of these layers correctly that an easy to use approach to representing financial information digitally using the XBRL format can be achieved.</w:t>
      </w:r>
    </w:p>
    <w:p w14:paraId="61A24EA1" w14:textId="77777777" w:rsidR="00200A70" w:rsidRDefault="00200A70" w:rsidP="002C62B9">
      <w:pPr>
        <w:pStyle w:val="BodyText"/>
        <w:jc w:val="left"/>
      </w:pPr>
      <w:r>
        <w:t>Creating software that is complex and difficult to use is easy.  Building software that is simple to use is hard work.</w:t>
      </w:r>
    </w:p>
    <w:p w14:paraId="2AAF54F9" w14:textId="77777777" w:rsidR="00200A70" w:rsidRDefault="00200A70" w:rsidP="002C62B9">
      <w:pPr>
        <w:pStyle w:val="Heading2"/>
      </w:pPr>
      <w:bookmarkStart w:id="6" w:name="_Toc456627584"/>
      <w:r>
        <w:lastRenderedPageBreak/>
        <w:t>Recognize that being explicit contributes to the unambiguous interpretation of reported information</w:t>
      </w:r>
      <w:bookmarkEnd w:id="6"/>
    </w:p>
    <w:p w14:paraId="235BB02C" w14:textId="77777777" w:rsidR="00200A70" w:rsidRDefault="00200A70" w:rsidP="002C62B9">
      <w:pPr>
        <w:pStyle w:val="BodyText"/>
      </w:pPr>
      <w:r>
        <w:t>The probability that reported facts will be agreed to by creators and users of information is increased if reported facts are explicit and unambiguous. By contrast, if information needs to be implied by the user of the financial information the probability for an inappropriate interpretation increases.</w:t>
      </w:r>
    </w:p>
    <w:p w14:paraId="0F82480D" w14:textId="77777777" w:rsidR="00200A70" w:rsidRDefault="00200A70" w:rsidP="002C62B9">
      <w:pPr>
        <w:pStyle w:val="BodyText"/>
      </w:pPr>
      <w:r>
        <w:t>Explicit is defined as “</w:t>
      </w:r>
      <w:r w:rsidRPr="00F51A80">
        <w:t>stated clearly and in detail, leaving no room for confusion or doubt</w:t>
      </w:r>
      <w:r>
        <w:t>”.  Implicit is defined as “</w:t>
      </w:r>
      <w:r w:rsidRPr="00725277">
        <w:t>understood though not directly expressed</w:t>
      </w:r>
      <w:r>
        <w:t>”.  Explicit is preferred to implicit because many times something which one might believe is understood but not directly expressed, could be understood differently than one might expect it to be understood.  Being explicit makes it unnecessary to imply.</w:t>
      </w:r>
    </w:p>
    <w:p w14:paraId="1412D9D1" w14:textId="77777777" w:rsidR="00200A70" w:rsidRDefault="00200A70" w:rsidP="002C62B9">
      <w:pPr>
        <w:pStyle w:val="BodyText"/>
      </w:pPr>
      <w:r>
        <w:t>Deriving new information using existing information and the rules of logic and reasoning is almost as good as explicit information.  Deriving based on the rules of logic and implying are not the same thing.</w:t>
      </w:r>
    </w:p>
    <w:p w14:paraId="323AD828" w14:textId="77777777" w:rsidR="00200A70" w:rsidRDefault="00200A70" w:rsidP="002C62B9">
      <w:pPr>
        <w:pStyle w:val="BodyText"/>
      </w:pPr>
      <w:r>
        <w:t>Unambiguous is defined as “</w:t>
      </w:r>
      <w:r w:rsidRPr="00F51A80">
        <w:t>not open to more than one interpretation</w:t>
      </w:r>
      <w:r>
        <w:t xml:space="preserve">”. </w:t>
      </w:r>
      <w:r w:rsidRPr="00F51A80">
        <w:t xml:space="preserve">The definition of meaningful is </w:t>
      </w:r>
      <w:r>
        <w:t>“</w:t>
      </w:r>
      <w:r w:rsidRPr="00F51A80">
        <w:t>something that has a purpose</w:t>
      </w:r>
      <w:r>
        <w:t>”.  Information cannot be both “meaningful” and “ambiguous”. Ambiguous is defined as “o</w:t>
      </w:r>
      <w:r w:rsidRPr="00F51A80">
        <w:t>pen to more than one interpretation</w:t>
      </w:r>
      <w:r>
        <w:t>” or “d</w:t>
      </w:r>
      <w:r w:rsidRPr="00F51A80">
        <w:t>oubtful or uncertain</w:t>
      </w:r>
      <w:r>
        <w:t xml:space="preserve">”. </w:t>
      </w:r>
    </w:p>
    <w:p w14:paraId="168336F9" w14:textId="77777777" w:rsidR="00200A70" w:rsidRDefault="00200A70" w:rsidP="002C62B9">
      <w:pPr>
        <w:pStyle w:val="BodyText"/>
      </w:pPr>
      <w:r>
        <w:t xml:space="preserve">The purpose of a financial report is to convey meaning.  </w:t>
      </w:r>
      <w:r w:rsidRPr="00F51A80">
        <w:t>The only way a meaningful exchange of information can occur is the prior existence of agreed upon syntax, semantics, and workflow/process rules.</w:t>
      </w:r>
      <w:r>
        <w:t xml:space="preserve"> To the extent that these explicit business rules exist, information can be unambiguous.</w:t>
      </w:r>
    </w:p>
    <w:p w14:paraId="42E0AA06" w14:textId="77777777" w:rsidR="00200A70" w:rsidRDefault="00200A70" w:rsidP="002C62B9">
      <w:pPr>
        <w:pStyle w:val="Heading2"/>
      </w:pPr>
      <w:bookmarkStart w:id="7" w:name="_Toc456627585"/>
      <w:r>
        <w:t>Strive for consistency and simple</w:t>
      </w:r>
      <w:bookmarkEnd w:id="7"/>
    </w:p>
    <w:p w14:paraId="3FE79187" w14:textId="77777777" w:rsidR="00200A70" w:rsidRDefault="00200A70" w:rsidP="002C62B9">
      <w:pPr>
        <w:pStyle w:val="BodyText"/>
      </w:pPr>
      <w:r>
        <w:t>Consistency is good and preferred over inconsistency. Consistency makes things simpler.</w:t>
      </w:r>
      <w:r w:rsidRPr="001B3309">
        <w:t xml:space="preserve"> "Simple" is not about doing simple things.  Simplicity i</w:t>
      </w:r>
      <w:r>
        <w:t>s the ultimate sophistication</w:t>
      </w:r>
      <w:r>
        <w:rPr>
          <w:rStyle w:val="FootnoteReference"/>
        </w:rPr>
        <w:footnoteReference w:id="10"/>
      </w:r>
      <w:r>
        <w:t>.  There is a difference between simplistic and simple.</w:t>
      </w:r>
    </w:p>
    <w:p w14:paraId="31C6D0B8" w14:textId="77777777" w:rsidR="00200A70" w:rsidRDefault="00200A70" w:rsidP="002C62B9">
      <w:pPr>
        <w:pStyle w:val="BodyText"/>
      </w:pPr>
      <w:r w:rsidRPr="00D67E09">
        <w:rPr>
          <w:b/>
          <w:i/>
        </w:rPr>
        <w:t>Simplistic</w:t>
      </w:r>
      <w:r>
        <w:t xml:space="preserve"> is dumbing down a problem in order to make the problem easier to solve.  Simplistic ignores complexity in order to solve a problem which can get you into trouble.  Simplistic is over-simplifying.  Simplistic means that you have a naïve understanding of the world, you don't understand the complexities of the world.  Removing or forgetting complicated things does not allow for the creation of a </w:t>
      </w:r>
      <w:proofErr w:type="gramStart"/>
      <w:r>
        <w:t>real world</w:t>
      </w:r>
      <w:proofErr w:type="gramEnd"/>
      <w:r>
        <w:t xml:space="preserve"> solution that actually work.</w:t>
      </w:r>
    </w:p>
    <w:p w14:paraId="3341F32B" w14:textId="77777777" w:rsidR="00200A70" w:rsidRDefault="00200A70" w:rsidP="002C62B9">
      <w:pPr>
        <w:pStyle w:val="BodyText"/>
      </w:pPr>
      <w:r w:rsidRPr="00D67E09">
        <w:rPr>
          <w:b/>
          <w:i/>
        </w:rPr>
        <w:t>Simple</w:t>
      </w:r>
      <w:r>
        <w:t xml:space="preserve"> is something that is not complicated, that is easy to understand or do.  Simple means without complications.  An explanation of something can be consistent with the real world, consider all important subtleties and nuances, and still be simple, straight forward, and therefore easy to understand.</w:t>
      </w:r>
    </w:p>
    <w:p w14:paraId="041A87AD" w14:textId="77777777" w:rsidR="00200A70" w:rsidRDefault="00200A70" w:rsidP="002C62B9">
      <w:pPr>
        <w:pStyle w:val="BodyText"/>
      </w:pPr>
      <w:r w:rsidRPr="00351531">
        <w:t xml:space="preserve">If there is no specific reason for an inconsistency which can be </w:t>
      </w:r>
      <w:r>
        <w:t>explained</w:t>
      </w:r>
      <w:r w:rsidRPr="00351531">
        <w:t xml:space="preserve"> which justifies the inconsistency; then you are </w:t>
      </w:r>
      <w:r>
        <w:t xml:space="preserve">very likely </w:t>
      </w:r>
      <w:r w:rsidRPr="00351531">
        <w:t>being inconsistent</w:t>
      </w:r>
      <w:r>
        <w:t xml:space="preserve"> unconsciously with no reason</w:t>
      </w:r>
      <w:r w:rsidRPr="00351531">
        <w:t xml:space="preserve"> and </w:t>
      </w:r>
      <w:r>
        <w:t xml:space="preserve">therefore </w:t>
      </w:r>
      <w:r w:rsidRPr="00351531">
        <w:t xml:space="preserve">one of the approaches </w:t>
      </w:r>
      <w:r>
        <w:t>can and should be dropped.</w:t>
      </w:r>
    </w:p>
    <w:p w14:paraId="08D39D2A" w14:textId="77777777" w:rsidR="00200A70" w:rsidRDefault="00200A70" w:rsidP="002C62B9">
      <w:pPr>
        <w:pStyle w:val="BodyText"/>
      </w:pPr>
      <w:r w:rsidRPr="00351531">
        <w:t>Inconsistencies cause additional training costs and additional burden, and unnecessary, burden on the user to somehow rationalize the inconsistency.</w:t>
      </w:r>
    </w:p>
    <w:p w14:paraId="39411944" w14:textId="77777777" w:rsidR="00200A70" w:rsidRDefault="00200A70" w:rsidP="002C62B9">
      <w:pPr>
        <w:pStyle w:val="Heading2"/>
      </w:pPr>
      <w:bookmarkStart w:id="8" w:name="_Toc456627586"/>
      <w:r>
        <w:lastRenderedPageBreak/>
        <w:t>Recognize the difference between</w:t>
      </w:r>
      <w:r w:rsidRPr="00250D97">
        <w:t xml:space="preserve"> </w:t>
      </w:r>
      <w:r>
        <w:t>p</w:t>
      </w:r>
      <w:r w:rsidRPr="00250D97">
        <w:t xml:space="preserve">resentation and </w:t>
      </w:r>
      <w:r>
        <w:t>r</w:t>
      </w:r>
      <w:r w:rsidRPr="00250D97">
        <w:t>epresentation</w:t>
      </w:r>
      <w:bookmarkEnd w:id="8"/>
    </w:p>
    <w:p w14:paraId="11732AB6" w14:textId="77777777" w:rsidR="00200A70" w:rsidRDefault="00200A70" w:rsidP="002C62B9">
      <w:pPr>
        <w:pStyle w:val="BodyText"/>
      </w:pPr>
      <w:r>
        <w:t>Paper and HTML are presentation formats.  XBRL is a representation format.  XBRL representations can be converted into presentations using software.  The SEC Interactive Data Viewer is one example of turning an XBRL-based representation into a human readable presentation.  And so, the representation format can be leveraged to also present information.</w:t>
      </w:r>
    </w:p>
    <w:p w14:paraId="4B7F563C" w14:textId="0BAA1DBE" w:rsidR="00200A70" w:rsidRDefault="00200A70" w:rsidP="002C62B9">
      <w:pPr>
        <w:pStyle w:val="BodyText"/>
      </w:pPr>
      <w:r>
        <w:t xml:space="preserve">Accountants can choose to </w:t>
      </w:r>
      <w:r w:rsidRPr="00C0725C">
        <w:rPr>
          <w:i/>
        </w:rPr>
        <w:t>present</w:t>
      </w:r>
      <w:r>
        <w:t xml:space="preserve"> information in different ways according to their preferences.  However, the </w:t>
      </w:r>
      <w:r w:rsidRPr="00C0725C">
        <w:rPr>
          <w:i/>
        </w:rPr>
        <w:t>representation</w:t>
      </w:r>
      <w:r>
        <w:t xml:space="preserve"> of information is not generally subject to interpretation.  Presentation tends to be arbitrary.</w:t>
      </w:r>
    </w:p>
    <w:p w14:paraId="6F1C0D9E" w14:textId="77777777" w:rsidR="00200A70" w:rsidRPr="00C0725C" w:rsidRDefault="00200A70" w:rsidP="002C62B9">
      <w:pPr>
        <w:pStyle w:val="BodyText"/>
        <w:rPr>
          <w:rFonts w:ascii="Calibri" w:eastAsia="Calibri" w:hAnsi="Calibri"/>
          <w:sz w:val="22"/>
          <w:szCs w:val="22"/>
        </w:rPr>
      </w:pPr>
      <w:r>
        <w:t>Consider the following information fragments</w:t>
      </w:r>
      <w:r w:rsidRPr="00C0725C">
        <w:rPr>
          <w:rFonts w:ascii="Calibri" w:eastAsia="Calibri" w:hAnsi="Calibri"/>
          <w:sz w:val="22"/>
          <w:szCs w:val="22"/>
        </w:rPr>
        <w:t>:</w:t>
      </w:r>
    </w:p>
    <w:p w14:paraId="22434DBA" w14:textId="77777777" w:rsidR="00200A70" w:rsidRPr="00C0725C" w:rsidRDefault="00200A70" w:rsidP="002C62B9">
      <w:pPr>
        <w:spacing w:after="200" w:line="276" w:lineRule="auto"/>
        <w:rPr>
          <w:rFonts w:ascii="Calibri" w:eastAsia="Calibri" w:hAnsi="Calibri"/>
          <w:i/>
          <w:sz w:val="22"/>
          <w:szCs w:val="22"/>
        </w:rPr>
      </w:pPr>
      <w:r w:rsidRPr="00C0725C">
        <w:rPr>
          <w:rFonts w:ascii="Calibri" w:eastAsia="Calibri" w:hAnsi="Calibri"/>
          <w:i/>
          <w:sz w:val="22"/>
          <w:szCs w:val="22"/>
        </w:rPr>
        <w:t>Fragment #1:</w:t>
      </w:r>
    </w:p>
    <w:tbl>
      <w:tblPr>
        <w:tblStyle w:val="TableGrid1"/>
        <w:tblW w:w="0" w:type="auto"/>
        <w:tblInd w:w="198" w:type="dxa"/>
        <w:tblLook w:val="04A0" w:firstRow="1" w:lastRow="0" w:firstColumn="1" w:lastColumn="0" w:noHBand="0" w:noVBand="1"/>
      </w:tblPr>
      <w:tblGrid>
        <w:gridCol w:w="6333"/>
        <w:gridCol w:w="2325"/>
      </w:tblGrid>
      <w:tr w:rsidR="00200A70" w:rsidRPr="00C0725C" w14:paraId="19E2F32F" w14:textId="77777777" w:rsidTr="00991583">
        <w:tc>
          <w:tcPr>
            <w:tcW w:w="6390" w:type="dxa"/>
          </w:tcPr>
          <w:p w14:paraId="0B099EA2" w14:textId="77777777" w:rsidR="00200A70" w:rsidRPr="00C0725C" w:rsidRDefault="00200A70" w:rsidP="00991583">
            <w:pPr>
              <w:rPr>
                <w:rFonts w:ascii="Calibri" w:hAnsi="Calibri"/>
                <w:szCs w:val="22"/>
              </w:rPr>
            </w:pPr>
            <w:r w:rsidRPr="00C0725C">
              <w:rPr>
                <w:rFonts w:ascii="Calibri" w:hAnsi="Calibri"/>
                <w:szCs w:val="22"/>
              </w:rPr>
              <w:t xml:space="preserve">Net income (loss) </w:t>
            </w:r>
          </w:p>
        </w:tc>
        <w:tc>
          <w:tcPr>
            <w:tcW w:w="2340" w:type="dxa"/>
          </w:tcPr>
          <w:p w14:paraId="0B1759F6" w14:textId="77777777" w:rsidR="00200A70" w:rsidRPr="00C0725C" w:rsidRDefault="00200A70" w:rsidP="00991583">
            <w:pPr>
              <w:jc w:val="right"/>
              <w:rPr>
                <w:rFonts w:ascii="Calibri" w:hAnsi="Calibri"/>
                <w:szCs w:val="22"/>
              </w:rPr>
            </w:pPr>
            <w:r w:rsidRPr="00C0725C">
              <w:rPr>
                <w:rFonts w:ascii="Calibri" w:hAnsi="Calibri"/>
                <w:szCs w:val="22"/>
              </w:rPr>
              <w:t>1,000,000</w:t>
            </w:r>
          </w:p>
        </w:tc>
      </w:tr>
      <w:tr w:rsidR="00200A70" w:rsidRPr="00C0725C" w14:paraId="77443CE9" w14:textId="77777777" w:rsidTr="00991583">
        <w:tc>
          <w:tcPr>
            <w:tcW w:w="6390" w:type="dxa"/>
          </w:tcPr>
          <w:p w14:paraId="32980A1F" w14:textId="77777777" w:rsidR="00200A70" w:rsidRPr="00C0725C" w:rsidRDefault="00200A70" w:rsidP="00991583">
            <w:pPr>
              <w:rPr>
                <w:rFonts w:ascii="Calibri" w:hAnsi="Calibri"/>
                <w:szCs w:val="22"/>
              </w:rPr>
            </w:pPr>
            <w:r w:rsidRPr="00C0725C">
              <w:rPr>
                <w:rFonts w:ascii="Calibri" w:hAnsi="Calibri"/>
                <w:szCs w:val="22"/>
              </w:rPr>
              <w:t>Net income (loss) attributable to noncontrolling interest</w:t>
            </w:r>
          </w:p>
        </w:tc>
        <w:tc>
          <w:tcPr>
            <w:tcW w:w="2340" w:type="dxa"/>
          </w:tcPr>
          <w:p w14:paraId="0DC91C02" w14:textId="77777777" w:rsidR="00200A70" w:rsidRPr="00C0725C" w:rsidRDefault="00200A70" w:rsidP="00991583">
            <w:pPr>
              <w:jc w:val="right"/>
              <w:rPr>
                <w:rFonts w:ascii="Calibri" w:hAnsi="Calibri"/>
                <w:szCs w:val="22"/>
              </w:rPr>
            </w:pPr>
            <w:r w:rsidRPr="00C0725C">
              <w:rPr>
                <w:rFonts w:ascii="Calibri" w:hAnsi="Calibri"/>
                <w:szCs w:val="22"/>
              </w:rPr>
              <w:t>200,000</w:t>
            </w:r>
          </w:p>
        </w:tc>
      </w:tr>
      <w:tr w:rsidR="00200A70" w:rsidRPr="00C0725C" w14:paraId="2B6375B4" w14:textId="77777777" w:rsidTr="00991583">
        <w:tc>
          <w:tcPr>
            <w:tcW w:w="6390" w:type="dxa"/>
          </w:tcPr>
          <w:p w14:paraId="0FE19BBA" w14:textId="77777777" w:rsidR="00200A70" w:rsidRPr="00C0725C" w:rsidRDefault="00200A70" w:rsidP="00991583">
            <w:pPr>
              <w:jc w:val="right"/>
              <w:rPr>
                <w:rFonts w:ascii="Calibri" w:hAnsi="Calibri"/>
                <w:szCs w:val="22"/>
              </w:rPr>
            </w:pPr>
            <w:r w:rsidRPr="00C0725C">
              <w:rPr>
                <w:rFonts w:ascii="Calibri" w:hAnsi="Calibri"/>
                <w:szCs w:val="22"/>
              </w:rPr>
              <w:t>Net income (loss) attributable to parent</w:t>
            </w:r>
          </w:p>
        </w:tc>
        <w:tc>
          <w:tcPr>
            <w:tcW w:w="2340" w:type="dxa"/>
          </w:tcPr>
          <w:p w14:paraId="5D1FE365" w14:textId="77777777" w:rsidR="00200A70" w:rsidRPr="00C0725C" w:rsidRDefault="00200A70" w:rsidP="00991583">
            <w:pPr>
              <w:jc w:val="right"/>
              <w:rPr>
                <w:rFonts w:ascii="Calibri" w:hAnsi="Calibri"/>
                <w:szCs w:val="22"/>
              </w:rPr>
            </w:pPr>
            <w:r w:rsidRPr="00C0725C">
              <w:rPr>
                <w:rFonts w:ascii="Calibri" w:hAnsi="Calibri"/>
                <w:szCs w:val="22"/>
              </w:rPr>
              <w:t>800,000</w:t>
            </w:r>
          </w:p>
        </w:tc>
      </w:tr>
    </w:tbl>
    <w:p w14:paraId="21A75654" w14:textId="77777777" w:rsidR="00200A70" w:rsidRDefault="00200A70" w:rsidP="002C62B9">
      <w:pPr>
        <w:spacing w:after="200" w:line="276" w:lineRule="auto"/>
        <w:rPr>
          <w:rFonts w:ascii="Calibri" w:eastAsia="Calibri" w:hAnsi="Calibri"/>
          <w:i/>
          <w:sz w:val="22"/>
          <w:szCs w:val="22"/>
        </w:rPr>
      </w:pPr>
    </w:p>
    <w:p w14:paraId="2BA7A97C" w14:textId="77777777" w:rsidR="00200A70" w:rsidRPr="00C0725C" w:rsidRDefault="00200A70" w:rsidP="002C62B9">
      <w:pPr>
        <w:spacing w:after="200" w:line="276" w:lineRule="auto"/>
        <w:rPr>
          <w:rFonts w:ascii="Calibri" w:eastAsia="Calibri" w:hAnsi="Calibri"/>
          <w:i/>
          <w:sz w:val="22"/>
          <w:szCs w:val="22"/>
        </w:rPr>
      </w:pPr>
      <w:r w:rsidRPr="00C0725C">
        <w:rPr>
          <w:rFonts w:ascii="Calibri" w:eastAsia="Calibri" w:hAnsi="Calibri"/>
          <w:i/>
          <w:sz w:val="22"/>
          <w:szCs w:val="22"/>
        </w:rPr>
        <w:t>Fragment #2:</w:t>
      </w:r>
    </w:p>
    <w:tbl>
      <w:tblPr>
        <w:tblStyle w:val="TableGrid1"/>
        <w:tblW w:w="0" w:type="auto"/>
        <w:tblInd w:w="198" w:type="dxa"/>
        <w:tblLook w:val="04A0" w:firstRow="1" w:lastRow="0" w:firstColumn="1" w:lastColumn="0" w:noHBand="0" w:noVBand="1"/>
      </w:tblPr>
      <w:tblGrid>
        <w:gridCol w:w="6333"/>
        <w:gridCol w:w="2325"/>
      </w:tblGrid>
      <w:tr w:rsidR="00200A70" w:rsidRPr="00C0725C" w14:paraId="534B5E32" w14:textId="77777777" w:rsidTr="00991583">
        <w:tc>
          <w:tcPr>
            <w:tcW w:w="6390" w:type="dxa"/>
          </w:tcPr>
          <w:p w14:paraId="5A1DD323" w14:textId="77777777" w:rsidR="00200A70" w:rsidRPr="00C0725C" w:rsidRDefault="00200A70" w:rsidP="00991583">
            <w:pPr>
              <w:rPr>
                <w:rFonts w:ascii="Calibri" w:hAnsi="Calibri"/>
                <w:szCs w:val="22"/>
              </w:rPr>
            </w:pPr>
            <w:r w:rsidRPr="00C0725C">
              <w:rPr>
                <w:rFonts w:ascii="Calibri" w:hAnsi="Calibri"/>
                <w:szCs w:val="22"/>
              </w:rPr>
              <w:t xml:space="preserve">Net income (loss) </w:t>
            </w:r>
          </w:p>
        </w:tc>
        <w:tc>
          <w:tcPr>
            <w:tcW w:w="2340" w:type="dxa"/>
          </w:tcPr>
          <w:p w14:paraId="4539BE6E" w14:textId="77777777" w:rsidR="00200A70" w:rsidRPr="00C0725C" w:rsidRDefault="00200A70" w:rsidP="00991583">
            <w:pPr>
              <w:jc w:val="right"/>
              <w:rPr>
                <w:rFonts w:ascii="Calibri" w:hAnsi="Calibri"/>
                <w:szCs w:val="22"/>
              </w:rPr>
            </w:pPr>
            <w:r w:rsidRPr="00C0725C">
              <w:rPr>
                <w:rFonts w:ascii="Calibri" w:hAnsi="Calibri"/>
                <w:szCs w:val="22"/>
              </w:rPr>
              <w:t>1,000,000</w:t>
            </w:r>
          </w:p>
        </w:tc>
      </w:tr>
      <w:tr w:rsidR="00200A70" w:rsidRPr="00C0725C" w14:paraId="05DF3519" w14:textId="77777777" w:rsidTr="00991583">
        <w:tc>
          <w:tcPr>
            <w:tcW w:w="6390" w:type="dxa"/>
          </w:tcPr>
          <w:p w14:paraId="0D699502" w14:textId="77777777" w:rsidR="00200A70" w:rsidRPr="00C0725C" w:rsidRDefault="00200A70" w:rsidP="00991583">
            <w:pPr>
              <w:rPr>
                <w:rFonts w:ascii="Calibri" w:hAnsi="Calibri"/>
                <w:szCs w:val="22"/>
              </w:rPr>
            </w:pPr>
            <w:r w:rsidRPr="00C0725C">
              <w:rPr>
                <w:rFonts w:ascii="Calibri" w:hAnsi="Calibri"/>
                <w:i/>
                <w:szCs w:val="22"/>
              </w:rPr>
              <w:t>Less:</w:t>
            </w:r>
            <w:r w:rsidRPr="00C0725C">
              <w:rPr>
                <w:rFonts w:ascii="Calibri" w:hAnsi="Calibri"/>
                <w:szCs w:val="22"/>
              </w:rPr>
              <w:t xml:space="preserve"> Net income (loss) attributable to noncontrolling interest</w:t>
            </w:r>
          </w:p>
        </w:tc>
        <w:tc>
          <w:tcPr>
            <w:tcW w:w="2340" w:type="dxa"/>
          </w:tcPr>
          <w:p w14:paraId="26863655" w14:textId="77777777" w:rsidR="00200A70" w:rsidRPr="00C0725C" w:rsidRDefault="00200A70" w:rsidP="00991583">
            <w:pPr>
              <w:jc w:val="right"/>
              <w:rPr>
                <w:rFonts w:ascii="Calibri" w:hAnsi="Calibri"/>
                <w:szCs w:val="22"/>
              </w:rPr>
            </w:pPr>
            <w:r w:rsidRPr="00C0725C">
              <w:rPr>
                <w:rFonts w:ascii="Calibri" w:hAnsi="Calibri"/>
                <w:szCs w:val="22"/>
              </w:rPr>
              <w:t>200,000</w:t>
            </w:r>
          </w:p>
        </w:tc>
      </w:tr>
      <w:tr w:rsidR="00200A70" w:rsidRPr="00C0725C" w14:paraId="78DE9434" w14:textId="77777777" w:rsidTr="00991583">
        <w:tc>
          <w:tcPr>
            <w:tcW w:w="6390" w:type="dxa"/>
          </w:tcPr>
          <w:p w14:paraId="5F04A7DE" w14:textId="77777777" w:rsidR="00200A70" w:rsidRPr="00C0725C" w:rsidRDefault="00200A70" w:rsidP="00991583">
            <w:pPr>
              <w:jc w:val="right"/>
              <w:rPr>
                <w:rFonts w:ascii="Calibri" w:hAnsi="Calibri"/>
                <w:szCs w:val="22"/>
              </w:rPr>
            </w:pPr>
            <w:r w:rsidRPr="00C0725C">
              <w:rPr>
                <w:rFonts w:ascii="Calibri" w:hAnsi="Calibri"/>
                <w:szCs w:val="22"/>
              </w:rPr>
              <w:t>Net income (loss) attributable to parent</w:t>
            </w:r>
          </w:p>
        </w:tc>
        <w:tc>
          <w:tcPr>
            <w:tcW w:w="2340" w:type="dxa"/>
          </w:tcPr>
          <w:p w14:paraId="50A8DACC" w14:textId="77777777" w:rsidR="00200A70" w:rsidRPr="00C0725C" w:rsidRDefault="00200A70" w:rsidP="00991583">
            <w:pPr>
              <w:jc w:val="right"/>
              <w:rPr>
                <w:rFonts w:ascii="Calibri" w:hAnsi="Calibri"/>
                <w:szCs w:val="22"/>
              </w:rPr>
            </w:pPr>
            <w:r w:rsidRPr="00C0725C">
              <w:rPr>
                <w:rFonts w:ascii="Calibri" w:hAnsi="Calibri"/>
                <w:szCs w:val="22"/>
              </w:rPr>
              <w:t>800,000</w:t>
            </w:r>
          </w:p>
        </w:tc>
      </w:tr>
    </w:tbl>
    <w:p w14:paraId="0DE895C4" w14:textId="77777777" w:rsidR="00200A70" w:rsidRPr="00C0725C" w:rsidRDefault="00200A70" w:rsidP="002C62B9">
      <w:pPr>
        <w:spacing w:after="200" w:line="276" w:lineRule="auto"/>
        <w:rPr>
          <w:rFonts w:ascii="Calibri" w:eastAsia="Calibri" w:hAnsi="Calibri"/>
          <w:sz w:val="22"/>
          <w:szCs w:val="22"/>
        </w:rPr>
      </w:pPr>
    </w:p>
    <w:p w14:paraId="2EC631E2" w14:textId="77777777" w:rsidR="00200A70" w:rsidRPr="00C0725C" w:rsidRDefault="00200A70" w:rsidP="002C62B9">
      <w:pPr>
        <w:spacing w:after="200" w:line="276" w:lineRule="auto"/>
        <w:rPr>
          <w:rFonts w:ascii="Calibri" w:eastAsia="Calibri" w:hAnsi="Calibri"/>
          <w:i/>
          <w:sz w:val="22"/>
          <w:szCs w:val="22"/>
        </w:rPr>
      </w:pPr>
      <w:r w:rsidRPr="00C0725C">
        <w:rPr>
          <w:rFonts w:ascii="Calibri" w:eastAsia="Calibri" w:hAnsi="Calibri"/>
          <w:i/>
          <w:sz w:val="22"/>
          <w:szCs w:val="22"/>
        </w:rPr>
        <w:t>Fragment #3:</w:t>
      </w:r>
    </w:p>
    <w:tbl>
      <w:tblPr>
        <w:tblStyle w:val="TableGrid1"/>
        <w:tblW w:w="0" w:type="auto"/>
        <w:tblInd w:w="198" w:type="dxa"/>
        <w:tblLook w:val="04A0" w:firstRow="1" w:lastRow="0" w:firstColumn="1" w:lastColumn="0" w:noHBand="0" w:noVBand="1"/>
      </w:tblPr>
      <w:tblGrid>
        <w:gridCol w:w="6333"/>
        <w:gridCol w:w="2325"/>
      </w:tblGrid>
      <w:tr w:rsidR="00200A70" w:rsidRPr="00C0725C" w14:paraId="09AEA923" w14:textId="77777777" w:rsidTr="00991583">
        <w:tc>
          <w:tcPr>
            <w:tcW w:w="6390" w:type="dxa"/>
          </w:tcPr>
          <w:p w14:paraId="04746EFE" w14:textId="77777777" w:rsidR="00200A70" w:rsidRPr="00C0725C" w:rsidRDefault="00200A70" w:rsidP="00991583">
            <w:pPr>
              <w:rPr>
                <w:rFonts w:ascii="Calibri" w:hAnsi="Calibri"/>
                <w:szCs w:val="22"/>
              </w:rPr>
            </w:pPr>
            <w:r w:rsidRPr="00C0725C">
              <w:rPr>
                <w:rFonts w:ascii="Calibri" w:hAnsi="Calibri"/>
                <w:szCs w:val="22"/>
              </w:rPr>
              <w:t xml:space="preserve">Net income (loss) </w:t>
            </w:r>
          </w:p>
        </w:tc>
        <w:tc>
          <w:tcPr>
            <w:tcW w:w="2340" w:type="dxa"/>
          </w:tcPr>
          <w:p w14:paraId="01D2A91F" w14:textId="77777777" w:rsidR="00200A70" w:rsidRPr="00C0725C" w:rsidRDefault="00200A70" w:rsidP="00991583">
            <w:pPr>
              <w:jc w:val="right"/>
              <w:rPr>
                <w:rFonts w:ascii="Calibri" w:hAnsi="Calibri"/>
                <w:szCs w:val="22"/>
              </w:rPr>
            </w:pPr>
            <w:r w:rsidRPr="00C0725C">
              <w:rPr>
                <w:rFonts w:ascii="Calibri" w:hAnsi="Calibri"/>
                <w:szCs w:val="22"/>
              </w:rPr>
              <w:t xml:space="preserve">1,000,000  </w:t>
            </w:r>
          </w:p>
        </w:tc>
      </w:tr>
      <w:tr w:rsidR="00200A70" w:rsidRPr="00C0725C" w14:paraId="42118CD8" w14:textId="77777777" w:rsidTr="00991583">
        <w:tc>
          <w:tcPr>
            <w:tcW w:w="6390" w:type="dxa"/>
          </w:tcPr>
          <w:p w14:paraId="0C9B50E7" w14:textId="77777777" w:rsidR="00200A70" w:rsidRPr="00C0725C" w:rsidRDefault="00200A70" w:rsidP="00991583">
            <w:pPr>
              <w:rPr>
                <w:rFonts w:ascii="Calibri" w:hAnsi="Calibri"/>
                <w:szCs w:val="22"/>
              </w:rPr>
            </w:pPr>
            <w:r w:rsidRPr="00C0725C">
              <w:rPr>
                <w:rFonts w:ascii="Calibri" w:hAnsi="Calibri"/>
                <w:szCs w:val="22"/>
              </w:rPr>
              <w:t>Net income (loss) attributable to noncontrolling interest</w:t>
            </w:r>
          </w:p>
        </w:tc>
        <w:tc>
          <w:tcPr>
            <w:tcW w:w="2340" w:type="dxa"/>
          </w:tcPr>
          <w:p w14:paraId="3D7B6655" w14:textId="77777777" w:rsidR="00200A70" w:rsidRPr="00C0725C" w:rsidRDefault="00200A70" w:rsidP="00991583">
            <w:pPr>
              <w:jc w:val="right"/>
              <w:rPr>
                <w:rFonts w:ascii="Calibri" w:hAnsi="Calibri"/>
                <w:szCs w:val="22"/>
              </w:rPr>
            </w:pPr>
            <w:r w:rsidRPr="00C0725C">
              <w:rPr>
                <w:rFonts w:ascii="Calibri" w:hAnsi="Calibri"/>
                <w:szCs w:val="22"/>
              </w:rPr>
              <w:t>(200,000)</w:t>
            </w:r>
          </w:p>
        </w:tc>
      </w:tr>
      <w:tr w:rsidR="00200A70" w:rsidRPr="00C0725C" w14:paraId="2FCAADD3" w14:textId="77777777" w:rsidTr="00991583">
        <w:tc>
          <w:tcPr>
            <w:tcW w:w="6390" w:type="dxa"/>
          </w:tcPr>
          <w:p w14:paraId="365515BB" w14:textId="77777777" w:rsidR="00200A70" w:rsidRPr="00C0725C" w:rsidRDefault="00200A70" w:rsidP="00991583">
            <w:pPr>
              <w:jc w:val="right"/>
              <w:rPr>
                <w:rFonts w:ascii="Calibri" w:hAnsi="Calibri"/>
                <w:szCs w:val="22"/>
              </w:rPr>
            </w:pPr>
            <w:r w:rsidRPr="00C0725C">
              <w:rPr>
                <w:rFonts w:ascii="Calibri" w:hAnsi="Calibri"/>
                <w:szCs w:val="22"/>
              </w:rPr>
              <w:t>Net income (loss) attributable to parent</w:t>
            </w:r>
          </w:p>
        </w:tc>
        <w:tc>
          <w:tcPr>
            <w:tcW w:w="2340" w:type="dxa"/>
          </w:tcPr>
          <w:p w14:paraId="792F89E9" w14:textId="77777777" w:rsidR="00200A70" w:rsidRPr="00C0725C" w:rsidRDefault="00200A70" w:rsidP="00991583">
            <w:pPr>
              <w:jc w:val="right"/>
              <w:rPr>
                <w:rFonts w:ascii="Calibri" w:hAnsi="Calibri"/>
                <w:szCs w:val="22"/>
              </w:rPr>
            </w:pPr>
            <w:r w:rsidRPr="00C0725C">
              <w:rPr>
                <w:rFonts w:ascii="Calibri" w:hAnsi="Calibri"/>
                <w:szCs w:val="22"/>
              </w:rPr>
              <w:t>800,000</w:t>
            </w:r>
          </w:p>
        </w:tc>
      </w:tr>
    </w:tbl>
    <w:p w14:paraId="0D7B4D00" w14:textId="77777777" w:rsidR="00200A70" w:rsidRPr="00C0725C" w:rsidRDefault="00200A70" w:rsidP="002C62B9">
      <w:pPr>
        <w:spacing w:after="200" w:line="276" w:lineRule="auto"/>
        <w:rPr>
          <w:rFonts w:ascii="Calibri" w:eastAsia="Calibri" w:hAnsi="Calibri"/>
          <w:sz w:val="22"/>
          <w:szCs w:val="22"/>
        </w:rPr>
      </w:pPr>
    </w:p>
    <w:p w14:paraId="4E45A834" w14:textId="77777777" w:rsidR="00200A70" w:rsidRPr="00C0725C" w:rsidRDefault="00200A70" w:rsidP="002C62B9">
      <w:pPr>
        <w:spacing w:after="200" w:line="276" w:lineRule="auto"/>
        <w:rPr>
          <w:rFonts w:ascii="Calibri" w:eastAsia="Calibri" w:hAnsi="Calibri"/>
          <w:i/>
          <w:sz w:val="22"/>
          <w:szCs w:val="22"/>
        </w:rPr>
      </w:pPr>
      <w:r w:rsidRPr="00C0725C">
        <w:rPr>
          <w:rFonts w:ascii="Calibri" w:eastAsia="Calibri" w:hAnsi="Calibri"/>
          <w:i/>
          <w:sz w:val="22"/>
          <w:szCs w:val="22"/>
        </w:rPr>
        <w:t>Fragment #4:</w:t>
      </w:r>
    </w:p>
    <w:tbl>
      <w:tblPr>
        <w:tblStyle w:val="TableGrid1"/>
        <w:tblW w:w="0" w:type="auto"/>
        <w:tblInd w:w="198" w:type="dxa"/>
        <w:tblLook w:val="04A0" w:firstRow="1" w:lastRow="0" w:firstColumn="1" w:lastColumn="0" w:noHBand="0" w:noVBand="1"/>
      </w:tblPr>
      <w:tblGrid>
        <w:gridCol w:w="6333"/>
        <w:gridCol w:w="2325"/>
      </w:tblGrid>
      <w:tr w:rsidR="00200A70" w:rsidRPr="00C0725C" w14:paraId="70D90E6C" w14:textId="77777777" w:rsidTr="00991583">
        <w:tc>
          <w:tcPr>
            <w:tcW w:w="6390" w:type="dxa"/>
          </w:tcPr>
          <w:p w14:paraId="6152BD5D" w14:textId="77777777" w:rsidR="00200A70" w:rsidRPr="00C0725C" w:rsidRDefault="00200A70" w:rsidP="00991583">
            <w:pPr>
              <w:rPr>
                <w:rFonts w:ascii="Calibri" w:hAnsi="Calibri"/>
                <w:szCs w:val="22"/>
              </w:rPr>
            </w:pPr>
            <w:r w:rsidRPr="00C0725C">
              <w:rPr>
                <w:rFonts w:ascii="Calibri" w:hAnsi="Calibri"/>
                <w:szCs w:val="22"/>
              </w:rPr>
              <w:t>Net income (loss) attributable to parent</w:t>
            </w:r>
          </w:p>
        </w:tc>
        <w:tc>
          <w:tcPr>
            <w:tcW w:w="2340" w:type="dxa"/>
          </w:tcPr>
          <w:p w14:paraId="3E3776E5" w14:textId="77777777" w:rsidR="00200A70" w:rsidRPr="00C0725C" w:rsidRDefault="00200A70" w:rsidP="00991583">
            <w:pPr>
              <w:jc w:val="right"/>
              <w:rPr>
                <w:rFonts w:ascii="Calibri" w:hAnsi="Calibri"/>
                <w:szCs w:val="22"/>
              </w:rPr>
            </w:pPr>
            <w:r w:rsidRPr="00C0725C">
              <w:rPr>
                <w:rFonts w:ascii="Calibri" w:hAnsi="Calibri"/>
                <w:szCs w:val="22"/>
              </w:rPr>
              <w:t>800,000</w:t>
            </w:r>
          </w:p>
        </w:tc>
      </w:tr>
      <w:tr w:rsidR="00200A70" w:rsidRPr="00C0725C" w14:paraId="588CF719" w14:textId="77777777" w:rsidTr="00991583">
        <w:tc>
          <w:tcPr>
            <w:tcW w:w="6390" w:type="dxa"/>
          </w:tcPr>
          <w:p w14:paraId="520B4044" w14:textId="77777777" w:rsidR="00200A70" w:rsidRPr="00C0725C" w:rsidRDefault="00200A70" w:rsidP="00991583">
            <w:pPr>
              <w:rPr>
                <w:rFonts w:ascii="Calibri" w:hAnsi="Calibri"/>
                <w:szCs w:val="22"/>
              </w:rPr>
            </w:pPr>
            <w:r w:rsidRPr="00C0725C">
              <w:rPr>
                <w:rFonts w:ascii="Calibri" w:hAnsi="Calibri"/>
                <w:szCs w:val="22"/>
              </w:rPr>
              <w:t>Net income (loss) attributable to noncontrolling interest</w:t>
            </w:r>
          </w:p>
        </w:tc>
        <w:tc>
          <w:tcPr>
            <w:tcW w:w="2340" w:type="dxa"/>
          </w:tcPr>
          <w:p w14:paraId="14AD5470" w14:textId="77777777" w:rsidR="00200A70" w:rsidRPr="00C0725C" w:rsidRDefault="00200A70" w:rsidP="00991583">
            <w:pPr>
              <w:jc w:val="right"/>
              <w:rPr>
                <w:rFonts w:ascii="Calibri" w:hAnsi="Calibri"/>
                <w:szCs w:val="22"/>
              </w:rPr>
            </w:pPr>
            <w:r w:rsidRPr="00C0725C">
              <w:rPr>
                <w:rFonts w:ascii="Calibri" w:hAnsi="Calibri"/>
                <w:szCs w:val="22"/>
              </w:rPr>
              <w:t>200,000</w:t>
            </w:r>
          </w:p>
        </w:tc>
      </w:tr>
      <w:tr w:rsidR="00200A70" w:rsidRPr="00C0725C" w14:paraId="449B23E3" w14:textId="77777777" w:rsidTr="00991583">
        <w:tc>
          <w:tcPr>
            <w:tcW w:w="6390" w:type="dxa"/>
          </w:tcPr>
          <w:p w14:paraId="32F04C94" w14:textId="77777777" w:rsidR="00200A70" w:rsidRPr="00C0725C" w:rsidRDefault="00200A70" w:rsidP="00991583">
            <w:pPr>
              <w:jc w:val="right"/>
              <w:rPr>
                <w:rFonts w:ascii="Calibri" w:hAnsi="Calibri"/>
                <w:szCs w:val="22"/>
              </w:rPr>
            </w:pPr>
            <w:r w:rsidRPr="00C0725C">
              <w:rPr>
                <w:rFonts w:ascii="Calibri" w:hAnsi="Calibri"/>
                <w:szCs w:val="22"/>
              </w:rPr>
              <w:t xml:space="preserve">Net income (loss) </w:t>
            </w:r>
          </w:p>
        </w:tc>
        <w:tc>
          <w:tcPr>
            <w:tcW w:w="2340" w:type="dxa"/>
          </w:tcPr>
          <w:p w14:paraId="47B6A314" w14:textId="77777777" w:rsidR="00200A70" w:rsidRPr="00C0725C" w:rsidRDefault="00200A70" w:rsidP="00991583">
            <w:pPr>
              <w:jc w:val="right"/>
              <w:rPr>
                <w:rFonts w:ascii="Calibri" w:hAnsi="Calibri"/>
                <w:szCs w:val="22"/>
              </w:rPr>
            </w:pPr>
            <w:r w:rsidRPr="00C0725C">
              <w:rPr>
                <w:rFonts w:ascii="Calibri" w:hAnsi="Calibri"/>
                <w:szCs w:val="22"/>
              </w:rPr>
              <w:t>1,000,000</w:t>
            </w:r>
          </w:p>
        </w:tc>
      </w:tr>
    </w:tbl>
    <w:p w14:paraId="0EBC8B57" w14:textId="77777777" w:rsidR="00200A70" w:rsidRDefault="00200A70" w:rsidP="002C62B9">
      <w:pPr>
        <w:pStyle w:val="BodyText"/>
      </w:pPr>
      <w:r w:rsidRPr="00C0725C">
        <w:t xml:space="preserve">If </w:t>
      </w:r>
      <w:r>
        <w:t>a human</w:t>
      </w:r>
      <w:r w:rsidRPr="00C0725C">
        <w:t xml:space="preserve"> was interpreting those four different fragments above, what is the difference in interpretation would you expect?  Most likely none.  Clearly, each of the fragments communicates the same facts</w:t>
      </w:r>
      <w:r>
        <w:t>, the same information</w:t>
      </w:r>
      <w:r w:rsidRPr="00C0725C">
        <w:t xml:space="preserve">.  While the presentation of the information in each fragment is different, the meaning or representation of the facts articulated is identical.  </w:t>
      </w:r>
    </w:p>
    <w:p w14:paraId="723A5435" w14:textId="77777777" w:rsidR="00200A70" w:rsidRDefault="00200A70" w:rsidP="002C62B9">
      <w:pPr>
        <w:pStyle w:val="BodyText"/>
      </w:pPr>
      <w:r w:rsidRPr="00C0725C">
        <w:t xml:space="preserve">Imagine having to write an explanation which a software developer would use to get a computer application to correctly interpret each of these four fragments.  Imagine that someone came up with a fifth approach for articulating this information.  The </w:t>
      </w:r>
      <w:r w:rsidRPr="00C0725C">
        <w:lastRenderedPageBreak/>
        <w:t>point here is that while the way this information can be presented is arbitrary, the information itself is standard.  A standard is defined as “used or accepted as normal or average; something established by authority, custom, or general consent as a model or example.”  One standard makes machine interpretation trivial.</w:t>
      </w:r>
    </w:p>
    <w:p w14:paraId="42BD59A8" w14:textId="77777777" w:rsidR="00200A70" w:rsidRDefault="00200A70" w:rsidP="002C62B9">
      <w:pPr>
        <w:pStyle w:val="BodyText"/>
        <w:rPr>
          <w:lang w:val="en-GB"/>
        </w:rPr>
      </w:pPr>
      <w:r>
        <w:t>For example, while an accountant might label a line item “Less allowance for doubtful accounts:” and either show “1000” or “(1000)” for a value, information represented for computer use may not work this way and provide meaningful, unambiguous information.  A good example of this is how dividends is provided within an XBRL-based financial report.  There is no situation where dividends can have a negative value per the definition of the concept “us-</w:t>
      </w:r>
      <w:proofErr w:type="gramStart"/>
      <w:r>
        <w:t>gaap:Dividends</w:t>
      </w:r>
      <w:proofErr w:type="gramEnd"/>
      <w:r>
        <w:t>”.  The documentation and balance attribute clearly indicate this.</w:t>
      </w:r>
    </w:p>
    <w:p w14:paraId="75256B27" w14:textId="77777777" w:rsidR="00200A70" w:rsidRPr="00744B19" w:rsidRDefault="00200A70" w:rsidP="002C62B9">
      <w:pPr>
        <w:pStyle w:val="BodyText"/>
        <w:ind w:left="504"/>
        <w:rPr>
          <w:lang w:val="en-GB"/>
        </w:rPr>
      </w:pPr>
      <w:r>
        <w:rPr>
          <w:highlight w:val="lightGray"/>
          <w:lang w:val="en-GB"/>
        </w:rPr>
        <w:t>HINT</w:t>
      </w:r>
      <w:r w:rsidRPr="00A22A83">
        <w:rPr>
          <w:highlight w:val="lightGray"/>
          <w:lang w:val="en-GB"/>
        </w:rPr>
        <w:t xml:space="preserve">: </w:t>
      </w:r>
      <w:r>
        <w:rPr>
          <w:highlight w:val="lightGray"/>
          <w:lang w:val="en-GB"/>
        </w:rPr>
        <w:t>An all too common mistake is to report dividends as a negative number because the presentation is negative.  Dividends, and numerous other concepts, may never be negative in order to allow for unambiguous interpretation by software applications</w:t>
      </w:r>
      <w:r w:rsidRPr="00D97F12">
        <w:rPr>
          <w:highlight w:val="lightGray"/>
          <w:lang w:val="en-GB"/>
        </w:rPr>
        <w:t>.</w:t>
      </w:r>
    </w:p>
    <w:p w14:paraId="378CB14D" w14:textId="77777777" w:rsidR="00200A70" w:rsidRPr="00E6007C" w:rsidRDefault="00200A70" w:rsidP="002C62B9">
      <w:pPr>
        <w:pStyle w:val="BodyText"/>
      </w:pPr>
      <w:r>
        <w:t>A rendering engine can present information in many, many different ways as long as the information meaning can first be interpreted correctly.</w:t>
      </w:r>
    </w:p>
    <w:p w14:paraId="2B7AB3CF" w14:textId="77777777" w:rsidR="00200A70" w:rsidRDefault="00200A70" w:rsidP="002C62B9">
      <w:pPr>
        <w:pStyle w:val="Heading2"/>
      </w:pPr>
      <w:bookmarkStart w:id="9" w:name="_Toc456627587"/>
      <w:r>
        <w:t>Recognize that a financial report must be a true and fair representation</w:t>
      </w:r>
      <w:bookmarkEnd w:id="9"/>
    </w:p>
    <w:p w14:paraId="1D50E810" w14:textId="77777777" w:rsidR="00200A70" w:rsidRDefault="00200A70" w:rsidP="002C62B9">
      <w:pPr>
        <w:pStyle w:val="BodyText"/>
      </w:pPr>
      <w:r>
        <w:t xml:space="preserve">Clearly the financial information provided by an economic entity within a financial report must not be “untrue” or “unfair”.  As such, then a financial report must be “true” and “fair”.  These are not ideas defined by XBRL, the SEC, or even the US GAAP XBRL Taxonomy.  These are ideas expressed in the conceptual framework of financial reporting for US GAAP.  The conceptual framework of US GAAP uses the term “faithful representation”.  The conceptual framework states that a faithful representation is complete, neutral, and free from error. Historically, it has been the case that professional accountants needed to only represent financial information on paper correctly; but now professional accountants need to also create an appropriate </w:t>
      </w:r>
      <w:r w:rsidRPr="00DB679E">
        <w:rPr>
          <w:i/>
        </w:rPr>
        <w:t>representation</w:t>
      </w:r>
      <w:r>
        <w:t xml:space="preserve"> of the information using the XBRL-based structured format.</w:t>
      </w:r>
    </w:p>
    <w:p w14:paraId="43E37BD0" w14:textId="77777777" w:rsidR="00200A70" w:rsidRPr="00AD08F4" w:rsidRDefault="00200A70" w:rsidP="00AD08F4">
      <w:pPr>
        <w:pStyle w:val="BodyText"/>
        <w:ind w:left="504"/>
        <w:rPr>
          <w:lang w:val="en-GB"/>
        </w:rPr>
      </w:pPr>
      <w:r w:rsidRPr="00A81C37">
        <w:rPr>
          <w:highlight w:val="lightGray"/>
          <w:lang w:val="en-GB"/>
        </w:rPr>
        <w:t xml:space="preserve">HINT: Don’t confuse </w:t>
      </w:r>
      <w:r w:rsidRPr="007D324E">
        <w:rPr>
          <w:highlight w:val="lightGray"/>
          <w:lang w:val="en-GB"/>
        </w:rPr>
        <w:t>the external reporting manager’s responsibility to create a true and fair representation with the third-party auditor’s responsibility to make sure the financial report is “presented fairly in all material respects”</w:t>
      </w:r>
      <w:r>
        <w:rPr>
          <w:highlight w:val="lightGray"/>
          <w:lang w:val="en-GB"/>
        </w:rPr>
        <w:t>.  These are two different ideas</w:t>
      </w:r>
      <w:r w:rsidRPr="007D324E">
        <w:rPr>
          <w:highlight w:val="lightGray"/>
          <w:lang w:val="en-GB"/>
        </w:rPr>
        <w:t>.</w:t>
      </w:r>
    </w:p>
    <w:p w14:paraId="0911B7C7" w14:textId="77777777" w:rsidR="00200A70" w:rsidRDefault="00200A70" w:rsidP="002C62B9">
      <w:pPr>
        <w:pStyle w:val="Heading2"/>
      </w:pPr>
      <w:bookmarkStart w:id="10" w:name="_Toc456627588"/>
      <w:r>
        <w:t>Recognize that financial reports contain a discrete identifiable set of report elements which have specific properties and relations</w:t>
      </w:r>
      <w:bookmarkEnd w:id="10"/>
    </w:p>
    <w:p w14:paraId="07C3FF46" w14:textId="77777777" w:rsidR="00200A70" w:rsidRDefault="00200A70" w:rsidP="002C62B9">
      <w:pPr>
        <w:pStyle w:val="BodyText"/>
      </w:pPr>
      <w:r>
        <w:t>A financial report may be broken down into a discrete identifiable set of report fragments which are organized together for some purpose.  For example, a balance sheet is a discrete report fragment which reports assets and liabilities and equity.</w:t>
      </w:r>
    </w:p>
    <w:p w14:paraId="0524D9D4" w14:textId="77777777" w:rsidR="00200A70" w:rsidRDefault="00200A70" w:rsidP="002C62B9">
      <w:pPr>
        <w:pStyle w:val="BodyText"/>
      </w:pPr>
      <w:r>
        <w:t>Here is information about the report elements of 6,644 XBRL-based financial filings, all of which are 10-K filings, filed with the SEC:</w:t>
      </w:r>
    </w:p>
    <w:p w14:paraId="71C552BC" w14:textId="77777777" w:rsidR="00200A70" w:rsidRDefault="00200A70" w:rsidP="002C62B9">
      <w:pPr>
        <w:pStyle w:val="BodyText"/>
        <w:rPr>
          <w:i/>
        </w:rPr>
      </w:pPr>
      <w:r w:rsidRPr="00D97F12">
        <w:rPr>
          <w:i/>
        </w:rPr>
        <w:t>Reported facts:</w:t>
      </w:r>
    </w:p>
    <w:p w14:paraId="3A03E365" w14:textId="77777777" w:rsidR="00200A70" w:rsidRDefault="00200A70" w:rsidP="002C62B9">
      <w:pPr>
        <w:pStyle w:val="BodyText"/>
        <w:jc w:val="left"/>
      </w:pPr>
      <w:r>
        <w:rPr>
          <w:noProof/>
        </w:rPr>
        <w:lastRenderedPageBreak/>
        <w:drawing>
          <wp:inline distT="0" distB="0" distL="0" distR="0" wp14:anchorId="6444FABA" wp14:editId="45538EA2">
            <wp:extent cx="3495238" cy="761905"/>
            <wp:effectExtent l="0" t="0" r="0" b="635"/>
            <wp:docPr id="5131" name="Picture 5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a:stretch>
                      <a:fillRect/>
                    </a:stretch>
                  </pic:blipFill>
                  <pic:spPr>
                    <a:xfrm>
                      <a:off x="0" y="0"/>
                      <a:ext cx="3495238" cy="761905"/>
                    </a:xfrm>
                    <a:prstGeom prst="rect">
                      <a:avLst/>
                    </a:prstGeom>
                  </pic:spPr>
                </pic:pic>
              </a:graphicData>
            </a:graphic>
          </wp:inline>
        </w:drawing>
      </w:r>
    </w:p>
    <w:p w14:paraId="42375F26" w14:textId="77777777" w:rsidR="00200A70" w:rsidRDefault="00200A70" w:rsidP="002C62B9">
      <w:pPr>
        <w:pStyle w:val="BodyText"/>
        <w:rPr>
          <w:i/>
        </w:rPr>
      </w:pPr>
      <w:r w:rsidRPr="00D97F12">
        <w:rPr>
          <w:i/>
        </w:rPr>
        <w:t xml:space="preserve">Breakdown </w:t>
      </w:r>
      <w:r>
        <w:rPr>
          <w:i/>
        </w:rPr>
        <w:t>of report elements:</w:t>
      </w:r>
    </w:p>
    <w:p w14:paraId="614A1D41" w14:textId="77777777" w:rsidR="00200A70" w:rsidRDefault="00200A70" w:rsidP="002C62B9">
      <w:pPr>
        <w:pStyle w:val="BodyText"/>
        <w:jc w:val="left"/>
        <w:rPr>
          <w:i/>
        </w:rPr>
      </w:pPr>
      <w:r>
        <w:rPr>
          <w:noProof/>
        </w:rPr>
        <w:drawing>
          <wp:inline distT="0" distB="0" distL="0" distR="0" wp14:anchorId="3193A742" wp14:editId="0884509E">
            <wp:extent cx="4714286" cy="723810"/>
            <wp:effectExtent l="0" t="0" r="0" b="635"/>
            <wp:docPr id="5133" name="Picture 5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stretch>
                      <a:fillRect/>
                    </a:stretch>
                  </pic:blipFill>
                  <pic:spPr>
                    <a:xfrm>
                      <a:off x="0" y="0"/>
                      <a:ext cx="4714286" cy="723810"/>
                    </a:xfrm>
                    <a:prstGeom prst="rect">
                      <a:avLst/>
                    </a:prstGeom>
                  </pic:spPr>
                </pic:pic>
              </a:graphicData>
            </a:graphic>
          </wp:inline>
        </w:drawing>
      </w:r>
    </w:p>
    <w:p w14:paraId="73512864" w14:textId="77777777" w:rsidR="00200A70" w:rsidRDefault="00200A70" w:rsidP="002C62B9">
      <w:pPr>
        <w:pStyle w:val="BodyText"/>
        <w:jc w:val="left"/>
        <w:rPr>
          <w:i/>
        </w:rPr>
      </w:pPr>
      <w:r>
        <w:rPr>
          <w:i/>
        </w:rPr>
        <w:t>Average report elements by report:</w:t>
      </w:r>
    </w:p>
    <w:p w14:paraId="0B87861C" w14:textId="77777777" w:rsidR="00200A70" w:rsidRPr="00D97F12" w:rsidRDefault="00200A70" w:rsidP="002C62B9">
      <w:pPr>
        <w:pStyle w:val="BodyText"/>
        <w:jc w:val="left"/>
        <w:rPr>
          <w:i/>
        </w:rPr>
      </w:pPr>
      <w:r>
        <w:rPr>
          <w:noProof/>
        </w:rPr>
        <w:drawing>
          <wp:inline distT="0" distB="0" distL="0" distR="0" wp14:anchorId="5715755E" wp14:editId="6D448B49">
            <wp:extent cx="4133334" cy="666667"/>
            <wp:effectExtent l="0" t="0" r="635" b="635"/>
            <wp:docPr id="5135" name="Picture 5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stretch>
                      <a:fillRect/>
                    </a:stretch>
                  </pic:blipFill>
                  <pic:spPr>
                    <a:xfrm>
                      <a:off x="0" y="0"/>
                      <a:ext cx="4133334" cy="666667"/>
                    </a:xfrm>
                    <a:prstGeom prst="rect">
                      <a:avLst/>
                    </a:prstGeom>
                  </pic:spPr>
                </pic:pic>
              </a:graphicData>
            </a:graphic>
          </wp:inline>
        </w:drawing>
      </w:r>
    </w:p>
    <w:p w14:paraId="6930845C" w14:textId="77777777" w:rsidR="00200A70" w:rsidRDefault="00200A70" w:rsidP="002C62B9">
      <w:pPr>
        <w:pStyle w:val="BodyText"/>
        <w:rPr>
          <w:i/>
        </w:rPr>
      </w:pPr>
      <w:r w:rsidRPr="00D97F12">
        <w:rPr>
          <w:i/>
        </w:rPr>
        <w:t xml:space="preserve">Breakdown by </w:t>
      </w:r>
      <w:r>
        <w:rPr>
          <w:i/>
        </w:rPr>
        <w:t xml:space="preserve">networks of </w:t>
      </w:r>
      <w:r w:rsidRPr="00D97F12">
        <w:rPr>
          <w:i/>
        </w:rPr>
        <w:t>disclosure/statement; detail/text block:</w:t>
      </w:r>
    </w:p>
    <w:p w14:paraId="0552B35D" w14:textId="77777777" w:rsidR="00200A70" w:rsidRPr="00D97F12" w:rsidRDefault="00200A70" w:rsidP="002C62B9">
      <w:pPr>
        <w:pStyle w:val="BodyText"/>
        <w:jc w:val="left"/>
        <w:rPr>
          <w:i/>
        </w:rPr>
      </w:pPr>
      <w:r>
        <w:rPr>
          <w:noProof/>
        </w:rPr>
        <w:drawing>
          <wp:inline distT="0" distB="0" distL="0" distR="0" wp14:anchorId="79A05E2F" wp14:editId="184A3C38">
            <wp:extent cx="5486400" cy="1707466"/>
            <wp:effectExtent l="0" t="0" r="0" b="7620"/>
            <wp:docPr id="5136" name="Picture 5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5486400" cy="1707466"/>
                    </a:xfrm>
                    <a:prstGeom prst="rect">
                      <a:avLst/>
                    </a:prstGeom>
                  </pic:spPr>
                </pic:pic>
              </a:graphicData>
            </a:graphic>
          </wp:inline>
        </w:drawing>
      </w:r>
    </w:p>
    <w:p w14:paraId="50B7A684" w14:textId="77777777" w:rsidR="00200A70" w:rsidRDefault="00200A70" w:rsidP="002C62B9">
      <w:pPr>
        <w:pStyle w:val="BodyText"/>
      </w:pPr>
      <w:r>
        <w:t xml:space="preserve">The point here is that you are not managing one big thing when creating an XBRL-based digital financial report.  What you are managing is lots of little things.  Many </w:t>
      </w:r>
      <w:proofErr w:type="gramStart"/>
      <w:r>
        <w:t>times</w:t>
      </w:r>
      <w:proofErr w:type="gramEnd"/>
      <w:r>
        <w:t xml:space="preserve"> one thing relates to some other thing.  That relationship must be both intact and correctly represented.  Relations must be logical and sensible.  Business rules express those relations. Automated processes can leverage those business rules.  But for automated processes to work, they need to have the business rules expressed so that software can use those rules.  No computer readable business rules = manual process must be used.  Manual process = increase cost and increased probability for error.  There are many, many little pieces. Managing all these pieces manually simply cannot work.</w:t>
      </w:r>
    </w:p>
    <w:p w14:paraId="307BE47B" w14:textId="77777777" w:rsidR="00200A70" w:rsidRDefault="00200A70" w:rsidP="002C62B9">
      <w:pPr>
        <w:pStyle w:val="Heading2"/>
      </w:pPr>
      <w:bookmarkStart w:id="11" w:name="_Toc456627589"/>
      <w:r>
        <w:t>Recognize that digital financial report elements can be categorized into common groups which have common relevant properties</w:t>
      </w:r>
      <w:bookmarkEnd w:id="11"/>
    </w:p>
    <w:p w14:paraId="1BF903F3" w14:textId="77777777" w:rsidR="00200A70" w:rsidRDefault="00200A70" w:rsidP="002C62B9">
      <w:pPr>
        <w:pStyle w:val="BodyText"/>
      </w:pPr>
      <w:r>
        <w:t xml:space="preserve">All these little pieces of an XBRL-based digital financial report can be given names.  Those pieces can be categorized into useful groupings.  The report elements of a digital financial report can be categorized or grouped into a discreet set of categories </w:t>
      </w:r>
      <w:r>
        <w:lastRenderedPageBreak/>
        <w:t>which have the same properties: Network, [Table], [Axis], [Member], [Line Items], Concept, and [Abstract]</w:t>
      </w:r>
      <w:r>
        <w:rPr>
          <w:rStyle w:val="FootnoteReference"/>
        </w:rPr>
        <w:footnoteReference w:id="11"/>
      </w:r>
      <w:r>
        <w:t>.</w:t>
      </w:r>
    </w:p>
    <w:p w14:paraId="3B193CC5" w14:textId="77777777" w:rsidR="00200A70" w:rsidRDefault="00200A70" w:rsidP="002C62B9">
      <w:pPr>
        <w:pStyle w:val="BodyText"/>
      </w:pPr>
      <w:r>
        <w:t xml:space="preserve">This implies that using the term “tag” to discuss something which is contained within a digital financial report is not appropriate because a more precise term would exist.  The term “tag” is a syntax term which has imprecise meaning. </w:t>
      </w:r>
      <w:proofErr w:type="gramStart"/>
      <w:r>
        <w:t>Likewise</w:t>
      </w:r>
      <w:proofErr w:type="gramEnd"/>
      <w:r>
        <w:t xml:space="preserve"> the term “element” is not appropriate because one of the more precise categories provides better information as to what you are referring to.</w:t>
      </w:r>
    </w:p>
    <w:p w14:paraId="523D33F2" w14:textId="77777777" w:rsidR="00200A70" w:rsidRDefault="00200A70" w:rsidP="00200A70">
      <w:pPr>
        <w:pStyle w:val="BodyText"/>
        <w:numPr>
          <w:ilvl w:val="0"/>
          <w:numId w:val="4"/>
        </w:numPr>
      </w:pPr>
      <w:r w:rsidRPr="00D94D3E">
        <w:rPr>
          <w:b/>
        </w:rPr>
        <w:t>Network</w:t>
      </w:r>
      <w:r>
        <w:t xml:space="preserve">: A network is a one approach to break an XBRL-based financial filing into smaller pieces. There are two reasons why you might need to break a financial filing into pieces: because you want to or because you have to. Networks are not necessary for understanding information. However, the SEC Interactive Data Viewer and other rendering applications do use them, sometimes in different ways. Networks help to order or sequence reported information. In XBRL-based financial filings, networks have a </w:t>
      </w:r>
      <w:r w:rsidRPr="00D94D3E">
        <w:rPr>
          <w:b/>
          <w:i/>
        </w:rPr>
        <w:t>number</w:t>
      </w:r>
      <w:r>
        <w:t xml:space="preserve">, a </w:t>
      </w:r>
      <w:r w:rsidRPr="00D94D3E">
        <w:rPr>
          <w:b/>
          <w:i/>
        </w:rPr>
        <w:t>sort</w:t>
      </w:r>
      <w:r>
        <w:t xml:space="preserve"> </w:t>
      </w:r>
      <w:r w:rsidRPr="00D94D3E">
        <w:rPr>
          <w:b/>
          <w:i/>
        </w:rPr>
        <w:t>category</w:t>
      </w:r>
      <w:r>
        <w:t xml:space="preserve">, and a </w:t>
      </w:r>
      <w:r w:rsidRPr="00D94D3E">
        <w:rPr>
          <w:b/>
          <w:i/>
        </w:rPr>
        <w:t>title</w:t>
      </w:r>
      <w:r>
        <w:t>. For example, "100001 - Statement - Balance Sheet". The number and the sort category help to articulate the flow of the financial filing.</w:t>
      </w:r>
    </w:p>
    <w:p w14:paraId="10FEB7B7" w14:textId="77777777" w:rsidR="00200A70" w:rsidRDefault="00200A70" w:rsidP="00200A70">
      <w:pPr>
        <w:pStyle w:val="BodyText"/>
        <w:numPr>
          <w:ilvl w:val="0"/>
          <w:numId w:val="4"/>
        </w:numPr>
      </w:pPr>
      <w:r w:rsidRPr="00D94D3E">
        <w:rPr>
          <w:b/>
        </w:rPr>
        <w:t>Table</w:t>
      </w:r>
      <w:r w:rsidRPr="00D94D3E">
        <w:t>:</w:t>
      </w:r>
      <w:r>
        <w:t xml:space="preserve"> A table is used to combine facts which go together for some specific reason. Tables are comprised of axis and line items. The line items of a table share the axis defined within a table. There are two types of tables: explicit tables and implicit tables. An explicit table always has at least one explicit axis; it could have more than one. An explicit table always has one set of line items.</w:t>
      </w:r>
    </w:p>
    <w:p w14:paraId="16DA9112" w14:textId="77777777" w:rsidR="00200A70" w:rsidRPr="00774DF3" w:rsidRDefault="00200A70" w:rsidP="00200A70">
      <w:pPr>
        <w:pStyle w:val="BodyText"/>
        <w:numPr>
          <w:ilvl w:val="0"/>
          <w:numId w:val="4"/>
        </w:numPr>
        <w:rPr>
          <w:lang w:val="en-GB"/>
        </w:rPr>
      </w:pPr>
      <w:r w:rsidRPr="00774DF3">
        <w:rPr>
          <w:b/>
          <w:lang w:val="en-GB"/>
        </w:rPr>
        <w:t>Axis</w:t>
      </w:r>
      <w:r w:rsidRPr="00774DF3">
        <w:rPr>
          <w:lang w:val="en-GB"/>
        </w:rPr>
        <w:t xml:space="preserve">: An axis is a means of providing information about the characteristics of a fact reported within a </w:t>
      </w:r>
      <w:r>
        <w:rPr>
          <w:lang w:val="en-GB"/>
        </w:rPr>
        <w:t>financial</w:t>
      </w:r>
      <w:r w:rsidRPr="00774DF3">
        <w:rPr>
          <w:lang w:val="en-GB"/>
        </w:rPr>
        <w:t xml:space="preserve"> report.</w:t>
      </w:r>
    </w:p>
    <w:p w14:paraId="59FC0BBF" w14:textId="77777777" w:rsidR="00200A70" w:rsidRPr="00774DF3" w:rsidRDefault="00200A70" w:rsidP="00200A70">
      <w:pPr>
        <w:pStyle w:val="BodyText"/>
        <w:numPr>
          <w:ilvl w:val="0"/>
          <w:numId w:val="4"/>
        </w:numPr>
        <w:rPr>
          <w:lang w:val="en-GB"/>
        </w:rPr>
      </w:pPr>
      <w:r w:rsidRPr="00774DF3">
        <w:rPr>
          <w:b/>
          <w:lang w:val="en-GB"/>
        </w:rPr>
        <w:t>Member</w:t>
      </w:r>
      <w:r w:rsidRPr="00774DF3">
        <w:rPr>
          <w:lang w:val="en-GB"/>
        </w:rPr>
        <w:t>: A member is a possible value of an [Axis]. A [Member] is always part of a domain of an [Axis], thus the term "member" (i.e. of the domain or set; a domain is simply a set of [Member]s which relates to a specific [Axis]).</w:t>
      </w:r>
      <w:r>
        <w:rPr>
          <w:lang w:val="en-GB"/>
        </w:rPr>
        <w:t xml:space="preserve"> Members of an [Axis] tend to be cohesive and share a certain common nature.</w:t>
      </w:r>
    </w:p>
    <w:p w14:paraId="355B7EAC" w14:textId="77777777" w:rsidR="00200A70" w:rsidRPr="00774DF3" w:rsidRDefault="00200A70" w:rsidP="00200A70">
      <w:pPr>
        <w:pStyle w:val="BodyText"/>
        <w:numPr>
          <w:ilvl w:val="0"/>
          <w:numId w:val="4"/>
        </w:numPr>
        <w:rPr>
          <w:lang w:val="en-GB"/>
        </w:rPr>
      </w:pPr>
      <w:r w:rsidRPr="00774DF3">
        <w:rPr>
          <w:b/>
          <w:lang w:val="en-GB"/>
        </w:rPr>
        <w:t>Line Items</w:t>
      </w:r>
      <w:r w:rsidRPr="00774DF3">
        <w:rPr>
          <w:lang w:val="en-GB"/>
        </w:rPr>
        <w:t>: [Line items] are a set of concepts which can be reported by an entity, they can contain values.  [Line Items] may also contain [Abstract] concepts which can never report values but rather are used to help organize the [Line Items].</w:t>
      </w:r>
    </w:p>
    <w:p w14:paraId="12174FA0" w14:textId="77777777" w:rsidR="00200A70" w:rsidRDefault="00200A70" w:rsidP="00200A70">
      <w:pPr>
        <w:pStyle w:val="BodyText"/>
        <w:numPr>
          <w:ilvl w:val="0"/>
          <w:numId w:val="4"/>
        </w:numPr>
        <w:rPr>
          <w:lang w:val="en-GB"/>
        </w:rPr>
      </w:pPr>
      <w:r w:rsidRPr="00774DF3">
        <w:rPr>
          <w:b/>
          <w:lang w:val="en-GB"/>
        </w:rPr>
        <w:t>Concept</w:t>
      </w:r>
      <w:r w:rsidRPr="00774DF3">
        <w:rPr>
          <w:lang w:val="en-GB"/>
        </w:rPr>
        <w:t xml:space="preserve">: A concept refers to a financial reporting concept or a non-financial concept which can be reported as a fact within an </w:t>
      </w:r>
      <w:r>
        <w:rPr>
          <w:lang w:val="en-GB"/>
        </w:rPr>
        <w:t>XBRL-based financial filing</w:t>
      </w:r>
      <w:r w:rsidRPr="00774DF3">
        <w:rPr>
          <w:lang w:val="en-GB"/>
        </w:rPr>
        <w:t>. A concept is sometimes referred to as a concrete concept, as compared to an abstract concept</w:t>
      </w:r>
      <w:r>
        <w:rPr>
          <w:lang w:val="en-GB"/>
        </w:rPr>
        <w:t xml:space="preserve"> (see next report element)</w:t>
      </w:r>
      <w:r w:rsidRPr="00774DF3">
        <w:rPr>
          <w:lang w:val="en-GB"/>
        </w:rPr>
        <w:t xml:space="preserve">. [Line Items] contain </w:t>
      </w:r>
      <w:r>
        <w:rPr>
          <w:lang w:val="en-GB"/>
        </w:rPr>
        <w:t>C</w:t>
      </w:r>
      <w:r w:rsidRPr="00774DF3">
        <w:rPr>
          <w:lang w:val="en-GB"/>
        </w:rPr>
        <w:t>oncepts organized within a component which have the same information model. Concepts can be concrete (meaning they can be reported) or abstract (meaning that they are never reported; they are only used to organize the concepts contained within a set of line items).</w:t>
      </w:r>
    </w:p>
    <w:p w14:paraId="23565703" w14:textId="77777777" w:rsidR="00200A70" w:rsidRPr="00A244B5" w:rsidRDefault="00200A70" w:rsidP="00200A70">
      <w:pPr>
        <w:pStyle w:val="BodyText"/>
        <w:numPr>
          <w:ilvl w:val="0"/>
          <w:numId w:val="4"/>
        </w:numPr>
        <w:rPr>
          <w:lang w:val="en-GB"/>
        </w:rPr>
      </w:pPr>
      <w:r>
        <w:rPr>
          <w:b/>
          <w:lang w:val="en-GB"/>
        </w:rPr>
        <w:t>Abstract</w:t>
      </w:r>
      <w:r w:rsidRPr="00774DF3">
        <w:rPr>
          <w:lang w:val="en-GB"/>
        </w:rPr>
        <w:t xml:space="preserve">: </w:t>
      </w:r>
      <w:r>
        <w:rPr>
          <w:lang w:val="en-GB"/>
        </w:rPr>
        <w:t>An Abstract is a class of Concept.  Abstracts are used for organization and can never be reported. Abstracts can be used within a [Line Items] or it can be used to organize the Tables within a Network.</w:t>
      </w:r>
    </w:p>
    <w:p w14:paraId="4254D62C" w14:textId="77777777" w:rsidR="00200A70" w:rsidRPr="00744B19" w:rsidRDefault="00200A70" w:rsidP="00A244B5">
      <w:pPr>
        <w:pStyle w:val="BodyText"/>
        <w:ind w:left="504"/>
        <w:rPr>
          <w:lang w:val="en-GB"/>
        </w:rPr>
      </w:pPr>
      <w:r>
        <w:rPr>
          <w:highlight w:val="lightGray"/>
          <w:lang w:val="en-GB"/>
        </w:rPr>
        <w:lastRenderedPageBreak/>
        <w:t>HINT</w:t>
      </w:r>
      <w:r w:rsidRPr="00A22A83">
        <w:rPr>
          <w:highlight w:val="lightGray"/>
          <w:lang w:val="en-GB"/>
        </w:rPr>
        <w:t xml:space="preserve">: </w:t>
      </w:r>
      <w:r>
        <w:rPr>
          <w:highlight w:val="lightGray"/>
          <w:lang w:val="en-GB"/>
        </w:rPr>
        <w:t>The [Line Items] is in essence a special type of [Axis] which articulates the concept characteristic of a reported fact.</w:t>
      </w:r>
    </w:p>
    <w:p w14:paraId="4BA925C8" w14:textId="77777777" w:rsidR="00200A70" w:rsidRPr="00744B19" w:rsidRDefault="00200A70" w:rsidP="00A244B5">
      <w:pPr>
        <w:pStyle w:val="BodyText"/>
        <w:ind w:left="504"/>
        <w:rPr>
          <w:lang w:val="en-GB"/>
        </w:rPr>
      </w:pPr>
      <w:r>
        <w:rPr>
          <w:highlight w:val="lightGray"/>
          <w:lang w:val="en-GB"/>
        </w:rPr>
        <w:t>HINT</w:t>
      </w:r>
      <w:r w:rsidRPr="00A22A83">
        <w:rPr>
          <w:highlight w:val="lightGray"/>
          <w:lang w:val="en-GB"/>
        </w:rPr>
        <w:t xml:space="preserve">: </w:t>
      </w:r>
      <w:r>
        <w:rPr>
          <w:highlight w:val="lightGray"/>
          <w:lang w:val="en-GB"/>
        </w:rPr>
        <w:t>While the reporting entity and period are not called [Axis], they act exactly like an [Axis] to characterize reported facts.  The reporting entity and period are implied [Axis]. The reporting entity indicates the CIK number of the reporting entity. The period indicates the calendar period of a reported fact.</w:t>
      </w:r>
    </w:p>
    <w:p w14:paraId="331B54A8" w14:textId="77777777" w:rsidR="00200A70" w:rsidRPr="00744B19" w:rsidRDefault="00200A70" w:rsidP="002C62B9">
      <w:pPr>
        <w:pStyle w:val="BodyText"/>
        <w:ind w:left="504"/>
        <w:rPr>
          <w:lang w:val="en-GB"/>
        </w:rPr>
      </w:pPr>
      <w:r>
        <w:rPr>
          <w:highlight w:val="lightGray"/>
          <w:lang w:val="en-GB"/>
        </w:rPr>
        <w:t>HINT</w:t>
      </w:r>
      <w:r w:rsidRPr="00A22A83">
        <w:rPr>
          <w:highlight w:val="lightGray"/>
          <w:lang w:val="en-GB"/>
        </w:rPr>
        <w:t xml:space="preserve">: </w:t>
      </w:r>
      <w:r>
        <w:rPr>
          <w:highlight w:val="lightGray"/>
          <w:lang w:val="en-GB"/>
        </w:rPr>
        <w:t>A [Domain] is not a type of report element.  A [Domain] as used by the US GAAP XBRL Taxonomy and XBRL-based financial filings is a [Member] which is the root of a domain of members.  A domain is simply a set of members.</w:t>
      </w:r>
    </w:p>
    <w:p w14:paraId="3A8B7332" w14:textId="77777777" w:rsidR="00200A70" w:rsidRDefault="00200A70" w:rsidP="002C62B9">
      <w:pPr>
        <w:pStyle w:val="Heading2"/>
      </w:pPr>
      <w:bookmarkStart w:id="12" w:name="_Toc456627590"/>
      <w:r>
        <w:t>Recognize that each category of report elements has allowed and disallowed relations</w:t>
      </w:r>
      <w:bookmarkEnd w:id="12"/>
    </w:p>
    <w:p w14:paraId="12CF078E" w14:textId="77777777" w:rsidR="00200A70" w:rsidRDefault="00200A70" w:rsidP="002C62B9">
      <w:pPr>
        <w:pStyle w:val="BodyText"/>
      </w:pPr>
      <w:r>
        <w:t>We pointed out that an XBRL-based financial filing is made up of report elements.  Those report elements can be categorized: Network, Table, Axis, Member, LineItems, Abstract, and Concept. The categories of report elements have valid and invalid relations with one another.</w:t>
      </w:r>
    </w:p>
    <w:p w14:paraId="2B618384" w14:textId="77777777" w:rsidR="00200A70" w:rsidRDefault="00200A70" w:rsidP="002C62B9">
      <w:pPr>
        <w:pStyle w:val="BodyText"/>
      </w:pPr>
      <w:r>
        <w:t>These relationships are referred to as the report level model structure or representation structure</w:t>
      </w:r>
      <w:r>
        <w:rPr>
          <w:rStyle w:val="FootnoteReference"/>
        </w:rPr>
        <w:footnoteReference w:id="12"/>
      </w:r>
      <w:r>
        <w:t xml:space="preserve">. The top part of the graphic below shows the relations which are OK, which are disallowed, and which are not advised.  The bottom part of the graphic </w:t>
      </w:r>
      <w:proofErr w:type="gramStart"/>
      <w:r>
        <w:t>shows</w:t>
      </w:r>
      <w:proofErr w:type="gramEnd"/>
      <w:r>
        <w:t xml:space="preserve"> information about the number of these relations within the set of 6,644 XBRL-based financial filings analyzed. </w:t>
      </w:r>
    </w:p>
    <w:p w14:paraId="56FF29E1" w14:textId="77777777" w:rsidR="00200A70" w:rsidRDefault="00200A70" w:rsidP="002C62B9">
      <w:pPr>
        <w:pStyle w:val="BodyText"/>
      </w:pPr>
      <w:r>
        <w:rPr>
          <w:noProof/>
        </w:rPr>
        <w:drawing>
          <wp:inline distT="0" distB="0" distL="0" distR="0" wp14:anchorId="72F4EFA8" wp14:editId="399AEC87">
            <wp:extent cx="5486400" cy="3655255"/>
            <wp:effectExtent l="0" t="0" r="0" b="2540"/>
            <wp:docPr id="5137" name="Picture 5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5486400" cy="3655255"/>
                    </a:xfrm>
                    <a:prstGeom prst="rect">
                      <a:avLst/>
                    </a:prstGeom>
                  </pic:spPr>
                </pic:pic>
              </a:graphicData>
            </a:graphic>
          </wp:inline>
        </w:drawing>
      </w:r>
    </w:p>
    <w:p w14:paraId="15F68F28" w14:textId="77777777" w:rsidR="00200A70" w:rsidRPr="00A244B5" w:rsidRDefault="00200A70" w:rsidP="00A244B5">
      <w:pPr>
        <w:pStyle w:val="BodyText"/>
      </w:pPr>
      <w:r>
        <w:lastRenderedPageBreak/>
        <w:t>For example, Axes are related to Tables, not to Concepts.  Your XBRL-based financial filing should comply with these relations. What would it mean if you found an Axis within a set of LineItems?</w:t>
      </w:r>
    </w:p>
    <w:p w14:paraId="2EDEB305" w14:textId="77777777" w:rsidR="00200A70" w:rsidRPr="00A244B5" w:rsidRDefault="00200A70" w:rsidP="00A244B5">
      <w:pPr>
        <w:pStyle w:val="BodyText"/>
        <w:ind w:left="504"/>
        <w:rPr>
          <w:lang w:val="en-GB"/>
        </w:rPr>
      </w:pPr>
      <w:r>
        <w:rPr>
          <w:highlight w:val="lightGray"/>
          <w:lang w:val="en-GB"/>
        </w:rPr>
        <w:t>HINT</w:t>
      </w:r>
      <w:r w:rsidRPr="00A22A83">
        <w:rPr>
          <w:highlight w:val="lightGray"/>
          <w:lang w:val="en-GB"/>
        </w:rPr>
        <w:t xml:space="preserve">: </w:t>
      </w:r>
      <w:r>
        <w:rPr>
          <w:highlight w:val="lightGray"/>
          <w:lang w:val="en-GB"/>
        </w:rPr>
        <w:t>Software can enforce these relations so that business professionals do not create inappropriate relations.</w:t>
      </w:r>
    </w:p>
    <w:p w14:paraId="30869737" w14:textId="77777777" w:rsidR="00200A70" w:rsidRDefault="00200A70" w:rsidP="002C62B9">
      <w:pPr>
        <w:pStyle w:val="Heading2"/>
      </w:pPr>
      <w:bookmarkStart w:id="13" w:name="_Toc456627591"/>
      <w:r>
        <w:t>Recognize that financial reports contain a discrete set of financial report component which can be categorized</w:t>
      </w:r>
      <w:bookmarkEnd w:id="13"/>
    </w:p>
    <w:p w14:paraId="3663EF00" w14:textId="77777777" w:rsidR="00200A70" w:rsidRDefault="00200A70" w:rsidP="002C62B9">
      <w:pPr>
        <w:pStyle w:val="BodyText"/>
      </w:pPr>
      <w:r>
        <w:t>A financial report may be broken down into a discrete set of report components, or report fragments, which are organized together for some purpose.  Each component is identifiable by the Network and the [Table] that contain the reported facts that make up the component.  These report components can be grouped by what the component represents. For example, a balance sheet is a discrete report component. Every public company reports a balance sheet in their financial report and each has a balance sheet component.  While there is no way to specifically identify what the component is by the Network and by the [Table]; components can be identified in other ways such as using prototype theory.</w:t>
      </w:r>
    </w:p>
    <w:p w14:paraId="32D49A8F" w14:textId="77777777" w:rsidR="00200A70" w:rsidRDefault="00200A70" w:rsidP="002C62B9">
      <w:pPr>
        <w:pStyle w:val="BodyText"/>
      </w:pPr>
      <w:r>
        <w:t>Every fact reported in an XBRL-based digital financial report exists with a Network.  Facts can never be free floating in a report.  Every fact that is not defined within some explicitly defined [Table], exists in an implied table that exists for every Network.</w:t>
      </w:r>
    </w:p>
    <w:p w14:paraId="213A2556" w14:textId="77777777" w:rsidR="00200A70" w:rsidRDefault="00200A70" w:rsidP="002C62B9">
      <w:pPr>
        <w:pStyle w:val="BodyText"/>
      </w:pPr>
      <w:r>
        <w:t xml:space="preserve">To make this notion clear, consider the fact that the US GAAP XBRL Taxonomy provides a set of Level 3 Disclosure [Text </w:t>
      </w:r>
      <w:proofErr w:type="gramStart"/>
      <w:r>
        <w:t>Block]s.</w:t>
      </w:r>
      <w:proofErr w:type="gramEnd"/>
      <w:r>
        <w:t xml:space="preserve">  Each of those [Text </w:t>
      </w:r>
      <w:proofErr w:type="gramStart"/>
      <w:r>
        <w:t>Block]s</w:t>
      </w:r>
      <w:proofErr w:type="gramEnd"/>
      <w:r>
        <w:t xml:space="preserve"> have a name. The screen shot below is an application</w:t>
      </w:r>
      <w:r>
        <w:rPr>
          <w:rStyle w:val="FootnoteReference"/>
        </w:rPr>
        <w:footnoteReference w:id="13"/>
      </w:r>
      <w:r>
        <w:t xml:space="preserve"> which allows its user to look at the disclosure made for reporting entities for each of these different Level 3 Disclosure [Text </w:t>
      </w:r>
      <w:proofErr w:type="gramStart"/>
      <w:r>
        <w:t>Block]s.</w:t>
      </w:r>
      <w:proofErr w:type="gramEnd"/>
      <w:r>
        <w:t xml:space="preserve"> </w:t>
      </w:r>
    </w:p>
    <w:p w14:paraId="4EB70F5C" w14:textId="77777777" w:rsidR="00200A70" w:rsidRDefault="00200A70" w:rsidP="002C62B9">
      <w:pPr>
        <w:pStyle w:val="BodyText"/>
        <w:jc w:val="center"/>
      </w:pPr>
      <w:r>
        <w:rPr>
          <w:noProof/>
        </w:rPr>
        <w:drawing>
          <wp:inline distT="0" distB="0" distL="0" distR="0" wp14:anchorId="0770D17C" wp14:editId="0E213EBE">
            <wp:extent cx="5486400" cy="3075549"/>
            <wp:effectExtent l="0" t="0" r="0" b="0"/>
            <wp:docPr id="5138" name="Picture 5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5486400" cy="3075549"/>
                    </a:xfrm>
                    <a:prstGeom prst="rect">
                      <a:avLst/>
                    </a:prstGeom>
                  </pic:spPr>
                </pic:pic>
              </a:graphicData>
            </a:graphic>
          </wp:inline>
        </w:drawing>
      </w:r>
    </w:p>
    <w:p w14:paraId="5FD52253" w14:textId="77777777" w:rsidR="00200A70" w:rsidRDefault="00200A70" w:rsidP="002C62B9">
      <w:pPr>
        <w:pStyle w:val="BodyText"/>
      </w:pPr>
      <w:r>
        <w:lastRenderedPageBreak/>
        <w:t>Every report component can be identified as representing some specific disclosure.</w:t>
      </w:r>
    </w:p>
    <w:p w14:paraId="0E92A532" w14:textId="77777777" w:rsidR="00200A70" w:rsidRDefault="00200A70" w:rsidP="002C62B9">
      <w:pPr>
        <w:pStyle w:val="Heading2"/>
      </w:pPr>
      <w:bookmarkStart w:id="14" w:name="_Toc456627592"/>
      <w:r>
        <w:t xml:space="preserve">Recognize and respect relations between SEC Level 3 Disclosure [Text </w:t>
      </w:r>
      <w:proofErr w:type="gramStart"/>
      <w:r>
        <w:t>Block]s</w:t>
      </w:r>
      <w:proofErr w:type="gramEnd"/>
      <w:r>
        <w:t xml:space="preserve"> and SEC Level 4 Detail disclosures</w:t>
      </w:r>
      <w:bookmarkEnd w:id="14"/>
    </w:p>
    <w:p w14:paraId="2AD816E1" w14:textId="77777777" w:rsidR="00200A70" w:rsidRDefault="00200A70" w:rsidP="002C62B9">
      <w:pPr>
        <w:pStyle w:val="BodyText"/>
      </w:pPr>
      <w:r>
        <w:t xml:space="preserve">Recognize that relations exist between the SEC Level 3 [Text </w:t>
      </w:r>
      <w:proofErr w:type="gramStart"/>
      <w:r>
        <w:t>Block]s</w:t>
      </w:r>
      <w:proofErr w:type="gramEnd"/>
      <w:r>
        <w:t xml:space="preserve"> and SEC Level 4 detailed disclosures within an XBRL-based financial filing. The two disclose the same information, just at different levels of detail.</w:t>
      </w:r>
    </w:p>
    <w:p w14:paraId="3EF2738E" w14:textId="77777777" w:rsidR="00200A70" w:rsidRDefault="00200A70" w:rsidP="002C62B9">
      <w:pPr>
        <w:pStyle w:val="BodyText"/>
      </w:pPr>
      <w:r>
        <w:t>Consider this example which will explain what is meant. The example provided below comes from this XBRL-based financial filing by Microsoft:</w:t>
      </w:r>
    </w:p>
    <w:p w14:paraId="7647E2CD" w14:textId="77777777" w:rsidR="00200A70" w:rsidRPr="00A65435" w:rsidRDefault="003373E7" w:rsidP="002C62B9">
      <w:pPr>
        <w:pStyle w:val="BodyText"/>
        <w:rPr>
          <w:rStyle w:val="Hyperlink"/>
          <w:sz w:val="14"/>
        </w:rPr>
      </w:pPr>
      <w:hyperlink r:id="rId16" w:history="1">
        <w:r w:rsidR="00200A70" w:rsidRPr="00A65435">
          <w:rPr>
            <w:rStyle w:val="Hyperlink"/>
            <w:sz w:val="14"/>
          </w:rPr>
          <w:t>http://www.sec.gov/Archives/edgar/data/789019/000119312513310206/0001193125-13-310206-index.htm</w:t>
        </w:r>
      </w:hyperlink>
    </w:p>
    <w:p w14:paraId="3ED4D8F8" w14:textId="77777777" w:rsidR="00200A70" w:rsidRDefault="00200A70" w:rsidP="002C62B9">
      <w:pPr>
        <w:pStyle w:val="BodyText"/>
        <w:jc w:val="left"/>
      </w:pPr>
      <w:r>
        <w:t xml:space="preserve">This is Microsoft’s disclosure of the items which make up property, plant and equipment provided as an SEC Level 3 [Text block] </w:t>
      </w:r>
      <w:r w:rsidRPr="00A65435">
        <w:rPr>
          <w:i/>
        </w:rPr>
        <w:t>us-</w:t>
      </w:r>
      <w:proofErr w:type="gramStart"/>
      <w:r w:rsidRPr="00A65435">
        <w:rPr>
          <w:i/>
        </w:rPr>
        <w:t>gaap:PropertyPlantAndEquipmentTextBlock</w:t>
      </w:r>
      <w:proofErr w:type="gramEnd"/>
      <w:r>
        <w:t>.</w:t>
      </w:r>
    </w:p>
    <w:p w14:paraId="06947DBC" w14:textId="77777777" w:rsidR="00200A70" w:rsidRDefault="00200A70" w:rsidP="002C62B9">
      <w:pPr>
        <w:pStyle w:val="BodyText"/>
      </w:pPr>
      <w:r>
        <w:rPr>
          <w:noProof/>
        </w:rPr>
        <w:drawing>
          <wp:inline distT="0" distB="0" distL="0" distR="0" wp14:anchorId="2C70B772" wp14:editId="7B3A61A2">
            <wp:extent cx="5420245" cy="3123590"/>
            <wp:effectExtent l="0" t="0" r="9525" b="635"/>
            <wp:docPr id="5139" name="Picture 5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5430541" cy="3129523"/>
                    </a:xfrm>
                    <a:prstGeom prst="rect">
                      <a:avLst/>
                    </a:prstGeom>
                  </pic:spPr>
                </pic:pic>
              </a:graphicData>
            </a:graphic>
          </wp:inline>
        </w:drawing>
      </w:r>
    </w:p>
    <w:p w14:paraId="09A84E65" w14:textId="77777777" w:rsidR="00200A70" w:rsidRDefault="00200A70" w:rsidP="002C62B9">
      <w:pPr>
        <w:pStyle w:val="BodyText"/>
        <w:jc w:val="left"/>
      </w:pPr>
      <w:r>
        <w:t xml:space="preserve">Here is the same information provided as an SEC Level 4 disclosure with the bottom line value (i.e. Total, net) of this disclosure being the concept </w:t>
      </w:r>
      <w:r w:rsidRPr="00D52D3A">
        <w:rPr>
          <w:i/>
        </w:rPr>
        <w:t>us-</w:t>
      </w:r>
      <w:proofErr w:type="gramStart"/>
      <w:r w:rsidRPr="00D52D3A">
        <w:rPr>
          <w:i/>
        </w:rPr>
        <w:t>gaap:PropertyPlantAndEquipmentNet</w:t>
      </w:r>
      <w:proofErr w:type="gramEnd"/>
      <w:r>
        <w:t xml:space="preserve">. </w:t>
      </w:r>
    </w:p>
    <w:p w14:paraId="18D43BE8" w14:textId="77777777" w:rsidR="00200A70" w:rsidRDefault="00200A70" w:rsidP="002C62B9">
      <w:pPr>
        <w:pStyle w:val="BodyText"/>
      </w:pPr>
      <w:r>
        <w:rPr>
          <w:noProof/>
        </w:rPr>
        <w:lastRenderedPageBreak/>
        <w:drawing>
          <wp:inline distT="0" distB="0" distL="0" distR="0" wp14:anchorId="09C08029" wp14:editId="3901658F">
            <wp:extent cx="5420563" cy="3369900"/>
            <wp:effectExtent l="0" t="0" r="0" b="2540"/>
            <wp:docPr id="5140" name="Picture 5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5423656" cy="3371823"/>
                    </a:xfrm>
                    <a:prstGeom prst="rect">
                      <a:avLst/>
                    </a:prstGeom>
                  </pic:spPr>
                </pic:pic>
              </a:graphicData>
            </a:graphic>
          </wp:inline>
        </w:drawing>
      </w:r>
    </w:p>
    <w:p w14:paraId="210AE423" w14:textId="77777777" w:rsidR="00200A70" w:rsidRDefault="00200A70" w:rsidP="002C62B9">
      <w:pPr>
        <w:pStyle w:val="BodyText"/>
      </w:pPr>
      <w:r>
        <w:t>This relationship is not a coincidence and is not unique to the property, plant, and equipment details disclosure. The PDF below points to an analysis of the property, plant and equipment details disclosure for numerous XBRL-based financial filings:</w:t>
      </w:r>
    </w:p>
    <w:p w14:paraId="39DED6AD" w14:textId="77777777" w:rsidR="00200A70" w:rsidRPr="001C4F90" w:rsidRDefault="003373E7" w:rsidP="002C62B9">
      <w:pPr>
        <w:pStyle w:val="BodyText"/>
        <w:jc w:val="center"/>
        <w:rPr>
          <w:sz w:val="16"/>
        </w:rPr>
      </w:pPr>
      <w:hyperlink r:id="rId19" w:history="1">
        <w:r w:rsidR="00200A70" w:rsidRPr="001C4F90">
          <w:rPr>
            <w:rStyle w:val="Hyperlink"/>
            <w:sz w:val="16"/>
          </w:rPr>
          <w:t>http://www.xbrlsite.com/2014/Library/PropertyPlantAndEquipmentNetByTypeRollUp.pdf</w:t>
        </w:r>
      </w:hyperlink>
    </w:p>
    <w:p w14:paraId="34DE7B06" w14:textId="77777777" w:rsidR="00200A70" w:rsidRDefault="00200A70" w:rsidP="002C62B9">
      <w:pPr>
        <w:pStyle w:val="BodyText"/>
      </w:pPr>
      <w:r>
        <w:t>As the analysis shows, the SEC Level 3 Disclosure Text Blocks and SEC Level 4 Detailed disclosure are synchronized in the vast majority of property, plant, and equipment details disclosure.</w:t>
      </w:r>
    </w:p>
    <w:p w14:paraId="5622564B" w14:textId="77777777" w:rsidR="00200A70" w:rsidRDefault="00200A70" w:rsidP="002C62B9">
      <w:pPr>
        <w:pStyle w:val="BodyText"/>
      </w:pPr>
      <w:r>
        <w:t>This blog post shows similar analysis for a hand full of other disclosures:</w:t>
      </w:r>
    </w:p>
    <w:p w14:paraId="7E554F2A" w14:textId="77777777" w:rsidR="00200A70" w:rsidRPr="001C4F90" w:rsidRDefault="003373E7" w:rsidP="002C62B9">
      <w:pPr>
        <w:pStyle w:val="BodyText"/>
        <w:jc w:val="center"/>
        <w:rPr>
          <w:sz w:val="16"/>
        </w:rPr>
      </w:pPr>
      <w:hyperlink r:id="rId20" w:history="1">
        <w:r w:rsidR="00200A70" w:rsidRPr="001C4F90">
          <w:rPr>
            <w:rStyle w:val="Hyperlink"/>
            <w:sz w:val="16"/>
          </w:rPr>
          <w:t>http://xbrl.squarespace.com/journal/2014/6/24/mind-boggling-diversity-of-sec-xbrl-financial-filings.html</w:t>
        </w:r>
      </w:hyperlink>
    </w:p>
    <w:p w14:paraId="29CAE8E2" w14:textId="77777777" w:rsidR="00200A70" w:rsidRDefault="00200A70" w:rsidP="002C62B9">
      <w:pPr>
        <w:pStyle w:val="BodyText"/>
        <w:jc w:val="left"/>
      </w:pPr>
      <w:r>
        <w:t xml:space="preserve">For example, here another disclosure: Property, plant and equipment estimated useful lives.  Here is the SEC Level 3 Disclosure Text Block disclosure, the filers concept for this SEC Level 3 text block was </w:t>
      </w:r>
      <w:proofErr w:type="gramStart"/>
      <w:r w:rsidRPr="001C4F90">
        <w:rPr>
          <w:i/>
          <w:sz w:val="18"/>
        </w:rPr>
        <w:t>ncs:ScheduleOfUsefulLivesPropertyPlantAndEquipmentTableTextBlock</w:t>
      </w:r>
      <w:proofErr w:type="gramEnd"/>
      <w:r>
        <w:t>, an extension.</w:t>
      </w:r>
    </w:p>
    <w:p w14:paraId="6854EBDC" w14:textId="77777777" w:rsidR="00200A70" w:rsidRDefault="00200A70" w:rsidP="002C62B9">
      <w:pPr>
        <w:pStyle w:val="BodyText"/>
        <w:jc w:val="center"/>
      </w:pPr>
      <w:r>
        <w:rPr>
          <w:noProof/>
        </w:rPr>
        <w:drawing>
          <wp:inline distT="0" distB="0" distL="0" distR="0" wp14:anchorId="05A1EF6D" wp14:editId="306ADF39">
            <wp:extent cx="5256172" cy="1784909"/>
            <wp:effectExtent l="0" t="0" r="1905" b="6350"/>
            <wp:docPr id="5141" name="Picture 5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5274936" cy="1791281"/>
                    </a:xfrm>
                    <a:prstGeom prst="rect">
                      <a:avLst/>
                    </a:prstGeom>
                  </pic:spPr>
                </pic:pic>
              </a:graphicData>
            </a:graphic>
          </wp:inline>
        </w:drawing>
      </w:r>
    </w:p>
    <w:p w14:paraId="1CE934E2" w14:textId="77777777" w:rsidR="00200A70" w:rsidRDefault="00200A70" w:rsidP="002C62B9">
      <w:pPr>
        <w:pStyle w:val="BodyText"/>
      </w:pPr>
      <w:r>
        <w:t xml:space="preserve">And here is the SEC Level 4 detailed disclosure of the same information, the concept used by the filer was </w:t>
      </w:r>
      <w:r w:rsidRPr="001C4F90">
        <w:rPr>
          <w:i/>
          <w:sz w:val="18"/>
        </w:rPr>
        <w:t>us-</w:t>
      </w:r>
      <w:proofErr w:type="gramStart"/>
      <w:r w:rsidRPr="001C4F90">
        <w:rPr>
          <w:i/>
          <w:sz w:val="18"/>
        </w:rPr>
        <w:t>gaap:PropertyPlantAndEquipmentUsefulLife</w:t>
      </w:r>
      <w:proofErr w:type="gramEnd"/>
      <w:r>
        <w:t xml:space="preserve">. </w:t>
      </w:r>
    </w:p>
    <w:p w14:paraId="399E9366" w14:textId="77777777" w:rsidR="00200A70" w:rsidRDefault="00200A70" w:rsidP="002C62B9">
      <w:pPr>
        <w:pStyle w:val="BodyText"/>
      </w:pPr>
      <w:r>
        <w:rPr>
          <w:noProof/>
        </w:rPr>
        <w:lastRenderedPageBreak/>
        <w:drawing>
          <wp:inline distT="0" distB="0" distL="0" distR="0" wp14:anchorId="0F025125" wp14:editId="66EFBE33">
            <wp:extent cx="5486400" cy="2024575"/>
            <wp:effectExtent l="0" t="0" r="0" b="0"/>
            <wp:docPr id="5142" name="Picture 5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5486400" cy="2024575"/>
                    </a:xfrm>
                    <a:prstGeom prst="rect">
                      <a:avLst/>
                    </a:prstGeom>
                  </pic:spPr>
                </pic:pic>
              </a:graphicData>
            </a:graphic>
          </wp:inline>
        </w:drawing>
      </w:r>
    </w:p>
    <w:p w14:paraId="13898CF8" w14:textId="77777777" w:rsidR="00200A70" w:rsidRPr="001C4F90" w:rsidRDefault="003373E7" w:rsidP="002C62B9">
      <w:pPr>
        <w:pStyle w:val="BodyText"/>
        <w:jc w:val="center"/>
        <w:rPr>
          <w:rStyle w:val="Hyperlink"/>
          <w:sz w:val="14"/>
        </w:rPr>
      </w:pPr>
      <w:hyperlink r:id="rId23" w:history="1">
        <w:r w:rsidR="00200A70" w:rsidRPr="001C4F90">
          <w:rPr>
            <w:rStyle w:val="Hyperlink"/>
            <w:sz w:val="14"/>
          </w:rPr>
          <w:t>http://www.sec.gov/Archives/edgar/data/883902/000114420413068730/0001144204-13-068730-index.htm</w:t>
        </w:r>
      </w:hyperlink>
    </w:p>
    <w:p w14:paraId="1EF1C290" w14:textId="77777777" w:rsidR="00200A70" w:rsidRDefault="00200A70" w:rsidP="002C62B9">
      <w:pPr>
        <w:pStyle w:val="BodyText"/>
      </w:pPr>
      <w:r>
        <w:t>The point is that a similar relation exists for this disclosure and other disclosures.  Further, while it is beyond the scope of this document; comparing and contrasting disclosures raises many, many questions which accountants expressing this information should be aware of.</w:t>
      </w:r>
    </w:p>
    <w:p w14:paraId="3BC1D831" w14:textId="77777777" w:rsidR="00200A70" w:rsidRDefault="00200A70" w:rsidP="002C62B9">
      <w:pPr>
        <w:pStyle w:val="BodyText"/>
      </w:pPr>
      <w:r>
        <w:t>For example with regard to the property, plant and equipment estimated useful lives disclosure: the fact that so many filers created an extension concept for the SEC Level 3 text block or used an obviously incorrect concept to express this disclosure, it is clear that this SEC Level 3 text block is missing from the US GAAP XBRL Taxonomy.  Also, if you consider the property, plant and equipment estimated useful lives disclosure and then look at the finite-lived intangible assets estimated useful lives disclosure; you realize that that SEC Level 3 text block is likewise missing from the taxonomy.</w:t>
      </w:r>
    </w:p>
    <w:p w14:paraId="168FAD64" w14:textId="77777777" w:rsidR="00200A70" w:rsidRPr="00CB6A43" w:rsidRDefault="00200A70" w:rsidP="002C62B9">
      <w:pPr>
        <w:pStyle w:val="BodyText"/>
        <w:ind w:left="504"/>
        <w:rPr>
          <w:lang w:val="en-GB"/>
        </w:rPr>
      </w:pPr>
      <w:r>
        <w:rPr>
          <w:highlight w:val="lightGray"/>
          <w:lang w:val="en-GB"/>
        </w:rPr>
        <w:t>HINT</w:t>
      </w:r>
      <w:r w:rsidRPr="00A22A83">
        <w:rPr>
          <w:highlight w:val="lightGray"/>
          <w:lang w:val="en-GB"/>
        </w:rPr>
        <w:t xml:space="preserve">: </w:t>
      </w:r>
      <w:r>
        <w:rPr>
          <w:highlight w:val="lightGray"/>
          <w:lang w:val="en-GB"/>
        </w:rPr>
        <w:t xml:space="preserve">The US GAAP XBRL Taxonomy has many missing SEC Level 3 [Text </w:t>
      </w:r>
      <w:proofErr w:type="gramStart"/>
      <w:r>
        <w:rPr>
          <w:highlight w:val="lightGray"/>
          <w:lang w:val="en-GB"/>
        </w:rPr>
        <w:t>Block]s.</w:t>
      </w:r>
      <w:proofErr w:type="gramEnd"/>
      <w:r>
        <w:rPr>
          <w:highlight w:val="lightGray"/>
          <w:lang w:val="en-GB"/>
        </w:rPr>
        <w:t xml:space="preserve">  As such, it may seem hard to match the Level 3 [Text Block] and SEC Level 4 detail disclosures.  What many filers do is try to find “some text block which is close”.  This causes two problems.  First, it causes your text block to not match the disclosures of others who are using this text block properly.  Basically, you will be inconsistent with other SEC filings.  Second, it makes it harder to discover text blocks which are missing from the US GAAP XBRL Taxonomy.  It is better to create an extension concept than use an inappropriate concept.</w:t>
      </w:r>
    </w:p>
    <w:p w14:paraId="20FB83C9" w14:textId="77777777" w:rsidR="00200A70" w:rsidRPr="00744B19" w:rsidRDefault="00200A70" w:rsidP="002C62B9">
      <w:pPr>
        <w:pStyle w:val="BodyText"/>
        <w:ind w:left="504"/>
        <w:rPr>
          <w:lang w:val="en-GB"/>
        </w:rPr>
      </w:pPr>
      <w:r>
        <w:rPr>
          <w:highlight w:val="lightGray"/>
          <w:lang w:val="en-GB"/>
        </w:rPr>
        <w:t>HINT</w:t>
      </w:r>
      <w:r w:rsidRPr="00A22A83">
        <w:rPr>
          <w:highlight w:val="lightGray"/>
          <w:lang w:val="en-GB"/>
        </w:rPr>
        <w:t xml:space="preserve">: </w:t>
      </w:r>
      <w:r>
        <w:rPr>
          <w:highlight w:val="lightGray"/>
          <w:lang w:val="en-GB"/>
        </w:rPr>
        <w:t xml:space="preserve">In XBRL-based financial filings, some filers provide the property, plant, and equipment details disclosure using the text block used by most others, the concept </w:t>
      </w:r>
      <w:r w:rsidRPr="00CB6A43">
        <w:rPr>
          <w:i/>
          <w:highlight w:val="lightGray"/>
          <w:lang w:val="en-GB"/>
        </w:rPr>
        <w:t>us-</w:t>
      </w:r>
      <w:proofErr w:type="gramStart"/>
      <w:r w:rsidRPr="00CB6A43">
        <w:rPr>
          <w:i/>
          <w:highlight w:val="lightGray"/>
          <w:lang w:val="en-GB"/>
        </w:rPr>
        <w:t>gaap:PropertyPlantAndEquipmentTextBlock</w:t>
      </w:r>
      <w:proofErr w:type="gramEnd"/>
      <w:r>
        <w:rPr>
          <w:highlight w:val="lightGray"/>
          <w:lang w:val="en-GB"/>
        </w:rPr>
        <w:t xml:space="preserve">. However, rather than the SEC Level 4 detail disclosure having the most commonly used concept </w:t>
      </w:r>
      <w:r w:rsidRPr="00CB6A43">
        <w:rPr>
          <w:i/>
          <w:highlight w:val="lightGray"/>
          <w:lang w:val="en-GB"/>
        </w:rPr>
        <w:t>us-</w:t>
      </w:r>
      <w:proofErr w:type="gramStart"/>
      <w:r w:rsidRPr="00CB6A43">
        <w:rPr>
          <w:i/>
          <w:highlight w:val="lightGray"/>
          <w:lang w:val="en-GB"/>
        </w:rPr>
        <w:t>gaap:PropertyPlantAndEquipmentNet</w:t>
      </w:r>
      <w:proofErr w:type="gramEnd"/>
      <w:r w:rsidRPr="00CB6A43">
        <w:rPr>
          <w:highlight w:val="lightGray"/>
          <w:lang w:val="en-GB"/>
        </w:rPr>
        <w:t xml:space="preserve">, the filers use the concept </w:t>
      </w:r>
      <w:r w:rsidRPr="00CB6A43">
        <w:rPr>
          <w:i/>
          <w:highlight w:val="lightGray"/>
          <w:lang w:val="en-GB"/>
        </w:rPr>
        <w:t>us-gaap:PropertyPlantAndEquipmentGross</w:t>
      </w:r>
      <w:r w:rsidRPr="00CB6A43">
        <w:rPr>
          <w:highlight w:val="lightGray"/>
          <w:lang w:val="en-GB"/>
        </w:rPr>
        <w:t xml:space="preserve">. </w:t>
      </w:r>
      <w:r>
        <w:rPr>
          <w:highlight w:val="lightGray"/>
          <w:lang w:val="en-GB"/>
        </w:rPr>
        <w:t>What does this mean?  Is this intended by the US GAAP XBRL Taxonomy, or is this a mistake?  Another similar situation is where some filers use the same SEC Level 3 [Text Block] to express information which is current with other SEC filers using that same SEC Level 3 [Text Block] to disclose information which is noncurrent in the Level 4 detailed representation.  Is this intended or is it an oversight?  It seems rather odd that the same SEC Level 3 [Text Block] would be used to express different SEC Level 4 detail disclosures.</w:t>
      </w:r>
    </w:p>
    <w:p w14:paraId="6BFB812C" w14:textId="77777777" w:rsidR="00200A70" w:rsidRDefault="00200A70" w:rsidP="002C62B9">
      <w:pPr>
        <w:pStyle w:val="BodyText"/>
      </w:pPr>
      <w:r>
        <w:lastRenderedPageBreak/>
        <w:t xml:space="preserve">Another thing to consider is that the US GAAP XBRL Taxonomy provides two different approaches to expressing detailed information in many cases.  One way is to differentiate reported facts using concepts.  Another way is to express information using one concept, but than an [Axis] and [Member] to differentiate reported facts.  Here is an example of the </w:t>
      </w:r>
      <w:proofErr w:type="gramStart"/>
      <w:r>
        <w:t>concept based</w:t>
      </w:r>
      <w:proofErr w:type="gramEnd"/>
      <w:r>
        <w:t xml:space="preserve"> approach:</w:t>
      </w:r>
    </w:p>
    <w:p w14:paraId="2A9755F1" w14:textId="77777777" w:rsidR="00200A70" w:rsidRDefault="00200A70" w:rsidP="002C62B9">
      <w:pPr>
        <w:pStyle w:val="BodyText"/>
      </w:pPr>
      <w:r>
        <w:rPr>
          <w:noProof/>
        </w:rPr>
        <w:drawing>
          <wp:inline distT="0" distB="0" distL="0" distR="0" wp14:anchorId="1660887E" wp14:editId="1060F4B6">
            <wp:extent cx="5318536" cy="3306471"/>
            <wp:effectExtent l="0" t="0" r="0" b="8255"/>
            <wp:docPr id="5143" name="Picture 5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5321571" cy="3308358"/>
                    </a:xfrm>
                    <a:prstGeom prst="rect">
                      <a:avLst/>
                    </a:prstGeom>
                  </pic:spPr>
                </pic:pic>
              </a:graphicData>
            </a:graphic>
          </wp:inline>
        </w:drawing>
      </w:r>
    </w:p>
    <w:p w14:paraId="0AC8DA31" w14:textId="77777777" w:rsidR="00200A70" w:rsidRDefault="00200A70" w:rsidP="002C62B9">
      <w:pPr>
        <w:pStyle w:val="BodyText"/>
      </w:pPr>
      <w:r>
        <w:t>And here is an example of the single concept differentiated using an [Axis] and [Member]s:</w:t>
      </w:r>
    </w:p>
    <w:p w14:paraId="566742E5" w14:textId="77777777" w:rsidR="00200A70" w:rsidRDefault="00200A70" w:rsidP="002C62B9">
      <w:pPr>
        <w:pStyle w:val="BodyText"/>
      </w:pPr>
      <w:r>
        <w:rPr>
          <w:noProof/>
        </w:rPr>
        <w:drawing>
          <wp:inline distT="0" distB="0" distL="0" distR="0" wp14:anchorId="7298A0AA" wp14:editId="64587C96">
            <wp:extent cx="5317827" cy="2999232"/>
            <wp:effectExtent l="0" t="0" r="0" b="0"/>
            <wp:docPr id="5144" name="Picture 5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stretch>
                      <a:fillRect/>
                    </a:stretch>
                  </pic:blipFill>
                  <pic:spPr>
                    <a:xfrm>
                      <a:off x="0" y="0"/>
                      <a:ext cx="5324308" cy="3002887"/>
                    </a:xfrm>
                    <a:prstGeom prst="rect">
                      <a:avLst/>
                    </a:prstGeom>
                  </pic:spPr>
                </pic:pic>
              </a:graphicData>
            </a:graphic>
          </wp:inline>
        </w:drawing>
      </w:r>
    </w:p>
    <w:p w14:paraId="527E34C4" w14:textId="77777777" w:rsidR="00200A70" w:rsidRDefault="00200A70" w:rsidP="002C62B9">
      <w:pPr>
        <w:pStyle w:val="BodyText"/>
      </w:pPr>
      <w:r>
        <w:t xml:space="preserve">Both approaches articulate the same meaning or information.  Each approach has its pros and cons.  But these two approaches raise the question of whether the US GAAP </w:t>
      </w:r>
      <w:r>
        <w:lastRenderedPageBreak/>
        <w:t>XBRL Taxonomy should have one text block or two text blocks, one for each detailed approach.</w:t>
      </w:r>
    </w:p>
    <w:p w14:paraId="4EBB1A6B" w14:textId="77777777" w:rsidR="00200A70" w:rsidRPr="00A40247" w:rsidRDefault="00200A70" w:rsidP="002C62B9">
      <w:pPr>
        <w:pStyle w:val="BodyText"/>
        <w:ind w:left="504"/>
        <w:rPr>
          <w:lang w:val="en-GB"/>
        </w:rPr>
      </w:pPr>
      <w:r>
        <w:rPr>
          <w:highlight w:val="lightGray"/>
          <w:lang w:val="en-GB"/>
        </w:rPr>
        <w:t>HINT</w:t>
      </w:r>
      <w:r w:rsidRPr="00A22A83">
        <w:rPr>
          <w:highlight w:val="lightGray"/>
          <w:lang w:val="en-GB"/>
        </w:rPr>
        <w:t xml:space="preserve">: </w:t>
      </w:r>
      <w:r>
        <w:rPr>
          <w:highlight w:val="lightGray"/>
          <w:lang w:val="en-GB"/>
        </w:rPr>
        <w:t>The two approaches of representing property, plant, and equipment information (the first using [Line Items], the second using [Member]s of an [Axis]) are semantically equivalent even though they use different XBRL technical syntax approaches.</w:t>
      </w:r>
    </w:p>
    <w:p w14:paraId="7AF16531" w14:textId="77777777" w:rsidR="00200A70" w:rsidRDefault="00200A70" w:rsidP="002C62B9">
      <w:pPr>
        <w:pStyle w:val="BodyText"/>
      </w:pPr>
      <w:r>
        <w:t>Another issue which is raised relates to the following example.  Suppose a filer decides to provide the property, plant and equipment details on the balance sheet. Does this mean that the SEC Level 3 text block is or is not required?</w:t>
      </w:r>
    </w:p>
    <w:p w14:paraId="19C3FF57" w14:textId="77777777" w:rsidR="00200A70" w:rsidRDefault="00200A70" w:rsidP="002C62B9">
      <w:pPr>
        <w:pStyle w:val="BodyText"/>
        <w:jc w:val="center"/>
      </w:pPr>
      <w:r>
        <w:rPr>
          <w:noProof/>
        </w:rPr>
        <w:drawing>
          <wp:inline distT="0" distB="0" distL="0" distR="0" wp14:anchorId="31B076D0" wp14:editId="59CAC7C0">
            <wp:extent cx="5422374" cy="1923898"/>
            <wp:effectExtent l="0" t="0" r="6985" b="635"/>
            <wp:docPr id="5145" name="Picture 5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stretch>
                      <a:fillRect/>
                    </a:stretch>
                  </pic:blipFill>
                  <pic:spPr>
                    <a:xfrm>
                      <a:off x="0" y="0"/>
                      <a:ext cx="5446316" cy="1932393"/>
                    </a:xfrm>
                    <a:prstGeom prst="rect">
                      <a:avLst/>
                    </a:prstGeom>
                  </pic:spPr>
                </pic:pic>
              </a:graphicData>
            </a:graphic>
          </wp:inline>
        </w:drawing>
      </w:r>
    </w:p>
    <w:p w14:paraId="0F276DDF" w14:textId="77777777" w:rsidR="00200A70" w:rsidRDefault="00200A70" w:rsidP="002C62B9">
      <w:pPr>
        <w:pStyle w:val="BodyText"/>
      </w:pPr>
      <w:r>
        <w:t>Again, keep in mind that while the discussion focused on specific disclosures here, property, plant and equipment; these situations exist for virtually every disclosure and there are about a thousand different disclosures.</w:t>
      </w:r>
    </w:p>
    <w:p w14:paraId="76AEBF80" w14:textId="77777777" w:rsidR="00200A70" w:rsidRDefault="00200A70" w:rsidP="002C62B9">
      <w:pPr>
        <w:pStyle w:val="Heading2"/>
      </w:pPr>
      <w:bookmarkStart w:id="15" w:name="_Toc456627593"/>
      <w:r>
        <w:t>Recognize the existence of and properly respect and represent intersections between financial report components</w:t>
      </w:r>
      <w:bookmarkEnd w:id="15"/>
    </w:p>
    <w:p w14:paraId="28F59A3F" w14:textId="77777777" w:rsidR="00200A70" w:rsidRDefault="00200A70" w:rsidP="002C62B9">
      <w:pPr>
        <w:pStyle w:val="BodyText"/>
      </w:pPr>
      <w:r>
        <w:t>Financial report fragments, or as we said the components which make up a financial report, can be intersected with one or more other report components.  For example, “Inventories” summarized in the balance sheet might be detailed within a disclosure contained within a note to the financial report. The “Total inventories” concept is the intersection between the summary and detail report components. The screen show below shows the two occurrences of the fact “Inventories” in a financial report:</w:t>
      </w:r>
    </w:p>
    <w:p w14:paraId="712B2964" w14:textId="77777777" w:rsidR="00200A70" w:rsidRDefault="00200A70" w:rsidP="00AB700A">
      <w:pPr>
        <w:pStyle w:val="BodyText"/>
        <w:jc w:val="center"/>
      </w:pPr>
      <w:r>
        <w:rPr>
          <w:noProof/>
        </w:rPr>
        <w:lastRenderedPageBreak/>
        <w:drawing>
          <wp:inline distT="0" distB="0" distL="0" distR="0" wp14:anchorId="535E07CF" wp14:editId="595E8217">
            <wp:extent cx="4703673" cy="2701513"/>
            <wp:effectExtent l="0" t="0" r="1905" b="0"/>
            <wp:docPr id="5146" name="Picture 5146" descr="C:\Users\Charlie\AppData\Local\Temp\SNAGHTML2ec83c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Charlie\AppData\Local\Temp\SNAGHTML2ec83ce.PN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708215" cy="2704121"/>
                    </a:xfrm>
                    <a:prstGeom prst="rect">
                      <a:avLst/>
                    </a:prstGeom>
                    <a:noFill/>
                    <a:ln>
                      <a:noFill/>
                    </a:ln>
                  </pic:spPr>
                </pic:pic>
              </a:graphicData>
            </a:graphic>
          </wp:inline>
        </w:drawing>
      </w:r>
    </w:p>
    <w:p w14:paraId="1FDFDE9C" w14:textId="77777777" w:rsidR="00200A70" w:rsidRDefault="00200A70" w:rsidP="002C62B9">
      <w:pPr>
        <w:pStyle w:val="BodyText"/>
      </w:pPr>
      <w:r>
        <w:t>Below you see a summary (the balance sheet) and detail (the property, plant and equipment details breakdown).</w:t>
      </w:r>
    </w:p>
    <w:p w14:paraId="6A6BD51F" w14:textId="77777777" w:rsidR="00200A70" w:rsidRPr="007029F0" w:rsidRDefault="00200A70" w:rsidP="002C62B9">
      <w:pPr>
        <w:pStyle w:val="BodyText"/>
        <w:rPr>
          <w:i/>
        </w:rPr>
      </w:pPr>
      <w:r w:rsidRPr="007029F0">
        <w:rPr>
          <w:i/>
        </w:rPr>
        <w:t>Balance sheet:</w:t>
      </w:r>
    </w:p>
    <w:p w14:paraId="45DBE6EB" w14:textId="77777777" w:rsidR="00200A70" w:rsidRDefault="00200A70" w:rsidP="002C62B9">
      <w:pPr>
        <w:pStyle w:val="BodyText"/>
        <w:jc w:val="center"/>
      </w:pPr>
      <w:r>
        <w:rPr>
          <w:noProof/>
        </w:rPr>
        <w:drawing>
          <wp:inline distT="0" distB="0" distL="0" distR="0" wp14:anchorId="19B189CB" wp14:editId="4AFFF7A1">
            <wp:extent cx="3789274" cy="4011777"/>
            <wp:effectExtent l="0" t="0" r="1905" b="8255"/>
            <wp:docPr id="5147" name="Picture 5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808180" cy="4031793"/>
                    </a:xfrm>
                    <a:prstGeom prst="rect">
                      <a:avLst/>
                    </a:prstGeom>
                    <a:noFill/>
                    <a:ln>
                      <a:noFill/>
                    </a:ln>
                  </pic:spPr>
                </pic:pic>
              </a:graphicData>
            </a:graphic>
          </wp:inline>
        </w:drawing>
      </w:r>
    </w:p>
    <w:p w14:paraId="2036AB5A" w14:textId="77777777" w:rsidR="00200A70" w:rsidRPr="007029F0" w:rsidRDefault="00200A70" w:rsidP="002C62B9">
      <w:pPr>
        <w:pStyle w:val="BodyText"/>
        <w:rPr>
          <w:i/>
        </w:rPr>
      </w:pPr>
      <w:r>
        <w:rPr>
          <w:i/>
        </w:rPr>
        <w:t>Property, plant, and equipmen</w:t>
      </w:r>
      <w:r w:rsidRPr="007029F0">
        <w:rPr>
          <w:i/>
        </w:rPr>
        <w:t>t</w:t>
      </w:r>
      <w:r>
        <w:rPr>
          <w:i/>
        </w:rPr>
        <w:t xml:space="preserve"> breakdown</w:t>
      </w:r>
      <w:r w:rsidRPr="007029F0">
        <w:rPr>
          <w:i/>
        </w:rPr>
        <w:t>:</w:t>
      </w:r>
    </w:p>
    <w:p w14:paraId="6C585756" w14:textId="77777777" w:rsidR="00200A70" w:rsidRDefault="00200A70" w:rsidP="002C62B9">
      <w:pPr>
        <w:pStyle w:val="BodyText"/>
        <w:jc w:val="center"/>
      </w:pPr>
      <w:r>
        <w:rPr>
          <w:noProof/>
        </w:rPr>
        <w:lastRenderedPageBreak/>
        <w:drawing>
          <wp:inline distT="0" distB="0" distL="0" distR="0" wp14:anchorId="58CBAEE2" wp14:editId="1900F450">
            <wp:extent cx="5779008" cy="2487823"/>
            <wp:effectExtent l="0" t="0" r="0" b="8255"/>
            <wp:docPr id="5149" name="Picture 5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783815" cy="2489893"/>
                    </a:xfrm>
                    <a:prstGeom prst="rect">
                      <a:avLst/>
                    </a:prstGeom>
                    <a:noFill/>
                    <a:ln>
                      <a:noFill/>
                    </a:ln>
                  </pic:spPr>
                </pic:pic>
              </a:graphicData>
            </a:graphic>
          </wp:inline>
        </w:drawing>
      </w:r>
    </w:p>
    <w:p w14:paraId="141B6E90" w14:textId="77777777" w:rsidR="00200A70" w:rsidRDefault="00200A70" w:rsidP="002C62B9">
      <w:pPr>
        <w:pStyle w:val="BodyText"/>
        <w:jc w:val="left"/>
      </w:pPr>
      <w:r>
        <w:t xml:space="preserve">It is challenging to show the notion of an intersection and how useful it is in software applications.  This video walks you through what an intersection is and how to view them using the XBRL Cloud Viewer: </w:t>
      </w:r>
      <w:hyperlink r:id="rId29" w:history="1">
        <w:r w:rsidRPr="003423F8">
          <w:rPr>
            <w:rStyle w:val="Hyperlink"/>
          </w:rPr>
          <w:t>http://www.youtube.com/watch?v=lNPjwKy2Obs</w:t>
        </w:r>
      </w:hyperlink>
      <w:r>
        <w:t xml:space="preserve"> </w:t>
      </w:r>
    </w:p>
    <w:p w14:paraId="7B6D4893" w14:textId="77777777" w:rsidR="00200A70" w:rsidRPr="00744B19" w:rsidRDefault="00200A70" w:rsidP="002C62B9">
      <w:pPr>
        <w:pStyle w:val="BodyText"/>
        <w:ind w:left="504"/>
        <w:rPr>
          <w:lang w:val="en-GB"/>
        </w:rPr>
      </w:pPr>
      <w:r>
        <w:rPr>
          <w:highlight w:val="lightGray"/>
          <w:lang w:val="en-GB"/>
        </w:rPr>
        <w:t>HINT</w:t>
      </w:r>
      <w:r w:rsidRPr="00A22A83">
        <w:rPr>
          <w:highlight w:val="lightGray"/>
          <w:lang w:val="en-GB"/>
        </w:rPr>
        <w:t xml:space="preserve">: </w:t>
      </w:r>
      <w:r>
        <w:rPr>
          <w:highlight w:val="lightGray"/>
          <w:lang w:val="en-GB"/>
        </w:rPr>
        <w:t>A good way to view intersections is using the free XBRL Cloud Viewer</w:t>
      </w:r>
      <w:r>
        <w:rPr>
          <w:rStyle w:val="FootnoteReference"/>
          <w:highlight w:val="lightGray"/>
          <w:lang w:val="en-GB"/>
        </w:rPr>
        <w:footnoteReference w:id="14"/>
      </w:r>
      <w:r>
        <w:rPr>
          <w:highlight w:val="lightGray"/>
          <w:lang w:val="en-GB"/>
        </w:rPr>
        <w:t>.</w:t>
      </w:r>
    </w:p>
    <w:p w14:paraId="2A862D6F" w14:textId="77777777" w:rsidR="00200A70" w:rsidRDefault="00200A70" w:rsidP="002C62B9">
      <w:pPr>
        <w:pStyle w:val="Heading2"/>
      </w:pPr>
      <w:bookmarkStart w:id="16" w:name="_Toc456627594"/>
      <w:r>
        <w:t>Recognize and respect fundamental accounting concepts and unchangeable relations between those accounting concepts</w:t>
      </w:r>
      <w:bookmarkEnd w:id="16"/>
    </w:p>
    <w:p w14:paraId="7889C2E1" w14:textId="77777777" w:rsidR="00200A70" w:rsidRDefault="00200A70" w:rsidP="002C62B9">
      <w:pPr>
        <w:pStyle w:val="BodyText"/>
      </w:pPr>
      <w:r>
        <w:t>Financial reports contain a “skeleton” which forms a frame for a financial report.  Another metaphor is that these fundamental accounting concept relations form the “keystones” of a financial report.  They can be thought of as c</w:t>
      </w:r>
      <w:r w:rsidRPr="002375A8">
        <w:t xml:space="preserve">ontinuity </w:t>
      </w:r>
      <w:r>
        <w:t>e</w:t>
      </w:r>
      <w:r w:rsidRPr="002375A8">
        <w:t xml:space="preserve">quations to </w:t>
      </w:r>
      <w:r>
        <w:t>c</w:t>
      </w:r>
      <w:r w:rsidRPr="002375A8">
        <w:t>ross-</w:t>
      </w:r>
      <w:r>
        <w:t>v</w:t>
      </w:r>
      <w:r w:rsidRPr="002375A8">
        <w:t xml:space="preserve">erify </w:t>
      </w:r>
      <w:r>
        <w:t>i</w:t>
      </w:r>
      <w:r w:rsidRPr="002375A8">
        <w:t xml:space="preserve">nformation in XBRL-based </w:t>
      </w:r>
      <w:r>
        <w:t>d</w:t>
      </w:r>
      <w:r w:rsidRPr="002375A8">
        <w:t xml:space="preserve">igital </w:t>
      </w:r>
      <w:r>
        <w:t>financial r</w:t>
      </w:r>
      <w:r w:rsidRPr="002375A8">
        <w:t>eport</w:t>
      </w:r>
      <w:r>
        <w:t>s.</w:t>
      </w:r>
    </w:p>
    <w:p w14:paraId="58061D7C" w14:textId="77777777" w:rsidR="00200A70" w:rsidRDefault="00200A70" w:rsidP="002C62B9">
      <w:pPr>
        <w:pStyle w:val="BodyText"/>
      </w:pPr>
      <w:r>
        <w:t xml:space="preserve">For example, financial reports always contain balance sheets; balance sheets always contain the concepts “Assets” and “Liabilities and Equity”; and a balance sheet always balances. There are some exceptions to this general rule; for </w:t>
      </w:r>
      <w:proofErr w:type="gramStart"/>
      <w:r>
        <w:t>example</w:t>
      </w:r>
      <w:proofErr w:type="gramEnd"/>
      <w:r>
        <w:t xml:space="preserve"> when a statement of net assets is used but this case is simply another reporting option which would be handled by a different rule specific to that reporting circumstance. Exceptions such as this does not mean that there are no rules, it just means that there are different rules.  See the section relating to report frames.</w:t>
      </w:r>
    </w:p>
    <w:p w14:paraId="7DA5FFAD" w14:textId="77777777" w:rsidR="00200A70" w:rsidRDefault="00200A70" w:rsidP="002C62B9">
      <w:pPr>
        <w:pStyle w:val="BodyText"/>
      </w:pPr>
      <w:r>
        <w:t>And so, universally applicable rules can be created that explain 100% of financial reports once you categorize such reports into appropriate groups.</w:t>
      </w:r>
    </w:p>
    <w:p w14:paraId="644E83AF" w14:textId="77777777" w:rsidR="00200A70" w:rsidRDefault="00200A70" w:rsidP="002C62B9">
      <w:pPr>
        <w:pStyle w:val="BodyText"/>
      </w:pPr>
      <w:r>
        <w:t>In addition, this skeleton or fundamental accounting concepts</w:t>
      </w:r>
      <w:r>
        <w:rPr>
          <w:rStyle w:val="FootnoteReference"/>
        </w:rPr>
        <w:footnoteReference w:id="15"/>
      </w:r>
      <w:r>
        <w:t xml:space="preserve"> have relations with other fundamental accounting concepts which never change.  For example, “Assets” = “Liabilities and Equity” is a relationship which never changes.  Assets = Current Assets + Noncurrent Assets is a relationship which never changes.</w:t>
      </w:r>
    </w:p>
    <w:p w14:paraId="331EC9E2" w14:textId="77777777" w:rsidR="00200A70" w:rsidRDefault="00200A70" w:rsidP="002C62B9">
      <w:pPr>
        <w:pStyle w:val="BodyText"/>
      </w:pPr>
      <w:r>
        <w:t>The fact that a relation exists has nothing to do with whether a reporting entity reported a concept or not.  For example, if a reporting entity reported “Assets” and “Current Assets”, the relation “</w:t>
      </w:r>
      <w:r w:rsidRPr="006517BE">
        <w:t>Assets = Current Assets + Noncurrent Assets</w:t>
      </w:r>
      <w:r>
        <w:t xml:space="preserve">” still holds.  In fact, one can leverage that relationship to impute the value of “Noncurrent </w:t>
      </w:r>
      <w:r>
        <w:lastRenderedPageBreak/>
        <w:t xml:space="preserve">Assets” using basic mathematics: “Noncurrent Assets = Assets – Current Assets”. </w:t>
      </w:r>
      <w:proofErr w:type="gramStart"/>
      <w:r>
        <w:t>So</w:t>
      </w:r>
      <w:proofErr w:type="gramEnd"/>
      <w:r>
        <w:t xml:space="preserve"> while the concept Noncurrent assets might not be reported, that does not mean that the value does not exist.</w:t>
      </w:r>
    </w:p>
    <w:p w14:paraId="3F33BFDD" w14:textId="77777777" w:rsidR="00200A70" w:rsidRDefault="00200A70" w:rsidP="002C62B9">
      <w:pPr>
        <w:pStyle w:val="BodyText"/>
      </w:pPr>
      <w:r>
        <w:t>The verification of the existence of these fundamental accounting concepts and adherence to the specified relations can be automated and enforces using software.</w:t>
      </w:r>
    </w:p>
    <w:p w14:paraId="3F54562E" w14:textId="77777777" w:rsidR="00200A70" w:rsidRDefault="00200A70" w:rsidP="002C62B9">
      <w:pPr>
        <w:pStyle w:val="BodyText"/>
      </w:pPr>
      <w:r>
        <w:t>Proof that these fundamental accounting concepts and relations between these concepts exist is XBRL-based financial filings themselves.  When one examines public company XBRL-based financial filings provided to the SEC, one sees that 98% of all financial reports have these concepts and relations.  This can be observed within the 6,644 XBRL-based financial filings analyzed, all 10-K filings</w:t>
      </w:r>
      <w:r>
        <w:rPr>
          <w:rStyle w:val="FootnoteReference"/>
        </w:rPr>
        <w:footnoteReference w:id="16"/>
      </w:r>
      <w:r>
        <w:t xml:space="preserve">, follow this rule.  Further, when you look at the XBRL-based reports which do not conform to these rules, the reason for nonconformance can tracked to </w:t>
      </w:r>
      <w:r w:rsidRPr="00DF326A">
        <w:t>precisely identifiable reasons for each and every issue and each issue can be attributed to a specific party:</w:t>
      </w:r>
    </w:p>
    <w:p w14:paraId="217AF4D6" w14:textId="77777777" w:rsidR="00200A70" w:rsidRPr="00DF326A" w:rsidRDefault="00200A70" w:rsidP="00200A70">
      <w:pPr>
        <w:pStyle w:val="BodyText"/>
        <w:numPr>
          <w:ilvl w:val="0"/>
          <w:numId w:val="2"/>
        </w:numPr>
        <w:spacing w:before="0" w:after="0"/>
      </w:pPr>
      <w:r w:rsidRPr="00DF326A">
        <w:t>Quality control issues on part of reporting entity creating XBRL-based digital financial report (i.e. filer error)</w:t>
      </w:r>
    </w:p>
    <w:p w14:paraId="050F6C38" w14:textId="77777777" w:rsidR="00200A70" w:rsidRPr="00DF326A" w:rsidRDefault="00200A70" w:rsidP="00200A70">
      <w:pPr>
        <w:pStyle w:val="BodyText"/>
        <w:numPr>
          <w:ilvl w:val="0"/>
          <w:numId w:val="2"/>
        </w:numPr>
        <w:spacing w:before="0" w:after="0"/>
      </w:pPr>
      <w:r w:rsidRPr="00DF326A">
        <w:t>Concepts missing from or ambiguity in US GAAP XBRL Taxonomy (i.e. FASB error)</w:t>
      </w:r>
    </w:p>
    <w:p w14:paraId="3BB755D8" w14:textId="77777777" w:rsidR="00200A70" w:rsidRPr="00DF326A" w:rsidRDefault="00200A70" w:rsidP="00200A70">
      <w:pPr>
        <w:pStyle w:val="BodyText"/>
        <w:numPr>
          <w:ilvl w:val="0"/>
          <w:numId w:val="2"/>
        </w:numPr>
        <w:spacing w:before="0" w:after="0"/>
      </w:pPr>
      <w:r w:rsidRPr="00DF326A">
        <w:t xml:space="preserve">Misinterpretation by filer caused by ambiguity in US GAAP XBRL Taxonomy or EFM </w:t>
      </w:r>
      <w:proofErr w:type="gramStart"/>
      <w:r w:rsidRPr="00DF326A">
        <w:t>rules  (</w:t>
      </w:r>
      <w:proofErr w:type="gramEnd"/>
      <w:r w:rsidRPr="00DF326A">
        <w:t>i.e. FASB/SEC error)</w:t>
      </w:r>
    </w:p>
    <w:p w14:paraId="03650D79" w14:textId="77777777" w:rsidR="00200A70" w:rsidRPr="00DF326A" w:rsidRDefault="00200A70" w:rsidP="00200A70">
      <w:pPr>
        <w:pStyle w:val="BodyText"/>
        <w:numPr>
          <w:ilvl w:val="0"/>
          <w:numId w:val="2"/>
        </w:numPr>
        <w:spacing w:before="0" w:after="0"/>
      </w:pPr>
      <w:r w:rsidRPr="00DF326A">
        <w:t>Misinterpretation of US GAAP XBRL Taxonomy and/or SEC EFM rules by my software (i.e. FASB/SEC error)</w:t>
      </w:r>
    </w:p>
    <w:p w14:paraId="56C291CE" w14:textId="77777777" w:rsidR="00200A70" w:rsidRPr="00DF326A" w:rsidRDefault="00200A70" w:rsidP="00200A70">
      <w:pPr>
        <w:pStyle w:val="BodyText"/>
        <w:numPr>
          <w:ilvl w:val="0"/>
          <w:numId w:val="2"/>
        </w:numPr>
        <w:spacing w:before="0" w:after="0"/>
      </w:pPr>
      <w:r w:rsidRPr="00DF326A">
        <w:t xml:space="preserve">Errors in my mappings and impute rules used by software when reading and then using digital financial report information (i.e. </w:t>
      </w:r>
      <w:r>
        <w:t>business rule</w:t>
      </w:r>
      <w:r w:rsidRPr="00DF326A">
        <w:t xml:space="preserve"> error)</w:t>
      </w:r>
    </w:p>
    <w:p w14:paraId="0160642E" w14:textId="77777777" w:rsidR="00200A70" w:rsidRDefault="00200A70" w:rsidP="002C62B9">
      <w:pPr>
        <w:pStyle w:val="BodyText"/>
      </w:pPr>
      <w:r>
        <w:t>Here is a screen shot of the income statement of one XBRL-based financial filing which shows how that filing has each of these basic, fundamental accounting concepts and satisfies the relations between each of those fundamental accounting concepts. Visit the link to see the entire set of fundamental accounting concepts for this filing.</w:t>
      </w:r>
    </w:p>
    <w:p w14:paraId="69EFF21B" w14:textId="77777777" w:rsidR="00200A70" w:rsidRPr="00815807" w:rsidRDefault="00200A70" w:rsidP="002C62B9">
      <w:pPr>
        <w:pStyle w:val="BodyText"/>
        <w:jc w:val="center"/>
      </w:pPr>
      <w:r>
        <w:rPr>
          <w:noProof/>
        </w:rPr>
        <w:lastRenderedPageBreak/>
        <w:drawing>
          <wp:inline distT="0" distB="0" distL="0" distR="0" wp14:anchorId="54A95D3B" wp14:editId="006A74CF">
            <wp:extent cx="5486400" cy="3416691"/>
            <wp:effectExtent l="0" t="0" r="0" b="0"/>
            <wp:docPr id="5150" name="Picture 5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
                    <a:stretch>
                      <a:fillRect/>
                    </a:stretch>
                  </pic:blipFill>
                  <pic:spPr>
                    <a:xfrm>
                      <a:off x="0" y="0"/>
                      <a:ext cx="5486400" cy="3416691"/>
                    </a:xfrm>
                    <a:prstGeom prst="rect">
                      <a:avLst/>
                    </a:prstGeom>
                  </pic:spPr>
                </pic:pic>
              </a:graphicData>
            </a:graphic>
          </wp:inline>
        </w:drawing>
      </w:r>
    </w:p>
    <w:p w14:paraId="3527D4E5" w14:textId="77777777" w:rsidR="00200A70" w:rsidRDefault="00200A70" w:rsidP="002C62B9">
      <w:pPr>
        <w:pStyle w:val="BodyText"/>
      </w:pPr>
      <w:r>
        <w:t>The fact that 98% of all concepts and relations are conformed to is interesting.  What is more interesting is to look at the conformance to individual relations. Below you can see the relation code, the most current result of testing of these relations on the complete set of public company XBRL-based financial filings, a description of the relation, and comments about the specific relation:</w:t>
      </w:r>
    </w:p>
    <w:tbl>
      <w:tblPr>
        <w:tblStyle w:val="TableGrid"/>
        <w:tblW w:w="8928" w:type="dxa"/>
        <w:tblLayout w:type="fixed"/>
        <w:tblLook w:val="04A0" w:firstRow="1" w:lastRow="0" w:firstColumn="1" w:lastColumn="0" w:noHBand="0" w:noVBand="1"/>
      </w:tblPr>
      <w:tblGrid>
        <w:gridCol w:w="660"/>
        <w:gridCol w:w="978"/>
        <w:gridCol w:w="4950"/>
        <w:gridCol w:w="2340"/>
      </w:tblGrid>
      <w:tr w:rsidR="00200A70" w:rsidRPr="00D272E6" w14:paraId="5AA01C97" w14:textId="77777777" w:rsidTr="00991583">
        <w:trPr>
          <w:cantSplit/>
          <w:tblHeader/>
        </w:trPr>
        <w:tc>
          <w:tcPr>
            <w:tcW w:w="660" w:type="dxa"/>
            <w:vAlign w:val="bottom"/>
          </w:tcPr>
          <w:p w14:paraId="541F2763" w14:textId="77777777" w:rsidR="00200A70" w:rsidRPr="00D272E6" w:rsidRDefault="00200A70" w:rsidP="00991583">
            <w:pPr>
              <w:jc w:val="center"/>
              <w:rPr>
                <w:rFonts w:ascii="Arial" w:hAnsi="Arial" w:cs="Arial"/>
                <w:b/>
                <w:sz w:val="16"/>
                <w:szCs w:val="16"/>
              </w:rPr>
            </w:pPr>
            <w:r w:rsidRPr="00D272E6">
              <w:rPr>
                <w:rFonts w:ascii="Arial" w:hAnsi="Arial" w:cs="Arial"/>
                <w:b/>
                <w:sz w:val="16"/>
                <w:szCs w:val="16"/>
              </w:rPr>
              <w:t>Code</w:t>
            </w:r>
          </w:p>
        </w:tc>
        <w:tc>
          <w:tcPr>
            <w:tcW w:w="978" w:type="dxa"/>
            <w:vAlign w:val="bottom"/>
          </w:tcPr>
          <w:p w14:paraId="4A36E4C5" w14:textId="77777777" w:rsidR="00200A70" w:rsidRPr="00D272E6" w:rsidRDefault="00200A70" w:rsidP="00991583">
            <w:pPr>
              <w:jc w:val="center"/>
              <w:rPr>
                <w:rFonts w:ascii="Arial" w:hAnsi="Arial" w:cs="Arial"/>
                <w:b/>
                <w:sz w:val="16"/>
                <w:szCs w:val="16"/>
              </w:rPr>
            </w:pPr>
            <w:r w:rsidRPr="00D272E6">
              <w:rPr>
                <w:rFonts w:ascii="Arial" w:hAnsi="Arial" w:cs="Arial"/>
                <w:b/>
                <w:sz w:val="16"/>
                <w:szCs w:val="16"/>
              </w:rPr>
              <w:t>% Conforms</w:t>
            </w:r>
          </w:p>
        </w:tc>
        <w:tc>
          <w:tcPr>
            <w:tcW w:w="4950" w:type="dxa"/>
            <w:vAlign w:val="bottom"/>
          </w:tcPr>
          <w:p w14:paraId="36F3314F" w14:textId="77777777" w:rsidR="00200A70" w:rsidRPr="00D272E6" w:rsidRDefault="00200A70" w:rsidP="00991583">
            <w:pPr>
              <w:jc w:val="center"/>
              <w:rPr>
                <w:rFonts w:ascii="Arial" w:hAnsi="Arial" w:cs="Arial"/>
                <w:b/>
                <w:sz w:val="16"/>
                <w:szCs w:val="16"/>
              </w:rPr>
            </w:pPr>
            <w:r w:rsidRPr="00D272E6">
              <w:rPr>
                <w:rFonts w:ascii="Arial" w:hAnsi="Arial" w:cs="Arial"/>
                <w:b/>
                <w:sz w:val="16"/>
                <w:szCs w:val="16"/>
              </w:rPr>
              <w:t>Relation description</w:t>
            </w:r>
          </w:p>
        </w:tc>
        <w:tc>
          <w:tcPr>
            <w:tcW w:w="2340" w:type="dxa"/>
            <w:vAlign w:val="bottom"/>
          </w:tcPr>
          <w:p w14:paraId="2AB77213" w14:textId="77777777" w:rsidR="00200A70" w:rsidRPr="00D272E6" w:rsidRDefault="00200A70" w:rsidP="00991583">
            <w:pPr>
              <w:jc w:val="center"/>
              <w:rPr>
                <w:rFonts w:ascii="Arial" w:hAnsi="Arial" w:cs="Arial"/>
                <w:b/>
                <w:sz w:val="16"/>
                <w:szCs w:val="16"/>
              </w:rPr>
            </w:pPr>
            <w:r w:rsidRPr="00D272E6">
              <w:rPr>
                <w:rFonts w:ascii="Arial" w:hAnsi="Arial" w:cs="Arial"/>
                <w:b/>
                <w:sz w:val="16"/>
                <w:szCs w:val="16"/>
              </w:rPr>
              <w:t>Comments</w:t>
            </w:r>
          </w:p>
        </w:tc>
      </w:tr>
      <w:tr w:rsidR="00200A70" w:rsidRPr="00D272E6" w14:paraId="0F0F52D6" w14:textId="77777777" w:rsidTr="00991583">
        <w:trPr>
          <w:cantSplit/>
          <w:tblHeader/>
        </w:trPr>
        <w:tc>
          <w:tcPr>
            <w:tcW w:w="660" w:type="dxa"/>
          </w:tcPr>
          <w:p w14:paraId="4B75B6F4" w14:textId="77777777" w:rsidR="00200A70" w:rsidRPr="00D272E6" w:rsidRDefault="00200A70" w:rsidP="00991583">
            <w:pPr>
              <w:rPr>
                <w:rFonts w:ascii="Arial" w:hAnsi="Arial" w:cs="Arial"/>
                <w:sz w:val="16"/>
                <w:szCs w:val="16"/>
              </w:rPr>
            </w:pPr>
            <w:r w:rsidRPr="00D272E6">
              <w:rPr>
                <w:rFonts w:ascii="Arial" w:hAnsi="Arial" w:cs="Arial"/>
                <w:sz w:val="16"/>
                <w:szCs w:val="16"/>
              </w:rPr>
              <w:t xml:space="preserve">BS1 </w:t>
            </w:r>
          </w:p>
        </w:tc>
        <w:tc>
          <w:tcPr>
            <w:tcW w:w="978" w:type="dxa"/>
          </w:tcPr>
          <w:p w14:paraId="7DF89045" w14:textId="77777777" w:rsidR="00200A70" w:rsidRPr="00D272E6" w:rsidRDefault="00200A70" w:rsidP="00991583">
            <w:pPr>
              <w:jc w:val="right"/>
              <w:rPr>
                <w:rFonts w:ascii="Arial" w:hAnsi="Arial" w:cs="Arial"/>
                <w:sz w:val="16"/>
                <w:szCs w:val="16"/>
              </w:rPr>
            </w:pPr>
            <w:r w:rsidRPr="00D272E6">
              <w:rPr>
                <w:rFonts w:ascii="Arial" w:hAnsi="Arial" w:cs="Arial"/>
                <w:sz w:val="16"/>
                <w:szCs w:val="16"/>
              </w:rPr>
              <w:t>98.5</w:t>
            </w:r>
          </w:p>
        </w:tc>
        <w:tc>
          <w:tcPr>
            <w:tcW w:w="4950" w:type="dxa"/>
          </w:tcPr>
          <w:p w14:paraId="43C39AE8" w14:textId="77777777" w:rsidR="00200A70" w:rsidRPr="00D272E6" w:rsidRDefault="00200A70" w:rsidP="00991583">
            <w:pPr>
              <w:rPr>
                <w:rFonts w:ascii="Arial" w:hAnsi="Arial" w:cs="Arial"/>
                <w:sz w:val="16"/>
                <w:szCs w:val="16"/>
              </w:rPr>
            </w:pPr>
            <w:r w:rsidRPr="00D272E6">
              <w:rPr>
                <w:rFonts w:ascii="Arial" w:hAnsi="Arial" w:cs="Arial"/>
                <w:sz w:val="16"/>
                <w:szCs w:val="16"/>
              </w:rPr>
              <w:t>Equity = Equity Attributable to Parent + Equity Attributable to Noncontrolling Interest</w:t>
            </w:r>
          </w:p>
        </w:tc>
        <w:tc>
          <w:tcPr>
            <w:tcW w:w="2340" w:type="dxa"/>
          </w:tcPr>
          <w:p w14:paraId="421A893A" w14:textId="77777777" w:rsidR="00200A70" w:rsidRPr="00D272E6" w:rsidRDefault="00200A70" w:rsidP="00991583">
            <w:pPr>
              <w:rPr>
                <w:rFonts w:ascii="Arial" w:hAnsi="Arial" w:cs="Arial"/>
                <w:sz w:val="16"/>
                <w:szCs w:val="16"/>
              </w:rPr>
            </w:pPr>
          </w:p>
        </w:tc>
      </w:tr>
      <w:tr w:rsidR="00200A70" w:rsidRPr="00D272E6" w14:paraId="0E2D1CF0" w14:textId="77777777" w:rsidTr="00991583">
        <w:trPr>
          <w:cantSplit/>
          <w:tblHeader/>
        </w:trPr>
        <w:tc>
          <w:tcPr>
            <w:tcW w:w="660" w:type="dxa"/>
          </w:tcPr>
          <w:p w14:paraId="59E98A45" w14:textId="77777777" w:rsidR="00200A70" w:rsidRPr="00D272E6" w:rsidRDefault="00200A70" w:rsidP="00991583">
            <w:pPr>
              <w:rPr>
                <w:rFonts w:ascii="Arial" w:hAnsi="Arial" w:cs="Arial"/>
                <w:sz w:val="16"/>
                <w:szCs w:val="16"/>
              </w:rPr>
            </w:pPr>
            <w:r w:rsidRPr="00D272E6">
              <w:rPr>
                <w:rFonts w:ascii="Arial" w:hAnsi="Arial" w:cs="Arial"/>
                <w:sz w:val="16"/>
                <w:szCs w:val="16"/>
              </w:rPr>
              <w:t>BS2</w:t>
            </w:r>
          </w:p>
        </w:tc>
        <w:tc>
          <w:tcPr>
            <w:tcW w:w="978" w:type="dxa"/>
          </w:tcPr>
          <w:p w14:paraId="6F6A718C" w14:textId="77777777" w:rsidR="00200A70" w:rsidRPr="00D272E6" w:rsidRDefault="00200A70" w:rsidP="00991583">
            <w:pPr>
              <w:jc w:val="right"/>
              <w:rPr>
                <w:rFonts w:ascii="Arial" w:hAnsi="Arial" w:cs="Arial"/>
                <w:sz w:val="16"/>
                <w:szCs w:val="16"/>
              </w:rPr>
            </w:pPr>
            <w:r w:rsidRPr="00D272E6">
              <w:rPr>
                <w:rFonts w:ascii="Arial" w:hAnsi="Arial" w:cs="Arial"/>
                <w:sz w:val="16"/>
                <w:szCs w:val="16"/>
              </w:rPr>
              <w:t>99.7</w:t>
            </w:r>
          </w:p>
        </w:tc>
        <w:tc>
          <w:tcPr>
            <w:tcW w:w="4950" w:type="dxa"/>
          </w:tcPr>
          <w:p w14:paraId="61930B0F" w14:textId="77777777" w:rsidR="00200A70" w:rsidRPr="00D272E6" w:rsidRDefault="00200A70" w:rsidP="00991583">
            <w:pPr>
              <w:rPr>
                <w:rFonts w:ascii="Arial" w:hAnsi="Arial" w:cs="Arial"/>
                <w:sz w:val="16"/>
                <w:szCs w:val="16"/>
              </w:rPr>
            </w:pPr>
            <w:r w:rsidRPr="00D272E6">
              <w:rPr>
                <w:rFonts w:ascii="Arial" w:hAnsi="Arial" w:cs="Arial"/>
                <w:sz w:val="16"/>
                <w:szCs w:val="16"/>
              </w:rPr>
              <w:t>Assets = Liabilities and Equity</w:t>
            </w:r>
          </w:p>
        </w:tc>
        <w:tc>
          <w:tcPr>
            <w:tcW w:w="2340" w:type="dxa"/>
          </w:tcPr>
          <w:p w14:paraId="611C1A62" w14:textId="77777777" w:rsidR="00200A70" w:rsidRPr="00D272E6" w:rsidRDefault="00200A70" w:rsidP="00991583">
            <w:pPr>
              <w:rPr>
                <w:rFonts w:ascii="Arial" w:hAnsi="Arial" w:cs="Arial"/>
                <w:sz w:val="16"/>
                <w:szCs w:val="16"/>
              </w:rPr>
            </w:pPr>
          </w:p>
        </w:tc>
      </w:tr>
      <w:tr w:rsidR="00200A70" w:rsidRPr="00D272E6" w14:paraId="08048BCD" w14:textId="77777777" w:rsidTr="00991583">
        <w:trPr>
          <w:cantSplit/>
          <w:tblHeader/>
        </w:trPr>
        <w:tc>
          <w:tcPr>
            <w:tcW w:w="660" w:type="dxa"/>
          </w:tcPr>
          <w:p w14:paraId="73BBD5E9" w14:textId="77777777" w:rsidR="00200A70" w:rsidRPr="00D272E6" w:rsidRDefault="00200A70" w:rsidP="00991583">
            <w:pPr>
              <w:rPr>
                <w:rFonts w:ascii="Arial" w:hAnsi="Arial" w:cs="Arial"/>
                <w:sz w:val="16"/>
                <w:szCs w:val="16"/>
              </w:rPr>
            </w:pPr>
            <w:r w:rsidRPr="00D272E6">
              <w:rPr>
                <w:rFonts w:ascii="Arial" w:hAnsi="Arial" w:cs="Arial"/>
                <w:sz w:val="16"/>
                <w:szCs w:val="16"/>
              </w:rPr>
              <w:t>BS3</w:t>
            </w:r>
          </w:p>
        </w:tc>
        <w:tc>
          <w:tcPr>
            <w:tcW w:w="978" w:type="dxa"/>
          </w:tcPr>
          <w:p w14:paraId="080A4ABA" w14:textId="77777777" w:rsidR="00200A70" w:rsidRPr="00D272E6" w:rsidRDefault="00200A70" w:rsidP="00991583">
            <w:pPr>
              <w:jc w:val="right"/>
              <w:rPr>
                <w:rFonts w:ascii="Arial" w:hAnsi="Arial" w:cs="Arial"/>
                <w:sz w:val="16"/>
                <w:szCs w:val="16"/>
              </w:rPr>
            </w:pPr>
            <w:r w:rsidRPr="00D272E6">
              <w:rPr>
                <w:rFonts w:ascii="Arial" w:hAnsi="Arial" w:cs="Arial"/>
                <w:sz w:val="16"/>
                <w:szCs w:val="16"/>
              </w:rPr>
              <w:t>96.5</w:t>
            </w:r>
          </w:p>
        </w:tc>
        <w:tc>
          <w:tcPr>
            <w:tcW w:w="4950" w:type="dxa"/>
          </w:tcPr>
          <w:p w14:paraId="0DE17772" w14:textId="77777777" w:rsidR="00200A70" w:rsidRPr="00D272E6" w:rsidRDefault="00200A70" w:rsidP="00991583">
            <w:pPr>
              <w:rPr>
                <w:rFonts w:ascii="Arial" w:hAnsi="Arial" w:cs="Arial"/>
                <w:sz w:val="16"/>
                <w:szCs w:val="16"/>
              </w:rPr>
            </w:pPr>
            <w:r w:rsidRPr="00D272E6">
              <w:rPr>
                <w:rFonts w:ascii="Arial" w:hAnsi="Arial" w:cs="Arial"/>
                <w:sz w:val="16"/>
                <w:szCs w:val="16"/>
              </w:rPr>
              <w:t>Assets = Current Assets + Noncurrent Assets (classified balance sheet)</w:t>
            </w:r>
          </w:p>
        </w:tc>
        <w:tc>
          <w:tcPr>
            <w:tcW w:w="2340" w:type="dxa"/>
          </w:tcPr>
          <w:p w14:paraId="1DB01AE5" w14:textId="77777777" w:rsidR="00200A70" w:rsidRPr="00D272E6" w:rsidRDefault="00200A70" w:rsidP="00991583">
            <w:pPr>
              <w:rPr>
                <w:rFonts w:ascii="Arial" w:hAnsi="Arial" w:cs="Arial"/>
                <w:sz w:val="16"/>
                <w:szCs w:val="16"/>
              </w:rPr>
            </w:pPr>
          </w:p>
        </w:tc>
      </w:tr>
      <w:tr w:rsidR="00200A70" w:rsidRPr="00D272E6" w14:paraId="64831901" w14:textId="77777777" w:rsidTr="00991583">
        <w:trPr>
          <w:cantSplit/>
          <w:tblHeader/>
        </w:trPr>
        <w:tc>
          <w:tcPr>
            <w:tcW w:w="660" w:type="dxa"/>
          </w:tcPr>
          <w:p w14:paraId="3173EB53" w14:textId="77777777" w:rsidR="00200A70" w:rsidRPr="00D272E6" w:rsidRDefault="00200A70" w:rsidP="00991583">
            <w:pPr>
              <w:rPr>
                <w:rFonts w:ascii="Arial" w:hAnsi="Arial" w:cs="Arial"/>
                <w:sz w:val="16"/>
                <w:szCs w:val="16"/>
              </w:rPr>
            </w:pPr>
            <w:r w:rsidRPr="00D272E6">
              <w:rPr>
                <w:rFonts w:ascii="Arial" w:hAnsi="Arial" w:cs="Arial"/>
                <w:sz w:val="16"/>
                <w:szCs w:val="16"/>
              </w:rPr>
              <w:t>BS4</w:t>
            </w:r>
          </w:p>
        </w:tc>
        <w:tc>
          <w:tcPr>
            <w:tcW w:w="978" w:type="dxa"/>
          </w:tcPr>
          <w:p w14:paraId="47179D4D" w14:textId="77777777" w:rsidR="00200A70" w:rsidRPr="00D272E6" w:rsidRDefault="00200A70" w:rsidP="00991583">
            <w:pPr>
              <w:jc w:val="right"/>
              <w:rPr>
                <w:rFonts w:ascii="Arial" w:hAnsi="Arial" w:cs="Arial"/>
                <w:sz w:val="16"/>
                <w:szCs w:val="16"/>
              </w:rPr>
            </w:pPr>
            <w:r w:rsidRPr="00D272E6">
              <w:rPr>
                <w:rFonts w:ascii="Arial" w:hAnsi="Arial" w:cs="Arial"/>
                <w:sz w:val="16"/>
                <w:szCs w:val="16"/>
              </w:rPr>
              <w:t>98.3</w:t>
            </w:r>
          </w:p>
        </w:tc>
        <w:tc>
          <w:tcPr>
            <w:tcW w:w="4950" w:type="dxa"/>
          </w:tcPr>
          <w:p w14:paraId="6FFA7E1E" w14:textId="77777777" w:rsidR="00200A70" w:rsidRPr="00D272E6" w:rsidRDefault="00200A70" w:rsidP="00991583">
            <w:pPr>
              <w:rPr>
                <w:rFonts w:ascii="Arial" w:hAnsi="Arial" w:cs="Arial"/>
                <w:sz w:val="16"/>
                <w:szCs w:val="16"/>
              </w:rPr>
            </w:pPr>
            <w:r w:rsidRPr="00D272E6">
              <w:rPr>
                <w:rFonts w:ascii="Arial" w:hAnsi="Arial" w:cs="Arial"/>
                <w:sz w:val="16"/>
                <w:szCs w:val="16"/>
              </w:rPr>
              <w:t>Liabilities = Current Liabilities + Noncurrent Liabilities (classified balance sheet)</w:t>
            </w:r>
          </w:p>
        </w:tc>
        <w:tc>
          <w:tcPr>
            <w:tcW w:w="2340" w:type="dxa"/>
          </w:tcPr>
          <w:p w14:paraId="77C53B5B" w14:textId="77777777" w:rsidR="00200A70" w:rsidRPr="00D272E6" w:rsidRDefault="00200A70" w:rsidP="00991583">
            <w:pPr>
              <w:rPr>
                <w:rFonts w:ascii="Arial" w:hAnsi="Arial" w:cs="Arial"/>
                <w:sz w:val="16"/>
                <w:szCs w:val="16"/>
              </w:rPr>
            </w:pPr>
          </w:p>
        </w:tc>
      </w:tr>
      <w:tr w:rsidR="00200A70" w:rsidRPr="00D272E6" w14:paraId="133B6E22" w14:textId="77777777" w:rsidTr="00991583">
        <w:trPr>
          <w:cantSplit/>
          <w:tblHeader/>
        </w:trPr>
        <w:tc>
          <w:tcPr>
            <w:tcW w:w="660" w:type="dxa"/>
          </w:tcPr>
          <w:p w14:paraId="14631A73" w14:textId="77777777" w:rsidR="00200A70" w:rsidRPr="00D272E6" w:rsidRDefault="00200A70" w:rsidP="00991583">
            <w:pPr>
              <w:rPr>
                <w:rFonts w:ascii="Arial" w:hAnsi="Arial" w:cs="Arial"/>
                <w:sz w:val="16"/>
                <w:szCs w:val="16"/>
              </w:rPr>
            </w:pPr>
            <w:r w:rsidRPr="00D272E6">
              <w:rPr>
                <w:rFonts w:ascii="Arial" w:hAnsi="Arial" w:cs="Arial"/>
                <w:sz w:val="16"/>
                <w:szCs w:val="16"/>
              </w:rPr>
              <w:t>BS5</w:t>
            </w:r>
          </w:p>
        </w:tc>
        <w:tc>
          <w:tcPr>
            <w:tcW w:w="978" w:type="dxa"/>
          </w:tcPr>
          <w:p w14:paraId="38FA7483" w14:textId="77777777" w:rsidR="00200A70" w:rsidRPr="00D272E6" w:rsidRDefault="00200A70" w:rsidP="00991583">
            <w:pPr>
              <w:jc w:val="right"/>
              <w:rPr>
                <w:rFonts w:ascii="Arial" w:hAnsi="Arial" w:cs="Arial"/>
                <w:sz w:val="16"/>
                <w:szCs w:val="16"/>
              </w:rPr>
            </w:pPr>
            <w:r w:rsidRPr="00D272E6">
              <w:rPr>
                <w:rFonts w:ascii="Arial" w:hAnsi="Arial" w:cs="Arial"/>
                <w:sz w:val="16"/>
                <w:szCs w:val="16"/>
              </w:rPr>
              <w:t>96.0</w:t>
            </w:r>
          </w:p>
        </w:tc>
        <w:tc>
          <w:tcPr>
            <w:tcW w:w="4950" w:type="dxa"/>
          </w:tcPr>
          <w:p w14:paraId="7B548B0C" w14:textId="77777777" w:rsidR="00200A70" w:rsidRPr="00D272E6" w:rsidRDefault="00200A70" w:rsidP="00991583">
            <w:pPr>
              <w:rPr>
                <w:rFonts w:ascii="Arial" w:hAnsi="Arial" w:cs="Arial"/>
                <w:sz w:val="16"/>
                <w:szCs w:val="16"/>
              </w:rPr>
            </w:pPr>
            <w:r w:rsidRPr="00D272E6">
              <w:rPr>
                <w:rFonts w:ascii="Arial" w:hAnsi="Arial" w:cs="Arial"/>
                <w:sz w:val="16"/>
                <w:szCs w:val="16"/>
              </w:rPr>
              <w:t>Liabilities and Equity = Liabilities + Commitments and Contingencies + Temporary Equity + Redeemable Noncontrolling Interest + Equity</w:t>
            </w:r>
          </w:p>
        </w:tc>
        <w:tc>
          <w:tcPr>
            <w:tcW w:w="2340" w:type="dxa"/>
          </w:tcPr>
          <w:p w14:paraId="756733CE" w14:textId="77777777" w:rsidR="00200A70" w:rsidRPr="00D272E6" w:rsidRDefault="00200A70" w:rsidP="00991583">
            <w:pPr>
              <w:rPr>
                <w:rFonts w:ascii="Arial" w:hAnsi="Arial" w:cs="Arial"/>
                <w:sz w:val="16"/>
                <w:szCs w:val="16"/>
              </w:rPr>
            </w:pPr>
          </w:p>
        </w:tc>
      </w:tr>
      <w:tr w:rsidR="00200A70" w:rsidRPr="00D272E6" w14:paraId="40D9D588" w14:textId="77777777" w:rsidTr="00991583">
        <w:trPr>
          <w:cantSplit/>
          <w:tblHeader/>
        </w:trPr>
        <w:tc>
          <w:tcPr>
            <w:tcW w:w="660" w:type="dxa"/>
          </w:tcPr>
          <w:p w14:paraId="69FCD169" w14:textId="77777777" w:rsidR="00200A70" w:rsidRPr="00D272E6" w:rsidRDefault="00200A70" w:rsidP="00991583">
            <w:pPr>
              <w:rPr>
                <w:rFonts w:ascii="Arial" w:hAnsi="Arial" w:cs="Arial"/>
                <w:sz w:val="16"/>
                <w:szCs w:val="16"/>
              </w:rPr>
            </w:pPr>
            <w:r w:rsidRPr="00D272E6">
              <w:rPr>
                <w:rFonts w:ascii="Arial" w:hAnsi="Arial" w:cs="Arial"/>
                <w:sz w:val="16"/>
                <w:szCs w:val="16"/>
              </w:rPr>
              <w:t>IS1</w:t>
            </w:r>
          </w:p>
        </w:tc>
        <w:tc>
          <w:tcPr>
            <w:tcW w:w="978" w:type="dxa"/>
          </w:tcPr>
          <w:p w14:paraId="22FA98CA" w14:textId="77777777" w:rsidR="00200A70" w:rsidRPr="00D272E6" w:rsidRDefault="00200A70" w:rsidP="00991583">
            <w:pPr>
              <w:jc w:val="right"/>
              <w:rPr>
                <w:rFonts w:ascii="Arial" w:hAnsi="Arial" w:cs="Arial"/>
                <w:sz w:val="16"/>
                <w:szCs w:val="16"/>
              </w:rPr>
            </w:pPr>
            <w:r w:rsidRPr="00D272E6">
              <w:rPr>
                <w:rFonts w:ascii="Arial" w:hAnsi="Arial" w:cs="Arial"/>
                <w:sz w:val="16"/>
                <w:szCs w:val="16"/>
              </w:rPr>
              <w:t>93.3</w:t>
            </w:r>
          </w:p>
        </w:tc>
        <w:tc>
          <w:tcPr>
            <w:tcW w:w="4950" w:type="dxa"/>
          </w:tcPr>
          <w:p w14:paraId="02C44997" w14:textId="77777777" w:rsidR="00200A70" w:rsidRPr="00D272E6" w:rsidRDefault="00200A70" w:rsidP="00991583">
            <w:pPr>
              <w:rPr>
                <w:rFonts w:ascii="Arial" w:hAnsi="Arial" w:cs="Arial"/>
                <w:sz w:val="16"/>
                <w:szCs w:val="16"/>
              </w:rPr>
            </w:pPr>
            <w:r w:rsidRPr="00D272E6">
              <w:rPr>
                <w:rFonts w:ascii="Arial" w:hAnsi="Arial" w:cs="Arial"/>
                <w:sz w:val="16"/>
                <w:szCs w:val="16"/>
              </w:rPr>
              <w:t xml:space="preserve">Gross Profit = Revenues - Cost </w:t>
            </w:r>
            <w:proofErr w:type="gramStart"/>
            <w:r w:rsidRPr="00D272E6">
              <w:rPr>
                <w:rFonts w:ascii="Arial" w:hAnsi="Arial" w:cs="Arial"/>
                <w:sz w:val="16"/>
                <w:szCs w:val="16"/>
              </w:rPr>
              <w:t>Of</w:t>
            </w:r>
            <w:proofErr w:type="gramEnd"/>
            <w:r w:rsidRPr="00D272E6">
              <w:rPr>
                <w:rFonts w:ascii="Arial" w:hAnsi="Arial" w:cs="Arial"/>
                <w:sz w:val="16"/>
                <w:szCs w:val="16"/>
              </w:rPr>
              <w:t xml:space="preserve"> Revenue (Multi-step approach)</w:t>
            </w:r>
          </w:p>
        </w:tc>
        <w:tc>
          <w:tcPr>
            <w:tcW w:w="2340" w:type="dxa"/>
          </w:tcPr>
          <w:p w14:paraId="3F47CEEB" w14:textId="77777777" w:rsidR="00200A70" w:rsidRPr="00D272E6" w:rsidRDefault="00200A70" w:rsidP="00991583">
            <w:pPr>
              <w:rPr>
                <w:rFonts w:ascii="Arial" w:hAnsi="Arial" w:cs="Arial"/>
                <w:sz w:val="16"/>
                <w:szCs w:val="16"/>
              </w:rPr>
            </w:pPr>
            <w:r w:rsidRPr="00D272E6">
              <w:rPr>
                <w:rFonts w:ascii="Arial" w:hAnsi="Arial" w:cs="Arial"/>
                <w:sz w:val="16"/>
                <w:szCs w:val="16"/>
              </w:rPr>
              <w:t>Not applicable to all entities.  Alternatively, entities can report using single step approach.</w:t>
            </w:r>
          </w:p>
        </w:tc>
      </w:tr>
      <w:tr w:rsidR="00200A70" w:rsidRPr="00D272E6" w14:paraId="7E33425B" w14:textId="77777777" w:rsidTr="00991583">
        <w:trPr>
          <w:cantSplit/>
          <w:tblHeader/>
        </w:trPr>
        <w:tc>
          <w:tcPr>
            <w:tcW w:w="660" w:type="dxa"/>
          </w:tcPr>
          <w:p w14:paraId="7FE189CF" w14:textId="77777777" w:rsidR="00200A70" w:rsidRPr="00D272E6" w:rsidRDefault="00200A70" w:rsidP="00991583">
            <w:pPr>
              <w:rPr>
                <w:rFonts w:ascii="Arial" w:hAnsi="Arial" w:cs="Arial"/>
                <w:sz w:val="16"/>
                <w:szCs w:val="16"/>
              </w:rPr>
            </w:pPr>
            <w:r w:rsidRPr="00D272E6">
              <w:rPr>
                <w:rFonts w:ascii="Arial" w:hAnsi="Arial" w:cs="Arial"/>
                <w:sz w:val="16"/>
                <w:szCs w:val="16"/>
              </w:rPr>
              <w:t>IS2</w:t>
            </w:r>
          </w:p>
        </w:tc>
        <w:tc>
          <w:tcPr>
            <w:tcW w:w="978" w:type="dxa"/>
          </w:tcPr>
          <w:p w14:paraId="0A70CE60" w14:textId="77777777" w:rsidR="00200A70" w:rsidRPr="00D272E6" w:rsidRDefault="00200A70" w:rsidP="00991583">
            <w:pPr>
              <w:jc w:val="right"/>
              <w:rPr>
                <w:rFonts w:ascii="Arial" w:hAnsi="Arial" w:cs="Arial"/>
                <w:sz w:val="16"/>
                <w:szCs w:val="16"/>
              </w:rPr>
            </w:pPr>
            <w:r w:rsidRPr="00D272E6">
              <w:rPr>
                <w:rFonts w:ascii="Arial" w:hAnsi="Arial" w:cs="Arial"/>
                <w:sz w:val="16"/>
                <w:szCs w:val="16"/>
              </w:rPr>
              <w:t>95.8</w:t>
            </w:r>
          </w:p>
        </w:tc>
        <w:tc>
          <w:tcPr>
            <w:tcW w:w="4950" w:type="dxa"/>
          </w:tcPr>
          <w:p w14:paraId="24A9FC3D" w14:textId="77777777" w:rsidR="00200A70" w:rsidRPr="00D272E6" w:rsidRDefault="00200A70" w:rsidP="00991583">
            <w:pPr>
              <w:rPr>
                <w:rFonts w:ascii="Arial" w:hAnsi="Arial" w:cs="Arial"/>
                <w:sz w:val="16"/>
                <w:szCs w:val="16"/>
              </w:rPr>
            </w:pPr>
            <w:r w:rsidRPr="00D272E6">
              <w:rPr>
                <w:rFonts w:ascii="Arial" w:hAnsi="Arial" w:cs="Arial"/>
                <w:sz w:val="16"/>
                <w:szCs w:val="16"/>
              </w:rPr>
              <w:t xml:space="preserve">Operating Income (Loss) = Gross Profit - Operating Expenses + Other Operating Income (Expenses) (Multi-step approach) </w:t>
            </w:r>
          </w:p>
        </w:tc>
        <w:tc>
          <w:tcPr>
            <w:tcW w:w="2340" w:type="dxa"/>
          </w:tcPr>
          <w:p w14:paraId="283E6EF4" w14:textId="77777777" w:rsidR="00200A70" w:rsidRPr="00D272E6" w:rsidRDefault="00200A70" w:rsidP="00991583">
            <w:pPr>
              <w:rPr>
                <w:rFonts w:ascii="Arial" w:hAnsi="Arial" w:cs="Arial"/>
                <w:sz w:val="16"/>
                <w:szCs w:val="16"/>
              </w:rPr>
            </w:pPr>
            <w:r w:rsidRPr="00D272E6">
              <w:rPr>
                <w:rFonts w:ascii="Arial" w:hAnsi="Arial" w:cs="Arial"/>
                <w:sz w:val="16"/>
                <w:szCs w:val="16"/>
              </w:rPr>
              <w:t>Not applicable to all entities.  Alternatively, entities can report using single step approach.</w:t>
            </w:r>
          </w:p>
        </w:tc>
      </w:tr>
      <w:tr w:rsidR="00200A70" w:rsidRPr="00D272E6" w14:paraId="0BCB8A7D" w14:textId="77777777" w:rsidTr="00991583">
        <w:trPr>
          <w:cantSplit/>
          <w:tblHeader/>
        </w:trPr>
        <w:tc>
          <w:tcPr>
            <w:tcW w:w="660" w:type="dxa"/>
          </w:tcPr>
          <w:p w14:paraId="0F859459" w14:textId="77777777" w:rsidR="00200A70" w:rsidRPr="00D272E6" w:rsidRDefault="00200A70" w:rsidP="00991583">
            <w:pPr>
              <w:rPr>
                <w:rFonts w:ascii="Arial" w:hAnsi="Arial" w:cs="Arial"/>
                <w:sz w:val="16"/>
                <w:szCs w:val="16"/>
              </w:rPr>
            </w:pPr>
            <w:r w:rsidRPr="00D272E6">
              <w:rPr>
                <w:rFonts w:ascii="Arial" w:hAnsi="Arial" w:cs="Arial"/>
                <w:sz w:val="16"/>
                <w:szCs w:val="16"/>
              </w:rPr>
              <w:t>IS3</w:t>
            </w:r>
          </w:p>
        </w:tc>
        <w:tc>
          <w:tcPr>
            <w:tcW w:w="978" w:type="dxa"/>
          </w:tcPr>
          <w:p w14:paraId="1298D468" w14:textId="77777777" w:rsidR="00200A70" w:rsidRPr="00D272E6" w:rsidRDefault="00200A70" w:rsidP="00991583">
            <w:pPr>
              <w:jc w:val="right"/>
              <w:rPr>
                <w:rFonts w:ascii="Arial" w:hAnsi="Arial" w:cs="Arial"/>
                <w:sz w:val="16"/>
                <w:szCs w:val="16"/>
              </w:rPr>
            </w:pPr>
            <w:r w:rsidRPr="00D272E6">
              <w:rPr>
                <w:rFonts w:ascii="Arial" w:hAnsi="Arial" w:cs="Arial"/>
                <w:sz w:val="16"/>
                <w:szCs w:val="16"/>
              </w:rPr>
              <w:t>92.2</w:t>
            </w:r>
          </w:p>
        </w:tc>
        <w:tc>
          <w:tcPr>
            <w:tcW w:w="4950" w:type="dxa"/>
          </w:tcPr>
          <w:p w14:paraId="0C19447E" w14:textId="77777777" w:rsidR="00200A70" w:rsidRPr="00D272E6" w:rsidRDefault="00200A70" w:rsidP="00991583">
            <w:pPr>
              <w:rPr>
                <w:rFonts w:ascii="Arial" w:hAnsi="Arial" w:cs="Arial"/>
                <w:sz w:val="16"/>
                <w:szCs w:val="16"/>
              </w:rPr>
            </w:pPr>
            <w:r w:rsidRPr="00D272E6">
              <w:rPr>
                <w:rFonts w:ascii="Arial" w:hAnsi="Arial" w:cs="Arial"/>
                <w:sz w:val="16"/>
                <w:szCs w:val="16"/>
              </w:rPr>
              <w:t xml:space="preserve">Income (Loss) from Continuing Operations Before Equity Method Investments = Operating Income (Loss) + Nonoperating Income (Loss) - Interest </w:t>
            </w:r>
            <w:proofErr w:type="gramStart"/>
            <w:r w:rsidRPr="00D272E6">
              <w:rPr>
                <w:rFonts w:ascii="Arial" w:hAnsi="Arial" w:cs="Arial"/>
                <w:sz w:val="16"/>
                <w:szCs w:val="16"/>
              </w:rPr>
              <w:t>And</w:t>
            </w:r>
            <w:proofErr w:type="gramEnd"/>
            <w:r w:rsidRPr="00D272E6">
              <w:rPr>
                <w:rFonts w:ascii="Arial" w:hAnsi="Arial" w:cs="Arial"/>
                <w:sz w:val="16"/>
                <w:szCs w:val="16"/>
              </w:rPr>
              <w:t xml:space="preserve"> Debt Expense</w:t>
            </w:r>
          </w:p>
        </w:tc>
        <w:tc>
          <w:tcPr>
            <w:tcW w:w="2340" w:type="dxa"/>
          </w:tcPr>
          <w:p w14:paraId="40655DC8" w14:textId="77777777" w:rsidR="00200A70" w:rsidRPr="00D272E6" w:rsidRDefault="00200A70" w:rsidP="00991583">
            <w:pPr>
              <w:rPr>
                <w:rFonts w:ascii="Arial" w:hAnsi="Arial" w:cs="Arial"/>
                <w:sz w:val="16"/>
                <w:szCs w:val="16"/>
              </w:rPr>
            </w:pPr>
            <w:r w:rsidRPr="00D272E6">
              <w:rPr>
                <w:rFonts w:ascii="Arial" w:hAnsi="Arial" w:cs="Arial"/>
                <w:sz w:val="16"/>
                <w:szCs w:val="16"/>
              </w:rPr>
              <w:t>Not applicable to all entities.  Alternatively, entities may not report Operating Income (Loss).</w:t>
            </w:r>
          </w:p>
        </w:tc>
      </w:tr>
      <w:tr w:rsidR="00200A70" w:rsidRPr="00D272E6" w14:paraId="0BB0D9D2" w14:textId="77777777" w:rsidTr="00991583">
        <w:trPr>
          <w:cantSplit/>
          <w:tblHeader/>
        </w:trPr>
        <w:tc>
          <w:tcPr>
            <w:tcW w:w="660" w:type="dxa"/>
          </w:tcPr>
          <w:p w14:paraId="1A8CA62B" w14:textId="77777777" w:rsidR="00200A70" w:rsidRPr="00D272E6" w:rsidRDefault="00200A70" w:rsidP="00991583">
            <w:pPr>
              <w:rPr>
                <w:rFonts w:ascii="Arial" w:hAnsi="Arial" w:cs="Arial"/>
                <w:sz w:val="16"/>
                <w:szCs w:val="16"/>
              </w:rPr>
            </w:pPr>
            <w:r w:rsidRPr="00D272E6">
              <w:rPr>
                <w:rFonts w:ascii="Arial" w:hAnsi="Arial" w:cs="Arial"/>
                <w:sz w:val="16"/>
                <w:szCs w:val="16"/>
              </w:rPr>
              <w:t>IS4</w:t>
            </w:r>
          </w:p>
        </w:tc>
        <w:tc>
          <w:tcPr>
            <w:tcW w:w="978" w:type="dxa"/>
          </w:tcPr>
          <w:p w14:paraId="20CF8169" w14:textId="77777777" w:rsidR="00200A70" w:rsidRPr="00D272E6" w:rsidRDefault="00200A70" w:rsidP="00991583">
            <w:pPr>
              <w:jc w:val="right"/>
              <w:rPr>
                <w:rFonts w:ascii="Arial" w:hAnsi="Arial" w:cs="Arial"/>
                <w:sz w:val="16"/>
                <w:szCs w:val="16"/>
              </w:rPr>
            </w:pPr>
            <w:r w:rsidRPr="00D272E6">
              <w:rPr>
                <w:rFonts w:ascii="Arial" w:hAnsi="Arial" w:cs="Arial"/>
                <w:sz w:val="16"/>
                <w:szCs w:val="16"/>
              </w:rPr>
              <w:t>99.3</w:t>
            </w:r>
          </w:p>
        </w:tc>
        <w:tc>
          <w:tcPr>
            <w:tcW w:w="4950" w:type="dxa"/>
          </w:tcPr>
          <w:p w14:paraId="53A45F0D" w14:textId="77777777" w:rsidR="00200A70" w:rsidRPr="00D272E6" w:rsidRDefault="00200A70" w:rsidP="00991583">
            <w:pPr>
              <w:rPr>
                <w:rFonts w:ascii="Arial" w:hAnsi="Arial" w:cs="Arial"/>
                <w:sz w:val="16"/>
                <w:szCs w:val="16"/>
              </w:rPr>
            </w:pPr>
            <w:r w:rsidRPr="00D272E6">
              <w:rPr>
                <w:rFonts w:ascii="Arial" w:hAnsi="Arial" w:cs="Arial"/>
                <w:sz w:val="16"/>
                <w:szCs w:val="16"/>
              </w:rPr>
              <w:t>Income (Loss) from Continuing Operations Before Tax = Income (Loss) from Continuing Operations Before Equity Method Investments + Income (Loss) from Equity Method Investments</w:t>
            </w:r>
          </w:p>
        </w:tc>
        <w:tc>
          <w:tcPr>
            <w:tcW w:w="2340" w:type="dxa"/>
          </w:tcPr>
          <w:p w14:paraId="63DF619E" w14:textId="77777777" w:rsidR="00200A70" w:rsidRPr="00D272E6" w:rsidRDefault="00200A70" w:rsidP="00991583">
            <w:pPr>
              <w:rPr>
                <w:rFonts w:ascii="Arial" w:hAnsi="Arial" w:cs="Arial"/>
                <w:sz w:val="16"/>
                <w:szCs w:val="16"/>
              </w:rPr>
            </w:pPr>
            <w:r w:rsidRPr="00D272E6">
              <w:rPr>
                <w:rFonts w:ascii="Arial" w:hAnsi="Arial" w:cs="Arial"/>
                <w:sz w:val="16"/>
                <w:szCs w:val="16"/>
              </w:rPr>
              <w:t>Not applicable to all entities.  Alternatively, entities put Income (Loss) from Equity Method Investments after tax, within revenues, and a handful of other locations.</w:t>
            </w:r>
          </w:p>
        </w:tc>
      </w:tr>
      <w:tr w:rsidR="00200A70" w:rsidRPr="00D272E6" w14:paraId="519FB29B" w14:textId="77777777" w:rsidTr="00991583">
        <w:trPr>
          <w:cantSplit/>
          <w:tblHeader/>
        </w:trPr>
        <w:tc>
          <w:tcPr>
            <w:tcW w:w="660" w:type="dxa"/>
          </w:tcPr>
          <w:p w14:paraId="1AA10497" w14:textId="77777777" w:rsidR="00200A70" w:rsidRPr="00D272E6" w:rsidRDefault="00200A70" w:rsidP="00991583">
            <w:pPr>
              <w:rPr>
                <w:rFonts w:ascii="Arial" w:hAnsi="Arial" w:cs="Arial"/>
                <w:sz w:val="16"/>
                <w:szCs w:val="16"/>
              </w:rPr>
            </w:pPr>
            <w:r w:rsidRPr="00D272E6">
              <w:rPr>
                <w:rFonts w:ascii="Arial" w:hAnsi="Arial" w:cs="Arial"/>
                <w:sz w:val="16"/>
                <w:szCs w:val="16"/>
              </w:rPr>
              <w:lastRenderedPageBreak/>
              <w:t>IS5</w:t>
            </w:r>
          </w:p>
        </w:tc>
        <w:tc>
          <w:tcPr>
            <w:tcW w:w="978" w:type="dxa"/>
          </w:tcPr>
          <w:p w14:paraId="2E39CA48" w14:textId="77777777" w:rsidR="00200A70" w:rsidRPr="00D272E6" w:rsidRDefault="00200A70" w:rsidP="00991583">
            <w:pPr>
              <w:jc w:val="right"/>
              <w:rPr>
                <w:rFonts w:ascii="Arial" w:hAnsi="Arial" w:cs="Arial"/>
                <w:sz w:val="16"/>
                <w:szCs w:val="16"/>
              </w:rPr>
            </w:pPr>
            <w:r w:rsidRPr="00D272E6">
              <w:rPr>
                <w:rFonts w:ascii="Arial" w:hAnsi="Arial" w:cs="Arial"/>
                <w:sz w:val="16"/>
                <w:szCs w:val="16"/>
              </w:rPr>
              <w:t>91.9</w:t>
            </w:r>
          </w:p>
        </w:tc>
        <w:tc>
          <w:tcPr>
            <w:tcW w:w="4950" w:type="dxa"/>
          </w:tcPr>
          <w:p w14:paraId="7A11F32F" w14:textId="77777777" w:rsidR="00200A70" w:rsidRPr="00D272E6" w:rsidRDefault="00200A70" w:rsidP="00991583">
            <w:pPr>
              <w:rPr>
                <w:rFonts w:ascii="Arial" w:hAnsi="Arial" w:cs="Arial"/>
                <w:sz w:val="16"/>
                <w:szCs w:val="16"/>
              </w:rPr>
            </w:pPr>
            <w:r w:rsidRPr="00D272E6">
              <w:rPr>
                <w:rFonts w:ascii="Arial" w:hAnsi="Arial" w:cs="Arial"/>
                <w:sz w:val="16"/>
                <w:szCs w:val="16"/>
              </w:rPr>
              <w:t>Income (Loss) from Continuing Operations after Tax = Income (Loss) from Continuing Operations Before Tax - Income Tax Expense (Benefit)</w:t>
            </w:r>
          </w:p>
        </w:tc>
        <w:tc>
          <w:tcPr>
            <w:tcW w:w="2340" w:type="dxa"/>
          </w:tcPr>
          <w:p w14:paraId="1DAB59C6" w14:textId="77777777" w:rsidR="00200A70" w:rsidRPr="00D272E6" w:rsidRDefault="00200A70" w:rsidP="00991583">
            <w:pPr>
              <w:rPr>
                <w:rFonts w:ascii="Arial" w:hAnsi="Arial" w:cs="Arial"/>
                <w:sz w:val="16"/>
                <w:szCs w:val="16"/>
              </w:rPr>
            </w:pPr>
          </w:p>
        </w:tc>
      </w:tr>
      <w:tr w:rsidR="00200A70" w:rsidRPr="00D272E6" w14:paraId="62127D6C" w14:textId="77777777" w:rsidTr="00991583">
        <w:trPr>
          <w:cantSplit/>
          <w:tblHeader/>
        </w:trPr>
        <w:tc>
          <w:tcPr>
            <w:tcW w:w="660" w:type="dxa"/>
          </w:tcPr>
          <w:p w14:paraId="7693CE8E" w14:textId="77777777" w:rsidR="00200A70" w:rsidRPr="00D272E6" w:rsidRDefault="00200A70" w:rsidP="00991583">
            <w:pPr>
              <w:rPr>
                <w:rFonts w:ascii="Arial" w:hAnsi="Arial" w:cs="Arial"/>
                <w:sz w:val="16"/>
                <w:szCs w:val="16"/>
              </w:rPr>
            </w:pPr>
            <w:r w:rsidRPr="00D272E6">
              <w:rPr>
                <w:rFonts w:ascii="Arial" w:hAnsi="Arial" w:cs="Arial"/>
                <w:sz w:val="16"/>
                <w:szCs w:val="16"/>
              </w:rPr>
              <w:t>IS6</w:t>
            </w:r>
          </w:p>
        </w:tc>
        <w:tc>
          <w:tcPr>
            <w:tcW w:w="978" w:type="dxa"/>
          </w:tcPr>
          <w:p w14:paraId="1F680D28" w14:textId="77777777" w:rsidR="00200A70" w:rsidRPr="00D272E6" w:rsidRDefault="00200A70" w:rsidP="00991583">
            <w:pPr>
              <w:jc w:val="right"/>
              <w:rPr>
                <w:rFonts w:ascii="Arial" w:hAnsi="Arial" w:cs="Arial"/>
                <w:sz w:val="16"/>
                <w:szCs w:val="16"/>
              </w:rPr>
            </w:pPr>
            <w:r w:rsidRPr="00D272E6">
              <w:rPr>
                <w:rFonts w:ascii="Arial" w:hAnsi="Arial" w:cs="Arial"/>
                <w:sz w:val="16"/>
                <w:szCs w:val="16"/>
              </w:rPr>
              <w:t>92.2</w:t>
            </w:r>
          </w:p>
        </w:tc>
        <w:tc>
          <w:tcPr>
            <w:tcW w:w="4950" w:type="dxa"/>
          </w:tcPr>
          <w:p w14:paraId="75CD7CD6" w14:textId="77777777" w:rsidR="00200A70" w:rsidRPr="00D272E6" w:rsidRDefault="00200A70" w:rsidP="00991583">
            <w:pPr>
              <w:rPr>
                <w:rFonts w:ascii="Arial" w:hAnsi="Arial" w:cs="Arial"/>
                <w:sz w:val="16"/>
                <w:szCs w:val="16"/>
              </w:rPr>
            </w:pPr>
            <w:r w:rsidRPr="00D272E6">
              <w:rPr>
                <w:rFonts w:ascii="Arial" w:hAnsi="Arial" w:cs="Arial"/>
                <w:sz w:val="16"/>
                <w:szCs w:val="16"/>
              </w:rPr>
              <w:t>Net Income (Loss) = Income (Loss) from Continuing Operations After Tax + Income (Loss) from Discontinued Operations, Net of Tax + Extraordinary Items, Gain (Loss)</w:t>
            </w:r>
          </w:p>
        </w:tc>
        <w:tc>
          <w:tcPr>
            <w:tcW w:w="2340" w:type="dxa"/>
          </w:tcPr>
          <w:p w14:paraId="673B1E9E" w14:textId="77777777" w:rsidR="00200A70" w:rsidRPr="00D272E6" w:rsidRDefault="00200A70" w:rsidP="00991583">
            <w:pPr>
              <w:rPr>
                <w:rFonts w:ascii="Arial" w:hAnsi="Arial" w:cs="Arial"/>
                <w:sz w:val="16"/>
                <w:szCs w:val="16"/>
              </w:rPr>
            </w:pPr>
          </w:p>
        </w:tc>
      </w:tr>
      <w:tr w:rsidR="00200A70" w:rsidRPr="00D272E6" w14:paraId="71A8C028" w14:textId="77777777" w:rsidTr="00991583">
        <w:trPr>
          <w:cantSplit/>
          <w:tblHeader/>
        </w:trPr>
        <w:tc>
          <w:tcPr>
            <w:tcW w:w="660" w:type="dxa"/>
          </w:tcPr>
          <w:p w14:paraId="7A6272E5" w14:textId="77777777" w:rsidR="00200A70" w:rsidRPr="00D272E6" w:rsidRDefault="00200A70" w:rsidP="00991583">
            <w:pPr>
              <w:rPr>
                <w:rFonts w:ascii="Arial" w:hAnsi="Arial" w:cs="Arial"/>
                <w:sz w:val="16"/>
                <w:szCs w:val="16"/>
              </w:rPr>
            </w:pPr>
            <w:r w:rsidRPr="00D272E6">
              <w:rPr>
                <w:rFonts w:ascii="Arial" w:hAnsi="Arial" w:cs="Arial"/>
                <w:sz w:val="16"/>
                <w:szCs w:val="16"/>
              </w:rPr>
              <w:t>IS7</w:t>
            </w:r>
          </w:p>
        </w:tc>
        <w:tc>
          <w:tcPr>
            <w:tcW w:w="978" w:type="dxa"/>
          </w:tcPr>
          <w:p w14:paraId="2DDEB327" w14:textId="77777777" w:rsidR="00200A70" w:rsidRPr="00D272E6" w:rsidRDefault="00200A70" w:rsidP="00991583">
            <w:pPr>
              <w:jc w:val="right"/>
              <w:rPr>
                <w:rFonts w:ascii="Arial" w:hAnsi="Arial" w:cs="Arial"/>
                <w:sz w:val="16"/>
                <w:szCs w:val="16"/>
              </w:rPr>
            </w:pPr>
            <w:r w:rsidRPr="00D272E6">
              <w:rPr>
                <w:rFonts w:ascii="Arial" w:hAnsi="Arial" w:cs="Arial"/>
                <w:sz w:val="16"/>
                <w:szCs w:val="16"/>
              </w:rPr>
              <w:t>94.7</w:t>
            </w:r>
          </w:p>
        </w:tc>
        <w:tc>
          <w:tcPr>
            <w:tcW w:w="4950" w:type="dxa"/>
          </w:tcPr>
          <w:p w14:paraId="538BB1AA" w14:textId="77777777" w:rsidR="00200A70" w:rsidRPr="00D272E6" w:rsidRDefault="00200A70" w:rsidP="00991583">
            <w:pPr>
              <w:rPr>
                <w:rFonts w:ascii="Arial" w:hAnsi="Arial" w:cs="Arial"/>
                <w:sz w:val="16"/>
                <w:szCs w:val="16"/>
              </w:rPr>
            </w:pPr>
            <w:r w:rsidRPr="00D272E6">
              <w:rPr>
                <w:rFonts w:ascii="Arial" w:hAnsi="Arial" w:cs="Arial"/>
                <w:sz w:val="16"/>
                <w:szCs w:val="16"/>
              </w:rPr>
              <w:t>Net Income (Loss) = Net Income (Loss) Attributable to Parent + Net Income (Loss) Attributable to Noncontrolling Interest</w:t>
            </w:r>
          </w:p>
        </w:tc>
        <w:tc>
          <w:tcPr>
            <w:tcW w:w="2340" w:type="dxa"/>
          </w:tcPr>
          <w:p w14:paraId="312BA013" w14:textId="77777777" w:rsidR="00200A70" w:rsidRPr="00D272E6" w:rsidRDefault="00200A70" w:rsidP="00991583">
            <w:pPr>
              <w:rPr>
                <w:rFonts w:ascii="Arial" w:hAnsi="Arial" w:cs="Arial"/>
                <w:sz w:val="16"/>
                <w:szCs w:val="16"/>
              </w:rPr>
            </w:pPr>
          </w:p>
        </w:tc>
      </w:tr>
      <w:tr w:rsidR="00200A70" w:rsidRPr="00D272E6" w14:paraId="5E5CD067" w14:textId="77777777" w:rsidTr="00991583">
        <w:trPr>
          <w:cantSplit/>
          <w:tblHeader/>
        </w:trPr>
        <w:tc>
          <w:tcPr>
            <w:tcW w:w="660" w:type="dxa"/>
          </w:tcPr>
          <w:p w14:paraId="71E0B4C4" w14:textId="77777777" w:rsidR="00200A70" w:rsidRPr="00D272E6" w:rsidRDefault="00200A70" w:rsidP="00991583">
            <w:pPr>
              <w:rPr>
                <w:rFonts w:ascii="Arial" w:hAnsi="Arial" w:cs="Arial"/>
                <w:sz w:val="16"/>
                <w:szCs w:val="16"/>
              </w:rPr>
            </w:pPr>
            <w:r w:rsidRPr="00D272E6">
              <w:rPr>
                <w:rFonts w:ascii="Arial" w:hAnsi="Arial" w:cs="Arial"/>
                <w:sz w:val="16"/>
                <w:szCs w:val="16"/>
              </w:rPr>
              <w:t>IS8</w:t>
            </w:r>
          </w:p>
        </w:tc>
        <w:tc>
          <w:tcPr>
            <w:tcW w:w="978" w:type="dxa"/>
          </w:tcPr>
          <w:p w14:paraId="5483B551" w14:textId="77777777" w:rsidR="00200A70" w:rsidRPr="00D272E6" w:rsidRDefault="00200A70" w:rsidP="00991583">
            <w:pPr>
              <w:jc w:val="right"/>
              <w:rPr>
                <w:rFonts w:ascii="Arial" w:hAnsi="Arial" w:cs="Arial"/>
                <w:sz w:val="16"/>
                <w:szCs w:val="16"/>
              </w:rPr>
            </w:pPr>
            <w:r w:rsidRPr="00D272E6">
              <w:rPr>
                <w:rFonts w:ascii="Arial" w:hAnsi="Arial" w:cs="Arial"/>
                <w:sz w:val="16"/>
                <w:szCs w:val="16"/>
              </w:rPr>
              <w:t>99.6</w:t>
            </w:r>
          </w:p>
        </w:tc>
        <w:tc>
          <w:tcPr>
            <w:tcW w:w="4950" w:type="dxa"/>
          </w:tcPr>
          <w:p w14:paraId="5BCFD6D7" w14:textId="77777777" w:rsidR="00200A70" w:rsidRPr="00D272E6" w:rsidRDefault="00200A70" w:rsidP="00991583">
            <w:pPr>
              <w:rPr>
                <w:rFonts w:ascii="Arial" w:hAnsi="Arial" w:cs="Arial"/>
                <w:sz w:val="16"/>
                <w:szCs w:val="16"/>
              </w:rPr>
            </w:pPr>
            <w:r w:rsidRPr="00D272E6">
              <w:rPr>
                <w:rFonts w:ascii="Arial" w:hAnsi="Arial" w:cs="Arial"/>
                <w:sz w:val="16"/>
                <w:szCs w:val="16"/>
              </w:rPr>
              <w:t>Net Income (Loss) Available to Common Stockholders, Basic = Net Income (Loss) Attributable to Parent - Preferred Stock Dividends and Other Adjustments</w:t>
            </w:r>
          </w:p>
        </w:tc>
        <w:tc>
          <w:tcPr>
            <w:tcW w:w="2340" w:type="dxa"/>
          </w:tcPr>
          <w:p w14:paraId="4F71DDF5" w14:textId="77777777" w:rsidR="00200A70" w:rsidRPr="00D272E6" w:rsidRDefault="00200A70" w:rsidP="00991583">
            <w:pPr>
              <w:rPr>
                <w:rFonts w:ascii="Arial" w:hAnsi="Arial" w:cs="Arial"/>
                <w:sz w:val="16"/>
                <w:szCs w:val="16"/>
              </w:rPr>
            </w:pPr>
          </w:p>
        </w:tc>
      </w:tr>
      <w:tr w:rsidR="00200A70" w:rsidRPr="00D272E6" w14:paraId="2FCD1381" w14:textId="77777777" w:rsidTr="00991583">
        <w:trPr>
          <w:cantSplit/>
          <w:tblHeader/>
        </w:trPr>
        <w:tc>
          <w:tcPr>
            <w:tcW w:w="660" w:type="dxa"/>
          </w:tcPr>
          <w:p w14:paraId="29B3D570" w14:textId="77777777" w:rsidR="00200A70" w:rsidRPr="00D272E6" w:rsidRDefault="00200A70" w:rsidP="00991583">
            <w:pPr>
              <w:rPr>
                <w:rFonts w:ascii="Arial" w:hAnsi="Arial" w:cs="Arial"/>
                <w:sz w:val="16"/>
                <w:szCs w:val="16"/>
              </w:rPr>
            </w:pPr>
            <w:r w:rsidRPr="00D272E6">
              <w:rPr>
                <w:rFonts w:ascii="Arial" w:hAnsi="Arial" w:cs="Arial"/>
                <w:sz w:val="16"/>
                <w:szCs w:val="16"/>
              </w:rPr>
              <w:t>IS9</w:t>
            </w:r>
          </w:p>
        </w:tc>
        <w:tc>
          <w:tcPr>
            <w:tcW w:w="978" w:type="dxa"/>
          </w:tcPr>
          <w:p w14:paraId="730FF13E" w14:textId="77777777" w:rsidR="00200A70" w:rsidRPr="00D272E6" w:rsidRDefault="00200A70" w:rsidP="00991583">
            <w:pPr>
              <w:jc w:val="right"/>
              <w:rPr>
                <w:rFonts w:ascii="Arial" w:hAnsi="Arial" w:cs="Arial"/>
                <w:sz w:val="16"/>
                <w:szCs w:val="16"/>
              </w:rPr>
            </w:pPr>
            <w:r w:rsidRPr="00D272E6">
              <w:rPr>
                <w:rFonts w:ascii="Arial" w:hAnsi="Arial" w:cs="Arial"/>
                <w:sz w:val="16"/>
                <w:szCs w:val="16"/>
              </w:rPr>
              <w:t>98.1</w:t>
            </w:r>
          </w:p>
        </w:tc>
        <w:tc>
          <w:tcPr>
            <w:tcW w:w="4950" w:type="dxa"/>
          </w:tcPr>
          <w:p w14:paraId="45A6C345" w14:textId="77777777" w:rsidR="00200A70" w:rsidRPr="00D272E6" w:rsidRDefault="00200A70" w:rsidP="00991583">
            <w:pPr>
              <w:rPr>
                <w:rFonts w:ascii="Arial" w:hAnsi="Arial" w:cs="Arial"/>
                <w:sz w:val="16"/>
                <w:szCs w:val="16"/>
              </w:rPr>
            </w:pPr>
            <w:r w:rsidRPr="00D272E6">
              <w:rPr>
                <w:rFonts w:ascii="Arial" w:hAnsi="Arial" w:cs="Arial"/>
                <w:sz w:val="16"/>
                <w:szCs w:val="16"/>
              </w:rPr>
              <w:t>Comprehensive Income (Loss) = Comprehensive Income (Loss) Attributable to Parent + Comprehensive Income (Loss) Attributable to Noncontrolling Interest</w:t>
            </w:r>
          </w:p>
        </w:tc>
        <w:tc>
          <w:tcPr>
            <w:tcW w:w="2340" w:type="dxa"/>
          </w:tcPr>
          <w:p w14:paraId="299E0FB3" w14:textId="77777777" w:rsidR="00200A70" w:rsidRPr="00D272E6" w:rsidRDefault="00200A70" w:rsidP="00991583">
            <w:pPr>
              <w:rPr>
                <w:rFonts w:ascii="Arial" w:hAnsi="Arial" w:cs="Arial"/>
                <w:sz w:val="16"/>
                <w:szCs w:val="16"/>
              </w:rPr>
            </w:pPr>
          </w:p>
        </w:tc>
      </w:tr>
      <w:tr w:rsidR="00200A70" w:rsidRPr="00D272E6" w14:paraId="1EA45DF8" w14:textId="77777777" w:rsidTr="00991583">
        <w:trPr>
          <w:cantSplit/>
          <w:tblHeader/>
        </w:trPr>
        <w:tc>
          <w:tcPr>
            <w:tcW w:w="660" w:type="dxa"/>
          </w:tcPr>
          <w:p w14:paraId="69720EA8" w14:textId="77777777" w:rsidR="00200A70" w:rsidRPr="00D272E6" w:rsidRDefault="00200A70" w:rsidP="00991583">
            <w:pPr>
              <w:rPr>
                <w:rFonts w:ascii="Arial" w:hAnsi="Arial" w:cs="Arial"/>
                <w:sz w:val="16"/>
                <w:szCs w:val="16"/>
              </w:rPr>
            </w:pPr>
            <w:r w:rsidRPr="00D272E6">
              <w:rPr>
                <w:rFonts w:ascii="Arial" w:hAnsi="Arial" w:cs="Arial"/>
                <w:sz w:val="16"/>
                <w:szCs w:val="16"/>
              </w:rPr>
              <w:t>IS10</w:t>
            </w:r>
          </w:p>
        </w:tc>
        <w:tc>
          <w:tcPr>
            <w:tcW w:w="978" w:type="dxa"/>
          </w:tcPr>
          <w:p w14:paraId="57A93838" w14:textId="77777777" w:rsidR="00200A70" w:rsidRPr="00D272E6" w:rsidRDefault="00200A70" w:rsidP="00991583">
            <w:pPr>
              <w:jc w:val="right"/>
              <w:rPr>
                <w:rFonts w:ascii="Arial" w:hAnsi="Arial" w:cs="Arial"/>
                <w:sz w:val="16"/>
                <w:szCs w:val="16"/>
              </w:rPr>
            </w:pPr>
            <w:r w:rsidRPr="00D272E6">
              <w:rPr>
                <w:rFonts w:ascii="Arial" w:hAnsi="Arial" w:cs="Arial"/>
                <w:sz w:val="16"/>
                <w:szCs w:val="16"/>
              </w:rPr>
              <w:t>96.4</w:t>
            </w:r>
          </w:p>
        </w:tc>
        <w:tc>
          <w:tcPr>
            <w:tcW w:w="4950" w:type="dxa"/>
          </w:tcPr>
          <w:p w14:paraId="11DE997C" w14:textId="77777777" w:rsidR="00200A70" w:rsidRPr="00D272E6" w:rsidRDefault="00200A70" w:rsidP="00991583">
            <w:pPr>
              <w:rPr>
                <w:rFonts w:ascii="Arial" w:hAnsi="Arial" w:cs="Arial"/>
                <w:sz w:val="16"/>
                <w:szCs w:val="16"/>
              </w:rPr>
            </w:pPr>
            <w:r w:rsidRPr="00D272E6">
              <w:rPr>
                <w:rFonts w:ascii="Arial" w:hAnsi="Arial" w:cs="Arial"/>
                <w:sz w:val="16"/>
                <w:szCs w:val="16"/>
              </w:rPr>
              <w:t>Comprehensive Income (Loss) = Net Income (Loss) + Other Comprehensive Income (Loss)</w:t>
            </w:r>
          </w:p>
        </w:tc>
        <w:tc>
          <w:tcPr>
            <w:tcW w:w="2340" w:type="dxa"/>
          </w:tcPr>
          <w:p w14:paraId="23B2D50F" w14:textId="77777777" w:rsidR="00200A70" w:rsidRPr="00D272E6" w:rsidRDefault="00200A70" w:rsidP="00991583">
            <w:pPr>
              <w:rPr>
                <w:rFonts w:ascii="Arial" w:hAnsi="Arial" w:cs="Arial"/>
                <w:sz w:val="16"/>
                <w:szCs w:val="16"/>
              </w:rPr>
            </w:pPr>
          </w:p>
        </w:tc>
      </w:tr>
      <w:tr w:rsidR="00200A70" w:rsidRPr="00D272E6" w14:paraId="06BCB8E2" w14:textId="77777777" w:rsidTr="00991583">
        <w:trPr>
          <w:cantSplit/>
          <w:tblHeader/>
        </w:trPr>
        <w:tc>
          <w:tcPr>
            <w:tcW w:w="660" w:type="dxa"/>
          </w:tcPr>
          <w:p w14:paraId="22B5AB71" w14:textId="77777777" w:rsidR="00200A70" w:rsidRPr="00D272E6" w:rsidRDefault="00200A70" w:rsidP="00991583">
            <w:pPr>
              <w:rPr>
                <w:rFonts w:ascii="Arial" w:hAnsi="Arial" w:cs="Arial"/>
                <w:sz w:val="16"/>
                <w:szCs w:val="16"/>
              </w:rPr>
            </w:pPr>
            <w:r w:rsidRPr="00D272E6">
              <w:rPr>
                <w:rFonts w:ascii="Arial" w:hAnsi="Arial" w:cs="Arial"/>
                <w:sz w:val="16"/>
                <w:szCs w:val="16"/>
              </w:rPr>
              <w:t>CF1</w:t>
            </w:r>
          </w:p>
        </w:tc>
        <w:tc>
          <w:tcPr>
            <w:tcW w:w="978" w:type="dxa"/>
          </w:tcPr>
          <w:p w14:paraId="2E7ED84E" w14:textId="77777777" w:rsidR="00200A70" w:rsidRPr="00D272E6" w:rsidRDefault="00200A70" w:rsidP="00991583">
            <w:pPr>
              <w:jc w:val="right"/>
              <w:rPr>
                <w:rFonts w:ascii="Arial" w:hAnsi="Arial" w:cs="Arial"/>
                <w:sz w:val="16"/>
                <w:szCs w:val="16"/>
              </w:rPr>
            </w:pPr>
            <w:r w:rsidRPr="00D272E6">
              <w:rPr>
                <w:rFonts w:ascii="Arial" w:hAnsi="Arial" w:cs="Arial"/>
                <w:sz w:val="16"/>
                <w:szCs w:val="16"/>
              </w:rPr>
              <w:t>96.0</w:t>
            </w:r>
          </w:p>
        </w:tc>
        <w:tc>
          <w:tcPr>
            <w:tcW w:w="4950" w:type="dxa"/>
          </w:tcPr>
          <w:p w14:paraId="533D0266" w14:textId="77777777" w:rsidR="00200A70" w:rsidRPr="00D272E6" w:rsidRDefault="00200A70" w:rsidP="00991583">
            <w:pPr>
              <w:rPr>
                <w:rFonts w:ascii="Arial" w:hAnsi="Arial" w:cs="Arial"/>
                <w:sz w:val="16"/>
                <w:szCs w:val="16"/>
              </w:rPr>
            </w:pPr>
            <w:r w:rsidRPr="00D272E6">
              <w:rPr>
                <w:rFonts w:ascii="Arial" w:hAnsi="Arial" w:cs="Arial"/>
                <w:sz w:val="16"/>
                <w:szCs w:val="16"/>
              </w:rPr>
              <w:t>Net Cash Flow = Net Cash Flows, Operating + Net Cash Flows, Investing + Net Cash Flows, Financing + Exchange Gains (Losses)</w:t>
            </w:r>
          </w:p>
        </w:tc>
        <w:tc>
          <w:tcPr>
            <w:tcW w:w="2340" w:type="dxa"/>
          </w:tcPr>
          <w:p w14:paraId="6691E9A1" w14:textId="77777777" w:rsidR="00200A70" w:rsidRPr="00D272E6" w:rsidRDefault="00200A70" w:rsidP="00991583">
            <w:pPr>
              <w:rPr>
                <w:rFonts w:ascii="Arial" w:hAnsi="Arial" w:cs="Arial"/>
                <w:sz w:val="16"/>
                <w:szCs w:val="16"/>
              </w:rPr>
            </w:pPr>
            <w:r w:rsidRPr="00D272E6">
              <w:rPr>
                <w:rFonts w:ascii="Arial" w:hAnsi="Arial" w:cs="Arial"/>
                <w:sz w:val="16"/>
                <w:szCs w:val="16"/>
              </w:rPr>
              <w:t>Alternately, approximately 126 entities do not include Exchange Gains (Losses) within Net Cash Flow.</w:t>
            </w:r>
          </w:p>
        </w:tc>
      </w:tr>
      <w:tr w:rsidR="00200A70" w:rsidRPr="00D272E6" w14:paraId="2E4C44DE" w14:textId="77777777" w:rsidTr="00991583">
        <w:trPr>
          <w:cantSplit/>
          <w:tblHeader/>
        </w:trPr>
        <w:tc>
          <w:tcPr>
            <w:tcW w:w="660" w:type="dxa"/>
          </w:tcPr>
          <w:p w14:paraId="110D5F17" w14:textId="77777777" w:rsidR="00200A70" w:rsidRPr="00D272E6" w:rsidRDefault="00200A70" w:rsidP="00991583">
            <w:pPr>
              <w:rPr>
                <w:rFonts w:ascii="Arial" w:hAnsi="Arial" w:cs="Arial"/>
                <w:sz w:val="16"/>
                <w:szCs w:val="16"/>
              </w:rPr>
            </w:pPr>
            <w:r w:rsidRPr="00D272E6">
              <w:rPr>
                <w:rFonts w:ascii="Arial" w:hAnsi="Arial" w:cs="Arial"/>
                <w:sz w:val="16"/>
                <w:szCs w:val="16"/>
              </w:rPr>
              <w:t>CF2</w:t>
            </w:r>
          </w:p>
        </w:tc>
        <w:tc>
          <w:tcPr>
            <w:tcW w:w="978" w:type="dxa"/>
          </w:tcPr>
          <w:p w14:paraId="4905B68B" w14:textId="77777777" w:rsidR="00200A70" w:rsidRPr="00D272E6" w:rsidRDefault="00200A70" w:rsidP="00991583">
            <w:pPr>
              <w:jc w:val="right"/>
              <w:rPr>
                <w:rFonts w:ascii="Arial" w:hAnsi="Arial" w:cs="Arial"/>
                <w:sz w:val="16"/>
                <w:szCs w:val="16"/>
              </w:rPr>
            </w:pPr>
            <w:r w:rsidRPr="00D272E6">
              <w:rPr>
                <w:rFonts w:ascii="Arial" w:hAnsi="Arial" w:cs="Arial"/>
                <w:sz w:val="16"/>
                <w:szCs w:val="16"/>
              </w:rPr>
              <w:t>97.0</w:t>
            </w:r>
          </w:p>
        </w:tc>
        <w:tc>
          <w:tcPr>
            <w:tcW w:w="4950" w:type="dxa"/>
          </w:tcPr>
          <w:p w14:paraId="7B38CD61" w14:textId="77777777" w:rsidR="00200A70" w:rsidRPr="00D272E6" w:rsidRDefault="00200A70" w:rsidP="00991583">
            <w:pPr>
              <w:rPr>
                <w:rFonts w:ascii="Arial" w:hAnsi="Arial" w:cs="Arial"/>
                <w:sz w:val="16"/>
                <w:szCs w:val="16"/>
              </w:rPr>
            </w:pPr>
            <w:r w:rsidRPr="00D272E6">
              <w:rPr>
                <w:rFonts w:ascii="Arial" w:hAnsi="Arial" w:cs="Arial"/>
                <w:sz w:val="16"/>
                <w:szCs w:val="16"/>
              </w:rPr>
              <w:t xml:space="preserve">Net Cash Flows, </w:t>
            </w:r>
            <w:proofErr w:type="gramStart"/>
            <w:r w:rsidRPr="00D272E6">
              <w:rPr>
                <w:rFonts w:ascii="Arial" w:hAnsi="Arial" w:cs="Arial"/>
                <w:sz w:val="16"/>
                <w:szCs w:val="16"/>
              </w:rPr>
              <w:t>Continuing</w:t>
            </w:r>
            <w:proofErr w:type="gramEnd"/>
            <w:r w:rsidRPr="00D272E6">
              <w:rPr>
                <w:rFonts w:ascii="Arial" w:hAnsi="Arial" w:cs="Arial"/>
                <w:sz w:val="16"/>
                <w:szCs w:val="16"/>
              </w:rPr>
              <w:t xml:space="preserve"> = Net Cash Flows, Operating, Continuing + Net Cash Flows, Investing, Continuing + Net Cash Flows, Financing, Continuing</w:t>
            </w:r>
          </w:p>
        </w:tc>
        <w:tc>
          <w:tcPr>
            <w:tcW w:w="2340" w:type="dxa"/>
          </w:tcPr>
          <w:p w14:paraId="4D2C0F1A" w14:textId="77777777" w:rsidR="00200A70" w:rsidRPr="00D272E6" w:rsidRDefault="00200A70" w:rsidP="00991583">
            <w:pPr>
              <w:rPr>
                <w:rFonts w:ascii="Arial" w:hAnsi="Arial" w:cs="Arial"/>
                <w:sz w:val="16"/>
                <w:szCs w:val="16"/>
              </w:rPr>
            </w:pPr>
          </w:p>
        </w:tc>
      </w:tr>
      <w:tr w:rsidR="00200A70" w:rsidRPr="00D272E6" w14:paraId="0882EF63" w14:textId="77777777" w:rsidTr="00991583">
        <w:trPr>
          <w:cantSplit/>
          <w:tblHeader/>
        </w:trPr>
        <w:tc>
          <w:tcPr>
            <w:tcW w:w="660" w:type="dxa"/>
          </w:tcPr>
          <w:p w14:paraId="3EFACC1E" w14:textId="77777777" w:rsidR="00200A70" w:rsidRPr="00D272E6" w:rsidRDefault="00200A70" w:rsidP="00991583">
            <w:pPr>
              <w:rPr>
                <w:rFonts w:ascii="Arial" w:hAnsi="Arial" w:cs="Arial"/>
                <w:sz w:val="16"/>
                <w:szCs w:val="16"/>
              </w:rPr>
            </w:pPr>
            <w:r w:rsidRPr="00D272E6">
              <w:rPr>
                <w:rFonts w:ascii="Arial" w:hAnsi="Arial" w:cs="Arial"/>
                <w:sz w:val="16"/>
                <w:szCs w:val="16"/>
              </w:rPr>
              <w:t>CF3</w:t>
            </w:r>
          </w:p>
        </w:tc>
        <w:tc>
          <w:tcPr>
            <w:tcW w:w="978" w:type="dxa"/>
          </w:tcPr>
          <w:p w14:paraId="36758213" w14:textId="77777777" w:rsidR="00200A70" w:rsidRPr="00D272E6" w:rsidRDefault="00200A70" w:rsidP="00991583">
            <w:pPr>
              <w:jc w:val="right"/>
              <w:rPr>
                <w:rFonts w:ascii="Arial" w:hAnsi="Arial" w:cs="Arial"/>
                <w:sz w:val="16"/>
                <w:szCs w:val="16"/>
              </w:rPr>
            </w:pPr>
            <w:r w:rsidRPr="00D272E6">
              <w:rPr>
                <w:rFonts w:ascii="Arial" w:hAnsi="Arial" w:cs="Arial"/>
                <w:sz w:val="16"/>
                <w:szCs w:val="16"/>
              </w:rPr>
              <w:t>99.6</w:t>
            </w:r>
          </w:p>
        </w:tc>
        <w:tc>
          <w:tcPr>
            <w:tcW w:w="4950" w:type="dxa"/>
          </w:tcPr>
          <w:p w14:paraId="550BF150" w14:textId="77777777" w:rsidR="00200A70" w:rsidRPr="00D272E6" w:rsidRDefault="00200A70" w:rsidP="00991583">
            <w:pPr>
              <w:rPr>
                <w:rFonts w:ascii="Arial" w:hAnsi="Arial" w:cs="Arial"/>
                <w:sz w:val="16"/>
                <w:szCs w:val="16"/>
              </w:rPr>
            </w:pPr>
            <w:r w:rsidRPr="00D272E6">
              <w:rPr>
                <w:rFonts w:ascii="Arial" w:hAnsi="Arial" w:cs="Arial"/>
                <w:sz w:val="16"/>
                <w:szCs w:val="16"/>
              </w:rPr>
              <w:t xml:space="preserve">Net Cash Flows, </w:t>
            </w:r>
            <w:proofErr w:type="gramStart"/>
            <w:r w:rsidRPr="00D272E6">
              <w:rPr>
                <w:rFonts w:ascii="Arial" w:hAnsi="Arial" w:cs="Arial"/>
                <w:sz w:val="16"/>
                <w:szCs w:val="16"/>
              </w:rPr>
              <w:t>Discontinued</w:t>
            </w:r>
            <w:proofErr w:type="gramEnd"/>
            <w:r w:rsidRPr="00D272E6">
              <w:rPr>
                <w:rFonts w:ascii="Arial" w:hAnsi="Arial" w:cs="Arial"/>
                <w:sz w:val="16"/>
                <w:szCs w:val="16"/>
              </w:rPr>
              <w:t xml:space="preserve"> = Net Cash Flows, Operating, Discontinued + Net Cash Flows, Investing, Discontinued + Net Cash Flows, Financing, Discontinued</w:t>
            </w:r>
          </w:p>
        </w:tc>
        <w:tc>
          <w:tcPr>
            <w:tcW w:w="2340" w:type="dxa"/>
          </w:tcPr>
          <w:p w14:paraId="46355ECE" w14:textId="77777777" w:rsidR="00200A70" w:rsidRPr="00D272E6" w:rsidRDefault="00200A70" w:rsidP="00991583">
            <w:pPr>
              <w:rPr>
                <w:rFonts w:ascii="Arial" w:hAnsi="Arial" w:cs="Arial"/>
                <w:sz w:val="16"/>
                <w:szCs w:val="16"/>
              </w:rPr>
            </w:pPr>
          </w:p>
        </w:tc>
      </w:tr>
      <w:tr w:rsidR="00200A70" w:rsidRPr="00D272E6" w14:paraId="31B56F4D" w14:textId="77777777" w:rsidTr="00991583">
        <w:trPr>
          <w:cantSplit/>
          <w:tblHeader/>
        </w:trPr>
        <w:tc>
          <w:tcPr>
            <w:tcW w:w="660" w:type="dxa"/>
          </w:tcPr>
          <w:p w14:paraId="222667AF" w14:textId="77777777" w:rsidR="00200A70" w:rsidRPr="00D272E6" w:rsidRDefault="00200A70" w:rsidP="00991583">
            <w:pPr>
              <w:rPr>
                <w:rFonts w:ascii="Arial" w:hAnsi="Arial" w:cs="Arial"/>
                <w:sz w:val="16"/>
                <w:szCs w:val="16"/>
              </w:rPr>
            </w:pPr>
            <w:r w:rsidRPr="00D272E6">
              <w:rPr>
                <w:rFonts w:ascii="Arial" w:hAnsi="Arial" w:cs="Arial"/>
                <w:sz w:val="16"/>
                <w:szCs w:val="16"/>
              </w:rPr>
              <w:t>CF4</w:t>
            </w:r>
          </w:p>
        </w:tc>
        <w:tc>
          <w:tcPr>
            <w:tcW w:w="978" w:type="dxa"/>
          </w:tcPr>
          <w:p w14:paraId="36645953" w14:textId="77777777" w:rsidR="00200A70" w:rsidRPr="00D272E6" w:rsidRDefault="00200A70" w:rsidP="00991583">
            <w:pPr>
              <w:jc w:val="right"/>
              <w:rPr>
                <w:rFonts w:ascii="Arial" w:hAnsi="Arial" w:cs="Arial"/>
                <w:sz w:val="16"/>
                <w:szCs w:val="16"/>
              </w:rPr>
            </w:pPr>
            <w:r w:rsidRPr="00D272E6">
              <w:rPr>
                <w:rFonts w:ascii="Arial" w:hAnsi="Arial" w:cs="Arial"/>
                <w:sz w:val="16"/>
                <w:szCs w:val="16"/>
              </w:rPr>
              <w:t>99.6</w:t>
            </w:r>
          </w:p>
        </w:tc>
        <w:tc>
          <w:tcPr>
            <w:tcW w:w="4950" w:type="dxa"/>
          </w:tcPr>
          <w:p w14:paraId="42C39A32" w14:textId="77777777" w:rsidR="00200A70" w:rsidRPr="00D272E6" w:rsidRDefault="00200A70" w:rsidP="00991583">
            <w:pPr>
              <w:rPr>
                <w:rFonts w:ascii="Arial" w:hAnsi="Arial" w:cs="Arial"/>
                <w:sz w:val="16"/>
                <w:szCs w:val="16"/>
              </w:rPr>
            </w:pPr>
            <w:r w:rsidRPr="00D272E6">
              <w:rPr>
                <w:rFonts w:ascii="Arial" w:hAnsi="Arial" w:cs="Arial"/>
                <w:sz w:val="16"/>
                <w:szCs w:val="16"/>
              </w:rPr>
              <w:t xml:space="preserve">Net Cash Flows, </w:t>
            </w:r>
            <w:proofErr w:type="gramStart"/>
            <w:r w:rsidRPr="00D272E6">
              <w:rPr>
                <w:rFonts w:ascii="Arial" w:hAnsi="Arial" w:cs="Arial"/>
                <w:sz w:val="16"/>
                <w:szCs w:val="16"/>
              </w:rPr>
              <w:t>Operating</w:t>
            </w:r>
            <w:proofErr w:type="gramEnd"/>
            <w:r w:rsidRPr="00D272E6">
              <w:rPr>
                <w:rFonts w:ascii="Arial" w:hAnsi="Arial" w:cs="Arial"/>
                <w:sz w:val="16"/>
                <w:szCs w:val="16"/>
              </w:rPr>
              <w:t xml:space="preserve"> = Net Cash Flows, Operating, Continuing + Net Cash Flows, Operating, Discontinued</w:t>
            </w:r>
          </w:p>
        </w:tc>
        <w:tc>
          <w:tcPr>
            <w:tcW w:w="2340" w:type="dxa"/>
          </w:tcPr>
          <w:p w14:paraId="64FF5038" w14:textId="77777777" w:rsidR="00200A70" w:rsidRPr="00D272E6" w:rsidRDefault="00200A70" w:rsidP="00991583">
            <w:pPr>
              <w:rPr>
                <w:rFonts w:ascii="Arial" w:hAnsi="Arial" w:cs="Arial"/>
                <w:sz w:val="16"/>
                <w:szCs w:val="16"/>
              </w:rPr>
            </w:pPr>
          </w:p>
        </w:tc>
      </w:tr>
      <w:tr w:rsidR="00200A70" w:rsidRPr="00D272E6" w14:paraId="1B215F2A" w14:textId="77777777" w:rsidTr="00991583">
        <w:trPr>
          <w:cantSplit/>
          <w:tblHeader/>
        </w:trPr>
        <w:tc>
          <w:tcPr>
            <w:tcW w:w="660" w:type="dxa"/>
          </w:tcPr>
          <w:p w14:paraId="187BB996" w14:textId="77777777" w:rsidR="00200A70" w:rsidRPr="00D272E6" w:rsidRDefault="00200A70" w:rsidP="00991583">
            <w:pPr>
              <w:rPr>
                <w:rFonts w:ascii="Arial" w:hAnsi="Arial" w:cs="Arial"/>
                <w:sz w:val="16"/>
                <w:szCs w:val="16"/>
              </w:rPr>
            </w:pPr>
            <w:r w:rsidRPr="00D272E6">
              <w:rPr>
                <w:rFonts w:ascii="Arial" w:hAnsi="Arial" w:cs="Arial"/>
                <w:sz w:val="16"/>
                <w:szCs w:val="16"/>
              </w:rPr>
              <w:t>CF5</w:t>
            </w:r>
          </w:p>
        </w:tc>
        <w:tc>
          <w:tcPr>
            <w:tcW w:w="978" w:type="dxa"/>
          </w:tcPr>
          <w:p w14:paraId="5D8B7673" w14:textId="77777777" w:rsidR="00200A70" w:rsidRPr="00D272E6" w:rsidRDefault="00200A70" w:rsidP="00991583">
            <w:pPr>
              <w:jc w:val="right"/>
              <w:rPr>
                <w:rFonts w:ascii="Arial" w:hAnsi="Arial" w:cs="Arial"/>
                <w:sz w:val="16"/>
                <w:szCs w:val="16"/>
              </w:rPr>
            </w:pPr>
            <w:r w:rsidRPr="00D272E6">
              <w:rPr>
                <w:rFonts w:ascii="Arial" w:hAnsi="Arial" w:cs="Arial"/>
                <w:sz w:val="16"/>
                <w:szCs w:val="16"/>
              </w:rPr>
              <w:t>99.9</w:t>
            </w:r>
          </w:p>
        </w:tc>
        <w:tc>
          <w:tcPr>
            <w:tcW w:w="4950" w:type="dxa"/>
          </w:tcPr>
          <w:p w14:paraId="4A4BF424" w14:textId="77777777" w:rsidR="00200A70" w:rsidRPr="00D272E6" w:rsidRDefault="00200A70" w:rsidP="00991583">
            <w:pPr>
              <w:rPr>
                <w:rFonts w:ascii="Arial" w:hAnsi="Arial" w:cs="Arial"/>
                <w:sz w:val="16"/>
                <w:szCs w:val="16"/>
              </w:rPr>
            </w:pPr>
            <w:r w:rsidRPr="00D272E6">
              <w:rPr>
                <w:rFonts w:ascii="Arial" w:hAnsi="Arial" w:cs="Arial"/>
                <w:sz w:val="16"/>
                <w:szCs w:val="16"/>
              </w:rPr>
              <w:t xml:space="preserve">Net Cash Flows, Investing = Net Cash Flows, Investing, </w:t>
            </w:r>
            <w:proofErr w:type="gramStart"/>
            <w:r w:rsidRPr="00D272E6">
              <w:rPr>
                <w:rFonts w:ascii="Arial" w:hAnsi="Arial" w:cs="Arial"/>
                <w:sz w:val="16"/>
                <w:szCs w:val="16"/>
              </w:rPr>
              <w:t>Continuing</w:t>
            </w:r>
            <w:proofErr w:type="gramEnd"/>
            <w:r w:rsidRPr="00D272E6">
              <w:rPr>
                <w:rFonts w:ascii="Arial" w:hAnsi="Arial" w:cs="Arial"/>
                <w:sz w:val="16"/>
                <w:szCs w:val="16"/>
              </w:rPr>
              <w:t xml:space="preserve"> + Net Cash Flows, Investing, Discontinued</w:t>
            </w:r>
          </w:p>
        </w:tc>
        <w:tc>
          <w:tcPr>
            <w:tcW w:w="2340" w:type="dxa"/>
          </w:tcPr>
          <w:p w14:paraId="5EE1E52A" w14:textId="77777777" w:rsidR="00200A70" w:rsidRPr="00D272E6" w:rsidRDefault="00200A70" w:rsidP="00991583">
            <w:pPr>
              <w:rPr>
                <w:rFonts w:ascii="Arial" w:hAnsi="Arial" w:cs="Arial"/>
                <w:sz w:val="16"/>
                <w:szCs w:val="16"/>
              </w:rPr>
            </w:pPr>
          </w:p>
        </w:tc>
      </w:tr>
      <w:tr w:rsidR="00200A70" w:rsidRPr="00D272E6" w14:paraId="0CC6A5D5" w14:textId="77777777" w:rsidTr="00991583">
        <w:trPr>
          <w:cantSplit/>
          <w:tblHeader/>
        </w:trPr>
        <w:tc>
          <w:tcPr>
            <w:tcW w:w="660" w:type="dxa"/>
          </w:tcPr>
          <w:p w14:paraId="6A4C9F1A" w14:textId="77777777" w:rsidR="00200A70" w:rsidRPr="00D272E6" w:rsidRDefault="00200A70" w:rsidP="00991583">
            <w:pPr>
              <w:rPr>
                <w:rFonts w:ascii="Arial" w:hAnsi="Arial" w:cs="Arial"/>
                <w:sz w:val="16"/>
                <w:szCs w:val="16"/>
              </w:rPr>
            </w:pPr>
            <w:r w:rsidRPr="00D272E6">
              <w:rPr>
                <w:rFonts w:ascii="Arial" w:hAnsi="Arial" w:cs="Arial"/>
                <w:sz w:val="16"/>
                <w:szCs w:val="16"/>
              </w:rPr>
              <w:t>CF6</w:t>
            </w:r>
          </w:p>
        </w:tc>
        <w:tc>
          <w:tcPr>
            <w:tcW w:w="978" w:type="dxa"/>
          </w:tcPr>
          <w:p w14:paraId="1880A847" w14:textId="77777777" w:rsidR="00200A70" w:rsidRPr="00D272E6" w:rsidRDefault="00200A70" w:rsidP="00991583">
            <w:pPr>
              <w:jc w:val="right"/>
              <w:rPr>
                <w:rFonts w:ascii="Arial" w:hAnsi="Arial" w:cs="Arial"/>
                <w:sz w:val="16"/>
                <w:szCs w:val="16"/>
              </w:rPr>
            </w:pPr>
            <w:r w:rsidRPr="00D272E6">
              <w:rPr>
                <w:rFonts w:ascii="Arial" w:hAnsi="Arial" w:cs="Arial"/>
                <w:sz w:val="16"/>
                <w:szCs w:val="16"/>
              </w:rPr>
              <w:t>99.9</w:t>
            </w:r>
          </w:p>
        </w:tc>
        <w:tc>
          <w:tcPr>
            <w:tcW w:w="4950" w:type="dxa"/>
          </w:tcPr>
          <w:p w14:paraId="1AC45AA0" w14:textId="77777777" w:rsidR="00200A70" w:rsidRPr="00D272E6" w:rsidRDefault="00200A70" w:rsidP="00991583">
            <w:pPr>
              <w:rPr>
                <w:rFonts w:ascii="Arial" w:hAnsi="Arial" w:cs="Arial"/>
                <w:sz w:val="16"/>
                <w:szCs w:val="16"/>
              </w:rPr>
            </w:pPr>
            <w:r w:rsidRPr="00D272E6">
              <w:rPr>
                <w:rFonts w:ascii="Arial" w:hAnsi="Arial" w:cs="Arial"/>
                <w:sz w:val="16"/>
                <w:szCs w:val="16"/>
              </w:rPr>
              <w:t xml:space="preserve">Net Cash Flows, Financing = Net Cash Flows, Financing, </w:t>
            </w:r>
            <w:proofErr w:type="gramStart"/>
            <w:r w:rsidRPr="00D272E6">
              <w:rPr>
                <w:rFonts w:ascii="Arial" w:hAnsi="Arial" w:cs="Arial"/>
                <w:sz w:val="16"/>
                <w:szCs w:val="16"/>
              </w:rPr>
              <w:t>Continuing</w:t>
            </w:r>
            <w:proofErr w:type="gramEnd"/>
            <w:r w:rsidRPr="00D272E6">
              <w:rPr>
                <w:rFonts w:ascii="Arial" w:hAnsi="Arial" w:cs="Arial"/>
                <w:sz w:val="16"/>
                <w:szCs w:val="16"/>
              </w:rPr>
              <w:t xml:space="preserve"> + Net Cash Flows, Financing, Discontinued</w:t>
            </w:r>
          </w:p>
        </w:tc>
        <w:tc>
          <w:tcPr>
            <w:tcW w:w="2340" w:type="dxa"/>
          </w:tcPr>
          <w:p w14:paraId="79D573C1" w14:textId="77777777" w:rsidR="00200A70" w:rsidRPr="00D272E6" w:rsidRDefault="00200A70" w:rsidP="00991583">
            <w:pPr>
              <w:rPr>
                <w:rFonts w:ascii="Arial" w:hAnsi="Arial" w:cs="Arial"/>
                <w:sz w:val="16"/>
                <w:szCs w:val="16"/>
              </w:rPr>
            </w:pPr>
          </w:p>
        </w:tc>
      </w:tr>
    </w:tbl>
    <w:p w14:paraId="3BD49374" w14:textId="77777777" w:rsidR="00200A70" w:rsidRPr="00744B19" w:rsidRDefault="00200A70" w:rsidP="002C62B9">
      <w:pPr>
        <w:pStyle w:val="BodyText"/>
        <w:ind w:left="504"/>
        <w:rPr>
          <w:lang w:val="en-GB"/>
        </w:rPr>
      </w:pPr>
      <w:r>
        <w:rPr>
          <w:highlight w:val="lightGray"/>
          <w:lang w:val="en-GB"/>
        </w:rPr>
        <w:t>HINT</w:t>
      </w:r>
      <w:r w:rsidRPr="00A22A83">
        <w:rPr>
          <w:highlight w:val="lightGray"/>
          <w:lang w:val="en-GB"/>
        </w:rPr>
        <w:t xml:space="preserve">: </w:t>
      </w:r>
      <w:r>
        <w:rPr>
          <w:highlight w:val="lightGray"/>
          <w:lang w:val="en-GB"/>
        </w:rPr>
        <w:t>You don’t want to turn discovering the fundamental information into a guessing game.  You want to make it safe for software applications to gather information.  If software cannot sort out this fundamental information, it is unlikely that software will be able to sort out the details.  Also, these fundamental concepts are just that, fundamental.  There are more of these sorts of relations.  These relations are simply a starting point.</w:t>
      </w:r>
    </w:p>
    <w:p w14:paraId="65299005" w14:textId="77777777" w:rsidR="00200A70" w:rsidRPr="005E2765" w:rsidRDefault="00200A70" w:rsidP="002C62B9">
      <w:pPr>
        <w:pStyle w:val="BodyText"/>
      </w:pPr>
    </w:p>
    <w:p w14:paraId="06870994" w14:textId="77777777" w:rsidR="00200A70" w:rsidRPr="005E2765" w:rsidRDefault="00200A70" w:rsidP="002C62B9">
      <w:pPr>
        <w:pStyle w:val="BodyText"/>
      </w:pPr>
    </w:p>
    <w:p w14:paraId="05872C9D" w14:textId="77777777" w:rsidR="00200A70" w:rsidRDefault="00200A70" w:rsidP="00681639">
      <w:pPr>
        <w:pStyle w:val="Heading2"/>
      </w:pPr>
      <w:bookmarkStart w:id="17" w:name="_Toc456627609"/>
      <w:bookmarkStart w:id="18" w:name="_Toc456627595"/>
      <w:r>
        <w:t>Recognize that every financial report has one reporting style and the different economic entities reporting may use different reporting styles</w:t>
      </w:r>
      <w:bookmarkEnd w:id="17"/>
    </w:p>
    <w:p w14:paraId="2DC73F34" w14:textId="77777777" w:rsidR="00200A70" w:rsidRDefault="00200A70" w:rsidP="00681639">
      <w:pPr>
        <w:pStyle w:val="BodyText"/>
      </w:pPr>
      <w:r>
        <w:t>A report frame</w:t>
      </w:r>
      <w:r>
        <w:rPr>
          <w:rStyle w:val="FootnoteReference"/>
        </w:rPr>
        <w:footnoteReference w:id="17"/>
      </w:r>
      <w:r>
        <w:t xml:space="preserve"> or reporting style is simply the notion that every financial report has a high-level pattern of fundamental accounting concept relations.  If you recognize what that pattern is, the reporting style information can be leveraged.</w:t>
      </w:r>
    </w:p>
    <w:p w14:paraId="4FD08242" w14:textId="77777777" w:rsidR="00200A70" w:rsidRPr="00B60E49" w:rsidRDefault="00200A70" w:rsidP="00681639">
      <w:pPr>
        <w:pStyle w:val="BodyText"/>
      </w:pPr>
      <w:r w:rsidRPr="00B60E49">
        <w:t xml:space="preserve">The financial reports of </w:t>
      </w:r>
      <w:r>
        <w:t>economic</w:t>
      </w:r>
      <w:r w:rsidRPr="00B60E49">
        <w:t xml:space="preserve"> entities can be grouped into high level patterns of variability</w:t>
      </w:r>
      <w:r>
        <w:rPr>
          <w:rStyle w:val="FootnoteReference"/>
        </w:rPr>
        <w:footnoteReference w:id="18"/>
      </w:r>
      <w:r w:rsidRPr="00B60E49">
        <w:t xml:space="preserve">.  Comprehensive </w:t>
      </w:r>
      <w:r>
        <w:t>analysis</w:t>
      </w:r>
      <w:r w:rsidRPr="00B60E49">
        <w:t xml:space="preserve"> of all </w:t>
      </w:r>
      <w:r>
        <w:t>XBRL-based public company financial filing</w:t>
      </w:r>
      <w:r w:rsidRPr="00B60E49">
        <w:t>s at this very high level revealed a very limited amount of variability most of which occurs on the income statement.  This variability is not random</w:t>
      </w:r>
      <w:r>
        <w:t>, patterns exist</w:t>
      </w:r>
      <w:r w:rsidRPr="00B60E49">
        <w:t xml:space="preserve">.  </w:t>
      </w:r>
      <w:r w:rsidRPr="00B60E49">
        <w:lastRenderedPageBreak/>
        <w:t>The following is a summary of and a complete</w:t>
      </w:r>
      <w:r>
        <w:t xml:space="preserve"> inventory of this variability </w:t>
      </w:r>
      <w:r w:rsidRPr="00B60E49">
        <w:t>at this high-level of a financial report:</w:t>
      </w:r>
    </w:p>
    <w:p w14:paraId="0D220C0D" w14:textId="77777777" w:rsidR="00200A70" w:rsidRPr="00406083" w:rsidRDefault="00200A70" w:rsidP="00200A70">
      <w:pPr>
        <w:pStyle w:val="BodyText"/>
        <w:numPr>
          <w:ilvl w:val="0"/>
          <w:numId w:val="2"/>
        </w:numPr>
        <w:spacing w:before="0" w:after="0"/>
      </w:pPr>
      <w:r w:rsidRPr="00406083">
        <w:t>Entities report using some accounting industry or activity</w:t>
      </w:r>
    </w:p>
    <w:p w14:paraId="6E34FBAD" w14:textId="77777777" w:rsidR="00200A70" w:rsidRPr="00406083" w:rsidRDefault="00200A70" w:rsidP="00200A70">
      <w:pPr>
        <w:pStyle w:val="BodyText"/>
        <w:numPr>
          <w:ilvl w:val="1"/>
          <w:numId w:val="2"/>
        </w:numPr>
        <w:spacing w:before="0" w:after="0"/>
      </w:pPr>
      <w:r w:rsidRPr="00406083">
        <w:t>Commercial and industrial (standard approach)</w:t>
      </w:r>
    </w:p>
    <w:p w14:paraId="01A81B74" w14:textId="77777777" w:rsidR="00200A70" w:rsidRPr="00406083" w:rsidRDefault="00200A70" w:rsidP="00200A70">
      <w:pPr>
        <w:pStyle w:val="BodyText"/>
        <w:numPr>
          <w:ilvl w:val="1"/>
          <w:numId w:val="2"/>
        </w:numPr>
        <w:spacing w:before="0" w:after="0"/>
      </w:pPr>
      <w:r w:rsidRPr="00406083">
        <w:t>Interest based revenues</w:t>
      </w:r>
    </w:p>
    <w:p w14:paraId="2931F181" w14:textId="77777777" w:rsidR="00200A70" w:rsidRPr="00406083" w:rsidRDefault="00200A70" w:rsidP="00200A70">
      <w:pPr>
        <w:pStyle w:val="BodyText"/>
        <w:numPr>
          <w:ilvl w:val="1"/>
          <w:numId w:val="2"/>
        </w:numPr>
        <w:spacing w:before="0" w:after="0"/>
      </w:pPr>
      <w:r w:rsidRPr="00406083">
        <w:t>Insurance based revenues</w:t>
      </w:r>
    </w:p>
    <w:p w14:paraId="7C0ABCD3" w14:textId="77777777" w:rsidR="00200A70" w:rsidRPr="00406083" w:rsidRDefault="00200A70" w:rsidP="00200A70">
      <w:pPr>
        <w:pStyle w:val="BodyText"/>
        <w:numPr>
          <w:ilvl w:val="1"/>
          <w:numId w:val="2"/>
        </w:numPr>
        <w:spacing w:before="0" w:after="0"/>
      </w:pPr>
      <w:r w:rsidRPr="00406083">
        <w:t>Securities based revenues</w:t>
      </w:r>
    </w:p>
    <w:p w14:paraId="42FAE3A0" w14:textId="77777777" w:rsidR="00200A70" w:rsidRPr="00406083" w:rsidRDefault="00200A70" w:rsidP="00200A70">
      <w:pPr>
        <w:pStyle w:val="BodyText"/>
        <w:numPr>
          <w:ilvl w:val="1"/>
          <w:numId w:val="2"/>
        </w:numPr>
        <w:spacing w:before="0" w:after="0"/>
      </w:pPr>
      <w:r w:rsidRPr="00406083">
        <w:t>REIT (real estate investment trust)</w:t>
      </w:r>
    </w:p>
    <w:p w14:paraId="2DFB41D3" w14:textId="77777777" w:rsidR="00200A70" w:rsidRPr="00406083" w:rsidRDefault="00200A70" w:rsidP="00200A70">
      <w:pPr>
        <w:pStyle w:val="BodyText"/>
        <w:numPr>
          <w:ilvl w:val="1"/>
          <w:numId w:val="2"/>
        </w:numPr>
        <w:spacing w:before="0" w:after="0"/>
      </w:pPr>
      <w:r>
        <w:t>Regulated u</w:t>
      </w:r>
      <w:r w:rsidRPr="00406083">
        <w:t>tility</w:t>
      </w:r>
    </w:p>
    <w:p w14:paraId="1B19072F" w14:textId="77777777" w:rsidR="00200A70" w:rsidRPr="00406083" w:rsidRDefault="00200A70" w:rsidP="00200A70">
      <w:pPr>
        <w:pStyle w:val="BodyText"/>
        <w:numPr>
          <w:ilvl w:val="0"/>
          <w:numId w:val="2"/>
        </w:numPr>
        <w:spacing w:before="0" w:after="0"/>
      </w:pPr>
      <w:r w:rsidRPr="00406083">
        <w:t>Balance sheets can be</w:t>
      </w:r>
    </w:p>
    <w:p w14:paraId="2A354D26" w14:textId="77777777" w:rsidR="00200A70" w:rsidRPr="00406083" w:rsidRDefault="00200A70" w:rsidP="00200A70">
      <w:pPr>
        <w:pStyle w:val="BodyText"/>
        <w:numPr>
          <w:ilvl w:val="1"/>
          <w:numId w:val="2"/>
        </w:numPr>
        <w:spacing w:before="0" w:after="0"/>
      </w:pPr>
      <w:r w:rsidRPr="00406083">
        <w:t xml:space="preserve">Classified </w:t>
      </w:r>
      <w:r>
        <w:t>(</w:t>
      </w:r>
      <w:r w:rsidRPr="00406083">
        <w:t>report current and noncurrent assets and liabilities</w:t>
      </w:r>
      <w:r>
        <w:t>)</w:t>
      </w:r>
    </w:p>
    <w:p w14:paraId="59DD71B0" w14:textId="77777777" w:rsidR="00200A70" w:rsidRPr="00406083" w:rsidRDefault="00200A70" w:rsidP="00200A70">
      <w:pPr>
        <w:pStyle w:val="BodyText"/>
        <w:numPr>
          <w:ilvl w:val="1"/>
          <w:numId w:val="2"/>
        </w:numPr>
        <w:spacing w:before="0" w:after="0"/>
      </w:pPr>
      <w:r w:rsidRPr="00406083">
        <w:t>Unclassified</w:t>
      </w:r>
    </w:p>
    <w:p w14:paraId="1F5F4056" w14:textId="77777777" w:rsidR="00200A70" w:rsidRDefault="00200A70" w:rsidP="00200A70">
      <w:pPr>
        <w:pStyle w:val="BodyText"/>
        <w:numPr>
          <w:ilvl w:val="1"/>
          <w:numId w:val="2"/>
        </w:numPr>
        <w:spacing w:before="0" w:after="0"/>
      </w:pPr>
      <w:r w:rsidRPr="00406083">
        <w:t xml:space="preserve">Report using </w:t>
      </w:r>
      <w:proofErr w:type="gramStart"/>
      <w:r w:rsidRPr="00406083">
        <w:t>liquidity based</w:t>
      </w:r>
      <w:proofErr w:type="gramEnd"/>
      <w:r w:rsidRPr="00406083">
        <w:t xml:space="preserve"> reporting</w:t>
      </w:r>
    </w:p>
    <w:p w14:paraId="2433DD17" w14:textId="77777777" w:rsidR="00200A70" w:rsidRPr="00406083" w:rsidRDefault="00200A70" w:rsidP="00200A70">
      <w:pPr>
        <w:pStyle w:val="BodyText"/>
        <w:numPr>
          <w:ilvl w:val="1"/>
          <w:numId w:val="2"/>
        </w:numPr>
        <w:spacing w:before="0" w:after="0"/>
      </w:pPr>
      <w:r>
        <w:t>Report capitalization (regulated public utility)</w:t>
      </w:r>
    </w:p>
    <w:p w14:paraId="74B57785" w14:textId="77777777" w:rsidR="00200A70" w:rsidRPr="00B60E49" w:rsidRDefault="00200A70" w:rsidP="00200A70">
      <w:pPr>
        <w:pStyle w:val="BodyText"/>
        <w:numPr>
          <w:ilvl w:val="0"/>
          <w:numId w:val="2"/>
        </w:numPr>
        <w:spacing w:before="0" w:after="0"/>
      </w:pPr>
      <w:r w:rsidRPr="00B60E49">
        <w:t>Income statements can be</w:t>
      </w:r>
    </w:p>
    <w:p w14:paraId="70B7240C" w14:textId="77777777" w:rsidR="00200A70" w:rsidRPr="00B60E49" w:rsidRDefault="00200A70" w:rsidP="00200A70">
      <w:pPr>
        <w:pStyle w:val="BodyText"/>
        <w:numPr>
          <w:ilvl w:val="1"/>
          <w:numId w:val="2"/>
        </w:numPr>
        <w:spacing w:before="0" w:after="0"/>
      </w:pPr>
      <w:r w:rsidRPr="00B60E49">
        <w:t>Multi-step and report gross profit</w:t>
      </w:r>
    </w:p>
    <w:p w14:paraId="3CEECE94" w14:textId="77777777" w:rsidR="00200A70" w:rsidRPr="00B60E49" w:rsidRDefault="00200A70" w:rsidP="00200A70">
      <w:pPr>
        <w:pStyle w:val="BodyText"/>
        <w:numPr>
          <w:ilvl w:val="1"/>
          <w:numId w:val="2"/>
        </w:numPr>
        <w:spacing w:before="0" w:after="0"/>
      </w:pPr>
      <w:r w:rsidRPr="00B60E49">
        <w:t>Single-step and do not report gross profit</w:t>
      </w:r>
    </w:p>
    <w:p w14:paraId="3077E519" w14:textId="77777777" w:rsidR="00200A70" w:rsidRPr="00B60E49" w:rsidRDefault="00200A70" w:rsidP="00200A70">
      <w:pPr>
        <w:pStyle w:val="BodyText"/>
        <w:numPr>
          <w:ilvl w:val="0"/>
          <w:numId w:val="2"/>
        </w:numPr>
        <w:spacing w:before="0" w:after="0"/>
      </w:pPr>
      <w:r w:rsidRPr="00B60E49">
        <w:t>Income statements can</w:t>
      </w:r>
    </w:p>
    <w:p w14:paraId="029CC80D" w14:textId="77777777" w:rsidR="00200A70" w:rsidRPr="00B60E49" w:rsidRDefault="00200A70" w:rsidP="00200A70">
      <w:pPr>
        <w:pStyle w:val="BodyText"/>
        <w:numPr>
          <w:ilvl w:val="1"/>
          <w:numId w:val="2"/>
        </w:numPr>
        <w:spacing w:before="0" w:after="0"/>
      </w:pPr>
      <w:r>
        <w:t>Explicitly r</w:t>
      </w:r>
      <w:r w:rsidRPr="00B60E49">
        <w:t>eport operating income (loss)</w:t>
      </w:r>
    </w:p>
    <w:p w14:paraId="53B357A3" w14:textId="77777777" w:rsidR="00200A70" w:rsidRPr="00B60E49" w:rsidRDefault="00200A70" w:rsidP="00200A70">
      <w:pPr>
        <w:pStyle w:val="BodyText"/>
        <w:numPr>
          <w:ilvl w:val="1"/>
          <w:numId w:val="2"/>
        </w:numPr>
        <w:spacing w:before="0" w:after="0"/>
      </w:pPr>
      <w:r w:rsidRPr="00B60E49">
        <w:t>Do not report operating income (loss)</w:t>
      </w:r>
      <w:r>
        <w:t xml:space="preserve"> explicitly</w:t>
      </w:r>
    </w:p>
    <w:p w14:paraId="2235FBE9" w14:textId="77777777" w:rsidR="00200A70" w:rsidRPr="00B60E49" w:rsidRDefault="00200A70" w:rsidP="00200A70">
      <w:pPr>
        <w:pStyle w:val="BodyText"/>
        <w:numPr>
          <w:ilvl w:val="0"/>
          <w:numId w:val="2"/>
        </w:numPr>
        <w:spacing w:before="0" w:after="0"/>
      </w:pPr>
      <w:r w:rsidRPr="00B60E49">
        <w:t>Income (loss) from equity method investments can be reported on the income statement</w:t>
      </w:r>
    </w:p>
    <w:p w14:paraId="0C0DCF26" w14:textId="77777777" w:rsidR="00200A70" w:rsidRDefault="00200A70" w:rsidP="00200A70">
      <w:pPr>
        <w:pStyle w:val="BodyText"/>
        <w:numPr>
          <w:ilvl w:val="1"/>
          <w:numId w:val="2"/>
        </w:numPr>
        <w:spacing w:before="0" w:after="0"/>
      </w:pPr>
      <w:r w:rsidRPr="00B60E49">
        <w:t>As part of revenues</w:t>
      </w:r>
    </w:p>
    <w:p w14:paraId="08D08C72" w14:textId="77777777" w:rsidR="00200A70" w:rsidRPr="00B60E49" w:rsidRDefault="00200A70" w:rsidP="00200A70">
      <w:pPr>
        <w:pStyle w:val="BodyText"/>
        <w:numPr>
          <w:ilvl w:val="1"/>
          <w:numId w:val="2"/>
        </w:numPr>
        <w:spacing w:before="0" w:after="0"/>
      </w:pPr>
      <w:r>
        <w:t>As part of cost of revenues</w:t>
      </w:r>
    </w:p>
    <w:p w14:paraId="43A8A843" w14:textId="77777777" w:rsidR="00200A70" w:rsidRPr="00B60E49" w:rsidRDefault="00200A70" w:rsidP="00200A70">
      <w:pPr>
        <w:pStyle w:val="BodyText"/>
        <w:numPr>
          <w:ilvl w:val="1"/>
          <w:numId w:val="2"/>
        </w:numPr>
        <w:spacing w:before="0" w:after="0"/>
      </w:pPr>
      <w:r w:rsidRPr="00B60E49">
        <w:t>As part of nonoperating income (loss)</w:t>
      </w:r>
    </w:p>
    <w:p w14:paraId="384BEAAE" w14:textId="77777777" w:rsidR="00200A70" w:rsidRPr="00B60E49" w:rsidRDefault="00200A70" w:rsidP="00200A70">
      <w:pPr>
        <w:pStyle w:val="BodyText"/>
        <w:numPr>
          <w:ilvl w:val="1"/>
          <w:numId w:val="2"/>
        </w:numPr>
        <w:spacing w:before="0" w:after="0"/>
      </w:pPr>
      <w:r w:rsidRPr="00B60E49">
        <w:t>Before taxes as a separate line item</w:t>
      </w:r>
    </w:p>
    <w:p w14:paraId="5376F4F8" w14:textId="77777777" w:rsidR="00200A70" w:rsidRPr="00B60E49" w:rsidRDefault="00200A70" w:rsidP="00200A70">
      <w:pPr>
        <w:pStyle w:val="BodyText"/>
        <w:numPr>
          <w:ilvl w:val="1"/>
          <w:numId w:val="2"/>
        </w:numPr>
        <w:spacing w:before="0" w:after="0"/>
      </w:pPr>
      <w:r w:rsidRPr="00B60E49">
        <w:t>Between income (loss) from continuing operations before and after taxes</w:t>
      </w:r>
    </w:p>
    <w:p w14:paraId="15A0AD2E" w14:textId="77777777" w:rsidR="00200A70" w:rsidRPr="00B60E49" w:rsidRDefault="00200A70" w:rsidP="00200A70">
      <w:pPr>
        <w:pStyle w:val="BodyText"/>
        <w:numPr>
          <w:ilvl w:val="0"/>
          <w:numId w:val="2"/>
        </w:numPr>
        <w:spacing w:before="0" w:after="0"/>
      </w:pPr>
      <w:r w:rsidRPr="00B60E49">
        <w:t>Cash flow statements can report net cash flow as</w:t>
      </w:r>
    </w:p>
    <w:p w14:paraId="50208471" w14:textId="77777777" w:rsidR="00200A70" w:rsidRPr="00B60E49" w:rsidRDefault="00200A70" w:rsidP="00200A70">
      <w:pPr>
        <w:pStyle w:val="BodyText"/>
        <w:numPr>
          <w:ilvl w:val="1"/>
          <w:numId w:val="2"/>
        </w:numPr>
        <w:spacing w:before="0" w:after="0"/>
      </w:pPr>
      <w:r w:rsidRPr="00B60E49">
        <w:t>Including exchange gains (losses)</w:t>
      </w:r>
    </w:p>
    <w:p w14:paraId="0A85CEE0" w14:textId="77777777" w:rsidR="00200A70" w:rsidRDefault="00200A70" w:rsidP="00200A70">
      <w:pPr>
        <w:pStyle w:val="BodyText"/>
        <w:numPr>
          <w:ilvl w:val="1"/>
          <w:numId w:val="2"/>
        </w:numPr>
        <w:spacing w:before="0" w:after="0"/>
      </w:pPr>
      <w:r w:rsidRPr="00B60E49">
        <w:t>Not including exchange gains (losses)</w:t>
      </w:r>
    </w:p>
    <w:p w14:paraId="4A5E2976" w14:textId="77777777" w:rsidR="00200A70" w:rsidRDefault="00200A70" w:rsidP="00200A70">
      <w:pPr>
        <w:pStyle w:val="BodyText"/>
        <w:numPr>
          <w:ilvl w:val="0"/>
          <w:numId w:val="2"/>
        </w:numPr>
        <w:spacing w:before="0" w:after="0"/>
      </w:pPr>
      <w:r>
        <w:t>Statement of comprehensive income can start with the net income (loss) concept</w:t>
      </w:r>
    </w:p>
    <w:p w14:paraId="196975A7" w14:textId="77777777" w:rsidR="00200A70" w:rsidRDefault="00200A70" w:rsidP="00200A70">
      <w:pPr>
        <w:pStyle w:val="BodyText"/>
        <w:numPr>
          <w:ilvl w:val="1"/>
          <w:numId w:val="2"/>
        </w:numPr>
        <w:spacing w:before="0" w:after="0"/>
      </w:pPr>
      <w:r>
        <w:t>Net income (loss)</w:t>
      </w:r>
    </w:p>
    <w:p w14:paraId="7DD33CB7" w14:textId="77777777" w:rsidR="00200A70" w:rsidRDefault="00200A70" w:rsidP="00200A70">
      <w:pPr>
        <w:pStyle w:val="BodyText"/>
        <w:numPr>
          <w:ilvl w:val="1"/>
          <w:numId w:val="2"/>
        </w:numPr>
        <w:spacing w:before="0" w:after="0"/>
      </w:pPr>
      <w:r>
        <w:t>Net income (loss) attributable to parent</w:t>
      </w:r>
    </w:p>
    <w:p w14:paraId="2BCD2966" w14:textId="77777777" w:rsidR="00200A70" w:rsidRPr="00B60E49" w:rsidRDefault="00200A70" w:rsidP="00200A70">
      <w:pPr>
        <w:pStyle w:val="BodyText"/>
        <w:numPr>
          <w:ilvl w:val="1"/>
          <w:numId w:val="2"/>
        </w:numPr>
        <w:spacing w:before="0" w:after="0"/>
      </w:pPr>
      <w:r>
        <w:t>Net income (loss) available to common stockholders</w:t>
      </w:r>
    </w:p>
    <w:p w14:paraId="78B9FDB3" w14:textId="77777777" w:rsidR="00200A70" w:rsidRPr="00406083" w:rsidRDefault="00200A70" w:rsidP="00681639">
      <w:pPr>
        <w:pStyle w:val="BodyText"/>
      </w:pPr>
      <w:r w:rsidRPr="00406083">
        <w:t xml:space="preserve">This is a comprehensive and complete inventory of the </w:t>
      </w:r>
      <w:proofErr w:type="gramStart"/>
      <w:r w:rsidRPr="00406083">
        <w:t>high level</w:t>
      </w:r>
      <w:proofErr w:type="gramEnd"/>
      <w:r w:rsidRPr="00406083">
        <w:t xml:space="preserve"> variability in public company financial filings.  This information is not a statistical analysis or speculation.  This is observable empirical evidence provided by the XBRL-based public company financial filings submitted to the SEC. </w:t>
      </w:r>
    </w:p>
    <w:p w14:paraId="1246BF74" w14:textId="77777777" w:rsidR="00200A70" w:rsidRPr="00406083" w:rsidRDefault="00200A70" w:rsidP="00681639">
      <w:pPr>
        <w:pStyle w:val="BodyText"/>
      </w:pPr>
      <w:r w:rsidRPr="00406083">
        <w:t xml:space="preserve">A coding scheme was developed to articulate this information in both human readable and </w:t>
      </w:r>
      <w:proofErr w:type="gramStart"/>
      <w:r w:rsidRPr="00406083">
        <w:t>machine readable</w:t>
      </w:r>
      <w:proofErr w:type="gramEnd"/>
      <w:r w:rsidRPr="00406083">
        <w:t xml:space="preserve"> form.  Below is a brief description of that coding scheme.  Each code has </w:t>
      </w:r>
      <w:r>
        <w:t>six</w:t>
      </w:r>
      <w:r w:rsidRPr="00406083">
        <w:t xml:space="preserve"> parts</w:t>
      </w:r>
      <w:proofErr w:type="gramStart"/>
      <w:r w:rsidRPr="00406083">
        <w:t>:  “</w:t>
      </w:r>
      <w:proofErr w:type="gramEnd"/>
      <w:r w:rsidRPr="00406083">
        <w:t xml:space="preserve">COMID-BSC-CF1-ISS-IEMIB-OILY”. </w:t>
      </w:r>
      <w:r>
        <w:t xml:space="preserve">One additional part is sometimes added to the six that always exist.  </w:t>
      </w:r>
      <w:r w:rsidRPr="00406083">
        <w:t>This explains each part and the codes used for each part and shows the number of entities which have that characteristic (note that the totals add up to 6,943 and not 6,</w:t>
      </w:r>
      <w:r>
        <w:t>6</w:t>
      </w:r>
      <w:r w:rsidRPr="00406083">
        <w:t>47; this relates to an issue with CIK numbers):</w:t>
      </w:r>
    </w:p>
    <w:p w14:paraId="3F2B8FB2" w14:textId="77777777" w:rsidR="00200A70" w:rsidRPr="00406083" w:rsidRDefault="00200A70" w:rsidP="00200A70">
      <w:pPr>
        <w:pStyle w:val="BodyText"/>
        <w:numPr>
          <w:ilvl w:val="0"/>
          <w:numId w:val="2"/>
        </w:numPr>
        <w:spacing w:before="0" w:after="0"/>
        <w:rPr>
          <w:b/>
        </w:rPr>
      </w:pPr>
      <w:r w:rsidRPr="00406083">
        <w:rPr>
          <w:b/>
        </w:rPr>
        <w:t>Part 1: Industry codes: (Total 6,943)</w:t>
      </w:r>
    </w:p>
    <w:p w14:paraId="05346F3E" w14:textId="77777777" w:rsidR="00200A70" w:rsidRPr="00406083" w:rsidRDefault="00200A70" w:rsidP="00200A70">
      <w:pPr>
        <w:pStyle w:val="BodyText"/>
        <w:numPr>
          <w:ilvl w:val="1"/>
          <w:numId w:val="2"/>
        </w:numPr>
        <w:spacing w:before="0" w:after="0"/>
      </w:pPr>
      <w:r w:rsidRPr="00406083">
        <w:t>COMID=Commercial and Industrial (5,985)</w:t>
      </w:r>
    </w:p>
    <w:p w14:paraId="479C4D41" w14:textId="77777777" w:rsidR="00200A70" w:rsidRPr="00406083" w:rsidRDefault="00200A70" w:rsidP="00200A70">
      <w:pPr>
        <w:pStyle w:val="BodyText"/>
        <w:numPr>
          <w:ilvl w:val="1"/>
          <w:numId w:val="2"/>
        </w:numPr>
        <w:spacing w:before="0" w:after="0"/>
      </w:pPr>
      <w:r w:rsidRPr="00406083">
        <w:t>INTBX=Interest based revenues (632)</w:t>
      </w:r>
    </w:p>
    <w:p w14:paraId="524C8523" w14:textId="77777777" w:rsidR="00200A70" w:rsidRPr="00406083" w:rsidRDefault="00200A70" w:rsidP="00200A70">
      <w:pPr>
        <w:pStyle w:val="BodyText"/>
        <w:numPr>
          <w:ilvl w:val="1"/>
          <w:numId w:val="2"/>
        </w:numPr>
        <w:spacing w:before="0" w:after="0"/>
      </w:pPr>
      <w:r w:rsidRPr="00406083">
        <w:lastRenderedPageBreak/>
        <w:t>INSBX=Insurance based revenues (50)</w:t>
      </w:r>
    </w:p>
    <w:p w14:paraId="5C9C7757" w14:textId="77777777" w:rsidR="00200A70" w:rsidRPr="00406083" w:rsidRDefault="00200A70" w:rsidP="00200A70">
      <w:pPr>
        <w:pStyle w:val="BodyText"/>
        <w:numPr>
          <w:ilvl w:val="1"/>
          <w:numId w:val="2"/>
        </w:numPr>
        <w:spacing w:before="0" w:after="0"/>
      </w:pPr>
      <w:r w:rsidRPr="00406083">
        <w:t>SECBX=Securities based revenues (93)</w:t>
      </w:r>
    </w:p>
    <w:p w14:paraId="799B2675" w14:textId="77777777" w:rsidR="00200A70" w:rsidRPr="00406083" w:rsidRDefault="00200A70" w:rsidP="00200A70">
      <w:pPr>
        <w:pStyle w:val="BodyText"/>
        <w:numPr>
          <w:ilvl w:val="1"/>
          <w:numId w:val="2"/>
        </w:numPr>
        <w:spacing w:before="0" w:after="0"/>
      </w:pPr>
      <w:r w:rsidRPr="00406083">
        <w:t>REITX=Real estate investment trust (158)</w:t>
      </w:r>
    </w:p>
    <w:p w14:paraId="501F5F3F" w14:textId="77777777" w:rsidR="00200A70" w:rsidRPr="00406083" w:rsidRDefault="00200A70" w:rsidP="00200A70">
      <w:pPr>
        <w:pStyle w:val="BodyText"/>
        <w:numPr>
          <w:ilvl w:val="1"/>
          <w:numId w:val="2"/>
        </w:numPr>
        <w:spacing w:before="0" w:after="0"/>
      </w:pPr>
      <w:r w:rsidRPr="00406083">
        <w:t>UTILX=Utility (25)</w:t>
      </w:r>
    </w:p>
    <w:p w14:paraId="5E95E0C2" w14:textId="77777777" w:rsidR="00200A70" w:rsidRPr="00406083" w:rsidRDefault="00200A70" w:rsidP="00200A70">
      <w:pPr>
        <w:pStyle w:val="BodyText"/>
        <w:numPr>
          <w:ilvl w:val="0"/>
          <w:numId w:val="2"/>
        </w:numPr>
        <w:spacing w:before="0" w:after="0"/>
        <w:rPr>
          <w:b/>
        </w:rPr>
      </w:pPr>
      <w:r w:rsidRPr="00406083">
        <w:rPr>
          <w:b/>
        </w:rPr>
        <w:t>Part 2: Balance sheet form codes: (Total 6,943)</w:t>
      </w:r>
    </w:p>
    <w:p w14:paraId="36DC4965" w14:textId="77777777" w:rsidR="00200A70" w:rsidRPr="00406083" w:rsidRDefault="00200A70" w:rsidP="00200A70">
      <w:pPr>
        <w:pStyle w:val="BodyText"/>
        <w:numPr>
          <w:ilvl w:val="1"/>
          <w:numId w:val="2"/>
        </w:numPr>
        <w:spacing w:before="0" w:after="0"/>
      </w:pPr>
      <w:r w:rsidRPr="00406083">
        <w:t>BSC=Classified balance sheet (5,527)</w:t>
      </w:r>
    </w:p>
    <w:p w14:paraId="3BF87624" w14:textId="77777777" w:rsidR="00200A70" w:rsidRPr="00406083" w:rsidRDefault="00200A70" w:rsidP="00200A70">
      <w:pPr>
        <w:pStyle w:val="BodyText"/>
        <w:numPr>
          <w:ilvl w:val="1"/>
          <w:numId w:val="2"/>
        </w:numPr>
        <w:spacing w:before="0" w:after="0"/>
      </w:pPr>
      <w:r w:rsidRPr="00406083">
        <w:t>BSU=Unclassified balance sheet (1,412)</w:t>
      </w:r>
    </w:p>
    <w:p w14:paraId="45D923BC" w14:textId="77777777" w:rsidR="00200A70" w:rsidRPr="00406083" w:rsidRDefault="00200A70" w:rsidP="00200A70">
      <w:pPr>
        <w:pStyle w:val="BodyText"/>
        <w:numPr>
          <w:ilvl w:val="1"/>
          <w:numId w:val="2"/>
        </w:numPr>
        <w:spacing w:before="0" w:after="0"/>
      </w:pPr>
      <w:r w:rsidRPr="00406083">
        <w:t>BSL=Liquidity based balance sheet (4)</w:t>
      </w:r>
    </w:p>
    <w:p w14:paraId="363CC946" w14:textId="77777777" w:rsidR="00200A70" w:rsidRPr="00406083" w:rsidRDefault="00200A70" w:rsidP="00200A70">
      <w:pPr>
        <w:pStyle w:val="BodyText"/>
        <w:numPr>
          <w:ilvl w:val="0"/>
          <w:numId w:val="2"/>
        </w:numPr>
        <w:spacing w:before="0" w:after="0"/>
        <w:rPr>
          <w:b/>
        </w:rPr>
      </w:pPr>
      <w:r w:rsidRPr="00406083">
        <w:rPr>
          <w:b/>
        </w:rPr>
        <w:t>Part 3: Cash flow statement exchange gains codes: (Total 6,943)</w:t>
      </w:r>
    </w:p>
    <w:p w14:paraId="5502646F" w14:textId="77777777" w:rsidR="00200A70" w:rsidRPr="00406083" w:rsidRDefault="00200A70" w:rsidP="00200A70">
      <w:pPr>
        <w:pStyle w:val="BodyText"/>
        <w:numPr>
          <w:ilvl w:val="1"/>
          <w:numId w:val="2"/>
        </w:numPr>
        <w:spacing w:before="0" w:after="0"/>
      </w:pPr>
      <w:r w:rsidRPr="00406083">
        <w:t>CF1=Exchange gains (losses) part of net cash flow or does not report line item (6,845)</w:t>
      </w:r>
    </w:p>
    <w:p w14:paraId="57D3E6A4" w14:textId="77777777" w:rsidR="00200A70" w:rsidRPr="00406083" w:rsidRDefault="00200A70" w:rsidP="00200A70">
      <w:pPr>
        <w:pStyle w:val="BodyText"/>
        <w:numPr>
          <w:ilvl w:val="1"/>
          <w:numId w:val="2"/>
        </w:numPr>
        <w:spacing w:before="0" w:after="0"/>
      </w:pPr>
      <w:r w:rsidRPr="00406083">
        <w:t xml:space="preserve">CF2=Exchange gains (losses) part of cash roll forward (98) </w:t>
      </w:r>
    </w:p>
    <w:p w14:paraId="77440621" w14:textId="77777777" w:rsidR="00200A70" w:rsidRPr="00406083" w:rsidRDefault="00200A70" w:rsidP="00200A70">
      <w:pPr>
        <w:pStyle w:val="BodyText"/>
        <w:numPr>
          <w:ilvl w:val="0"/>
          <w:numId w:val="2"/>
        </w:numPr>
        <w:spacing w:before="0" w:after="0"/>
        <w:rPr>
          <w:b/>
        </w:rPr>
      </w:pPr>
      <w:r w:rsidRPr="00406083">
        <w:rPr>
          <w:b/>
        </w:rPr>
        <w:t>Part 4: Income statement form codes: (Total 6,943)</w:t>
      </w:r>
    </w:p>
    <w:p w14:paraId="07AC170E" w14:textId="77777777" w:rsidR="00200A70" w:rsidRPr="00406083" w:rsidRDefault="00200A70" w:rsidP="00200A70">
      <w:pPr>
        <w:pStyle w:val="BodyText"/>
        <w:numPr>
          <w:ilvl w:val="1"/>
          <w:numId w:val="2"/>
        </w:numPr>
        <w:spacing w:before="0" w:after="0"/>
      </w:pPr>
      <w:r w:rsidRPr="00406083">
        <w:t>ISS=Single step income statement (4,255)</w:t>
      </w:r>
    </w:p>
    <w:p w14:paraId="6FFD1953" w14:textId="77777777" w:rsidR="00200A70" w:rsidRPr="00406083" w:rsidRDefault="00200A70" w:rsidP="00200A70">
      <w:pPr>
        <w:pStyle w:val="BodyText"/>
        <w:numPr>
          <w:ilvl w:val="1"/>
          <w:numId w:val="2"/>
        </w:numPr>
        <w:spacing w:before="0" w:after="0"/>
      </w:pPr>
      <w:r w:rsidRPr="00406083">
        <w:t xml:space="preserve">ISM=Multi step income statement (2,688) </w:t>
      </w:r>
    </w:p>
    <w:p w14:paraId="5BC1698E" w14:textId="77777777" w:rsidR="00200A70" w:rsidRPr="00406083" w:rsidRDefault="00200A70" w:rsidP="00200A70">
      <w:pPr>
        <w:pStyle w:val="BodyText"/>
        <w:numPr>
          <w:ilvl w:val="0"/>
          <w:numId w:val="2"/>
        </w:numPr>
        <w:spacing w:before="0" w:after="0"/>
        <w:rPr>
          <w:b/>
        </w:rPr>
      </w:pPr>
      <w:r w:rsidRPr="00406083">
        <w:rPr>
          <w:b/>
        </w:rPr>
        <w:t>Part 5: Income (loss) from equity method investments location codes: (Total 6,943)</w:t>
      </w:r>
    </w:p>
    <w:p w14:paraId="25FB55B6" w14:textId="77777777" w:rsidR="00200A70" w:rsidRPr="00406083" w:rsidRDefault="00200A70" w:rsidP="00200A70">
      <w:pPr>
        <w:pStyle w:val="BodyText"/>
        <w:numPr>
          <w:ilvl w:val="1"/>
          <w:numId w:val="2"/>
        </w:numPr>
        <w:spacing w:before="0" w:after="0"/>
      </w:pPr>
      <w:r w:rsidRPr="00406083">
        <w:t>IEMIX=Income (loss) from equity method investments not reported (5,290)</w:t>
      </w:r>
    </w:p>
    <w:p w14:paraId="3613FAE3" w14:textId="77777777" w:rsidR="00200A70" w:rsidRPr="00406083" w:rsidRDefault="00200A70" w:rsidP="00200A70">
      <w:pPr>
        <w:pStyle w:val="BodyText"/>
        <w:numPr>
          <w:ilvl w:val="1"/>
          <w:numId w:val="2"/>
        </w:numPr>
        <w:spacing w:before="0" w:after="0"/>
      </w:pPr>
      <w:r w:rsidRPr="00406083">
        <w:t>IEMIB=Income (loss) from equity method investments reported BEFORE tax (1,402)</w:t>
      </w:r>
    </w:p>
    <w:p w14:paraId="378CB327" w14:textId="77777777" w:rsidR="00200A70" w:rsidRPr="00406083" w:rsidRDefault="00200A70" w:rsidP="00200A70">
      <w:pPr>
        <w:pStyle w:val="BodyText"/>
        <w:numPr>
          <w:ilvl w:val="1"/>
          <w:numId w:val="2"/>
        </w:numPr>
        <w:spacing w:before="0" w:after="0"/>
      </w:pPr>
      <w:r w:rsidRPr="00406083">
        <w:t>IEMIN=Income (loss) from equity method investments reported within nonoperating income (loss) (122)</w:t>
      </w:r>
    </w:p>
    <w:p w14:paraId="2BC1AD18" w14:textId="77777777" w:rsidR="00200A70" w:rsidRPr="00406083" w:rsidRDefault="00200A70" w:rsidP="00200A70">
      <w:pPr>
        <w:pStyle w:val="BodyText"/>
        <w:numPr>
          <w:ilvl w:val="1"/>
          <w:numId w:val="2"/>
        </w:numPr>
        <w:spacing w:before="0" w:after="0"/>
      </w:pPr>
      <w:r w:rsidRPr="00406083">
        <w:t>IEMIR=Income (loss) from equity method investments reported within revenues (16)</w:t>
      </w:r>
    </w:p>
    <w:p w14:paraId="401A47F6" w14:textId="77777777" w:rsidR="00200A70" w:rsidRPr="00406083" w:rsidRDefault="00200A70" w:rsidP="00200A70">
      <w:pPr>
        <w:pStyle w:val="BodyText"/>
        <w:numPr>
          <w:ilvl w:val="1"/>
          <w:numId w:val="2"/>
        </w:numPr>
        <w:spacing w:before="0" w:after="0"/>
      </w:pPr>
      <w:r w:rsidRPr="00406083">
        <w:t>IEMIT=Income (loss) from equity method investments reported between income (loss) from continuing operations before and after taxes (113)</w:t>
      </w:r>
    </w:p>
    <w:p w14:paraId="4B4784D4" w14:textId="77777777" w:rsidR="00200A70" w:rsidRPr="00406083" w:rsidRDefault="00200A70" w:rsidP="00200A70">
      <w:pPr>
        <w:pStyle w:val="BodyText"/>
        <w:numPr>
          <w:ilvl w:val="0"/>
          <w:numId w:val="2"/>
        </w:numPr>
        <w:spacing w:before="0" w:after="0"/>
        <w:rPr>
          <w:b/>
        </w:rPr>
      </w:pPr>
      <w:r w:rsidRPr="00406083">
        <w:rPr>
          <w:b/>
        </w:rPr>
        <w:t>Part 6: Operating income (loss) codes: (Total 6,943)</w:t>
      </w:r>
    </w:p>
    <w:p w14:paraId="11BF9867" w14:textId="77777777" w:rsidR="00200A70" w:rsidRPr="00406083" w:rsidRDefault="00200A70" w:rsidP="00200A70">
      <w:pPr>
        <w:pStyle w:val="BodyText"/>
        <w:numPr>
          <w:ilvl w:val="1"/>
          <w:numId w:val="2"/>
        </w:numPr>
        <w:spacing w:before="0" w:after="0"/>
      </w:pPr>
      <w:r w:rsidRPr="00406083">
        <w:t xml:space="preserve">OILY=Operating income (loss) </w:t>
      </w:r>
      <w:proofErr w:type="gramStart"/>
      <w:r w:rsidRPr="00406083">
        <w:t>reported  (</w:t>
      </w:r>
      <w:proofErr w:type="gramEnd"/>
      <w:r w:rsidRPr="00406083">
        <w:t>5,120)</w:t>
      </w:r>
    </w:p>
    <w:p w14:paraId="7E4663A8" w14:textId="77777777" w:rsidR="00200A70" w:rsidRPr="00406083" w:rsidRDefault="00200A70" w:rsidP="00200A70">
      <w:pPr>
        <w:pStyle w:val="BodyText"/>
        <w:numPr>
          <w:ilvl w:val="1"/>
          <w:numId w:val="2"/>
        </w:numPr>
        <w:spacing w:before="0" w:after="0"/>
      </w:pPr>
      <w:r w:rsidRPr="00406083">
        <w:t>OILN=Operating income (loss) not reported (1,823)</w:t>
      </w:r>
    </w:p>
    <w:p w14:paraId="6D6A25BB" w14:textId="77777777" w:rsidR="00200A70" w:rsidRPr="00406083" w:rsidRDefault="00200A70" w:rsidP="00681639">
      <w:pPr>
        <w:pStyle w:val="BodyText"/>
      </w:pPr>
      <w:r w:rsidRPr="00406083">
        <w:t xml:space="preserve">While the complete set of codes and report </w:t>
      </w:r>
      <w:r>
        <w:t>styles</w:t>
      </w:r>
      <w:r w:rsidRPr="00406083">
        <w:t xml:space="preserve"> cannot be known until the process of breaking public company filings into these sets and testing each filing and set as to their conformance to the fundamental accounting concepts and relations within the set and the success of this process is verified by 100% conformance by each reporting entity to 100% of the fundamental accounting concepts and relations between those concepts within each set; this is achievable.</w:t>
      </w:r>
    </w:p>
    <w:p w14:paraId="1C3660F6" w14:textId="77777777" w:rsidR="00200A70" w:rsidRPr="00406083" w:rsidRDefault="00200A70" w:rsidP="00681639">
      <w:pPr>
        <w:pStyle w:val="BodyText"/>
      </w:pPr>
      <w:r w:rsidRPr="00406083">
        <w:t xml:space="preserve">In fact, testing shows that this objective has already been achieved for 98.7% of relations and </w:t>
      </w:r>
      <w:r>
        <w:t>81</w:t>
      </w:r>
      <w:r w:rsidRPr="00406083">
        <w:t>% of all public company financial reports submitted to the SEC using the XBRL format. Further, which reporting entities do not conform to these concepts and relations and why they do not conform is easy to observe.</w:t>
      </w:r>
    </w:p>
    <w:p w14:paraId="6D3271BD" w14:textId="77777777" w:rsidR="00200A70" w:rsidRDefault="00200A70" w:rsidP="00681639">
      <w:pPr>
        <w:pStyle w:val="BodyText"/>
      </w:pPr>
      <w:r w:rsidRPr="00406083">
        <w:t>Another possibility which exists in order to manage this process is simply to remove sets of reporting entities from scope.  For example, I have already removed entities which are funds and trusts from scope because I personally have no interest in such entities.  Also, there are five entities which I classify as “hybrids” because they report using significantly more complex reporting schemes. Basically, certain report frames can be simply removed from scope.</w:t>
      </w:r>
    </w:p>
    <w:p w14:paraId="43425E97" w14:textId="77777777" w:rsidR="00200A70" w:rsidRPr="00406083" w:rsidRDefault="00200A70" w:rsidP="00681639">
      <w:pPr>
        <w:pStyle w:val="BodyText"/>
      </w:pPr>
      <w:r>
        <w:t>Finally, report frames can be created for economic entities that have unique reporting styles specific to that economic entity.  And so, the point is that every economic entity fits into the notion of reporting styles.</w:t>
      </w:r>
    </w:p>
    <w:p w14:paraId="6433954E" w14:textId="77777777" w:rsidR="00200A70" w:rsidRDefault="00200A70" w:rsidP="002C62B9">
      <w:pPr>
        <w:pStyle w:val="Heading2"/>
      </w:pPr>
      <w:r>
        <w:lastRenderedPageBreak/>
        <w:t>Recognize and respect common financial report fragment arrangement patterns</w:t>
      </w:r>
      <w:bookmarkEnd w:id="18"/>
    </w:p>
    <w:p w14:paraId="29F3B1FF" w14:textId="77777777" w:rsidR="00200A70" w:rsidRDefault="00200A70" w:rsidP="002C62B9">
      <w:pPr>
        <w:pStyle w:val="BodyText"/>
      </w:pPr>
      <w:r>
        <w:t>A financial report can be broken down into report fragments or pieces.  I call these report fragments or pieces by the name of component.  Financial report components are related to other financial report components.  The discrete set of components which make up a financial report can have a “sequence” or “ordering” or some arrangement.  Further, groups of report components exist such as “statement”, “disclosure”, etc., and are that way are also related.</w:t>
      </w:r>
    </w:p>
    <w:p w14:paraId="05004341" w14:textId="77777777" w:rsidR="00200A70" w:rsidRDefault="00200A70" w:rsidP="002C62B9">
      <w:pPr>
        <w:pStyle w:val="BodyText"/>
      </w:pPr>
      <w:r>
        <w:t xml:space="preserve">The SEC interactive data viewer leverages these relations.  The SEC viewer also leverages the numbers provided for each network to organize the components of the report.  The SEC interactive data viewer separates Level 1 (note level) [Text </w:t>
      </w:r>
      <w:proofErr w:type="gramStart"/>
      <w:r>
        <w:t>Block]s</w:t>
      </w:r>
      <w:proofErr w:type="gramEnd"/>
      <w:r>
        <w:t>, Level 2 accounting policy [Text Block]s, Level 3 (disclosure level) [Text Block]s, and Level 4 detailed disclosures. You can see this leverage in the contents page of the left side of the SEC interactive data viewer.  Other viewers likewise leverage this information for sequencing and ordering a digital financial report.</w:t>
      </w:r>
    </w:p>
    <w:p w14:paraId="7620D041" w14:textId="77777777" w:rsidR="00200A70" w:rsidRDefault="00200A70" w:rsidP="002C62B9">
      <w:pPr>
        <w:pStyle w:val="BodyText"/>
        <w:jc w:val="center"/>
      </w:pPr>
      <w:r>
        <w:rPr>
          <w:noProof/>
        </w:rPr>
        <w:drawing>
          <wp:inline distT="0" distB="0" distL="0" distR="0" wp14:anchorId="0F0FCA8C" wp14:editId="6BDA09D1">
            <wp:extent cx="2633472" cy="2445639"/>
            <wp:effectExtent l="0" t="0" r="0" b="0"/>
            <wp:docPr id="5151" name="Picture 1" descr="C:\Users\Charlie\AppData\Local\Temp\SNAGHTML24b1382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Charlie\AppData\Local\Temp\SNAGHTML24b13820.PNG"/>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639592" cy="2451322"/>
                    </a:xfrm>
                    <a:prstGeom prst="rect">
                      <a:avLst/>
                    </a:prstGeom>
                    <a:noFill/>
                    <a:ln>
                      <a:noFill/>
                    </a:ln>
                  </pic:spPr>
                </pic:pic>
              </a:graphicData>
            </a:graphic>
          </wp:inline>
        </w:drawing>
      </w:r>
    </w:p>
    <w:p w14:paraId="63E23DEE" w14:textId="77777777" w:rsidR="00200A70" w:rsidRPr="00725277" w:rsidRDefault="00200A70" w:rsidP="002C62B9">
      <w:pPr>
        <w:pStyle w:val="BodyText"/>
      </w:pPr>
    </w:p>
    <w:p w14:paraId="796EB816" w14:textId="77777777" w:rsidR="00200A70" w:rsidRDefault="00200A70" w:rsidP="002C62B9">
      <w:pPr>
        <w:pStyle w:val="Heading2"/>
      </w:pPr>
      <w:bookmarkStart w:id="19" w:name="_Toc456627596"/>
      <w:r>
        <w:t>Recognize and respect common concept arrangement patterns which indicate how a set of concepts are organized within a [Line Items]</w:t>
      </w:r>
      <w:bookmarkEnd w:id="19"/>
    </w:p>
    <w:p w14:paraId="27992206" w14:textId="77777777" w:rsidR="00200A70" w:rsidRDefault="00200A70" w:rsidP="002C62B9">
      <w:pPr>
        <w:pStyle w:val="BodyText"/>
      </w:pPr>
      <w:r>
        <w:t xml:space="preserve">The set of accounting concepts which make up [Line Items] are not random; rather they can be grouped into a set of patterns referred to as </w:t>
      </w:r>
      <w:r w:rsidRPr="008D44AA">
        <w:rPr>
          <w:i/>
        </w:rPr>
        <w:t>concept arrangement patterns</w:t>
      </w:r>
      <w:r>
        <w:t>.  A set of [Line Items] might have one or more sets of concept arrangement patterns.  If more than one concept arrangement pattern exists, you can think of each set as a component block</w:t>
      </w:r>
      <w:r>
        <w:rPr>
          <w:rStyle w:val="FootnoteReference"/>
        </w:rPr>
        <w:footnoteReference w:id="19"/>
      </w:r>
      <w:r>
        <w:t>.  Identified and commonly used concept arrangement patterns include:</w:t>
      </w:r>
    </w:p>
    <w:p w14:paraId="38BB07BD" w14:textId="77777777" w:rsidR="00200A70" w:rsidRDefault="00200A70" w:rsidP="00200A70">
      <w:pPr>
        <w:pStyle w:val="BodyText"/>
        <w:numPr>
          <w:ilvl w:val="0"/>
          <w:numId w:val="3"/>
        </w:numPr>
      </w:pPr>
      <w:r w:rsidRPr="00734EB4">
        <w:rPr>
          <w:b/>
        </w:rPr>
        <w:t>Roll up</w:t>
      </w:r>
      <w:r>
        <w:t xml:space="preserve">: A concept arrangement pattern with the following form: </w:t>
      </w:r>
      <w:r w:rsidRPr="00734EB4">
        <w:t xml:space="preserve">Fact A + Fact B + Fact C </w:t>
      </w:r>
      <w:r>
        <w:t xml:space="preserve">+ Fact </w:t>
      </w:r>
      <w:r w:rsidRPr="00734EB4">
        <w:rPr>
          <w:i/>
        </w:rPr>
        <w:t>N</w:t>
      </w:r>
      <w:r>
        <w:t xml:space="preserve"> </w:t>
      </w:r>
      <w:r w:rsidRPr="00734EB4">
        <w:t>= Fact D (a total)</w:t>
      </w:r>
    </w:p>
    <w:p w14:paraId="7A24A30A" w14:textId="77777777" w:rsidR="00200A70" w:rsidRDefault="00200A70" w:rsidP="00200A70">
      <w:pPr>
        <w:pStyle w:val="BodyText"/>
        <w:numPr>
          <w:ilvl w:val="0"/>
          <w:numId w:val="3"/>
        </w:numPr>
      </w:pPr>
      <w:r w:rsidRPr="00734EB4">
        <w:rPr>
          <w:b/>
        </w:rPr>
        <w:lastRenderedPageBreak/>
        <w:t>Roll forward</w:t>
      </w:r>
      <w:r>
        <w:t xml:space="preserve">: A concept arrangement pattern with the following form: </w:t>
      </w:r>
      <w:r w:rsidRPr="00734EB4">
        <w:t xml:space="preserve">Beginning balance + </w:t>
      </w:r>
      <w:r>
        <w:t xml:space="preserve">one or more </w:t>
      </w:r>
      <w:r w:rsidRPr="00734EB4">
        <w:t>changes = Ending balance</w:t>
      </w:r>
    </w:p>
    <w:p w14:paraId="6A8FBE7A" w14:textId="77777777" w:rsidR="00200A70" w:rsidRDefault="00200A70" w:rsidP="00200A70">
      <w:pPr>
        <w:pStyle w:val="BodyText"/>
        <w:numPr>
          <w:ilvl w:val="0"/>
          <w:numId w:val="3"/>
        </w:numPr>
      </w:pPr>
      <w:r w:rsidRPr="00734EB4">
        <w:rPr>
          <w:b/>
        </w:rPr>
        <w:t>Adjustment</w:t>
      </w:r>
      <w:r>
        <w:t xml:space="preserve">: A concept arrangement pattern with the following form: </w:t>
      </w:r>
      <w:r w:rsidRPr="00734EB4">
        <w:t xml:space="preserve">Originally stated balance + </w:t>
      </w:r>
      <w:r>
        <w:t xml:space="preserve">one or more </w:t>
      </w:r>
      <w:r w:rsidRPr="00734EB4">
        <w:t>adjustments = restated balance</w:t>
      </w:r>
    </w:p>
    <w:p w14:paraId="278B344D" w14:textId="77777777" w:rsidR="00200A70" w:rsidRDefault="00200A70" w:rsidP="00200A70">
      <w:pPr>
        <w:pStyle w:val="BodyText"/>
        <w:numPr>
          <w:ilvl w:val="0"/>
          <w:numId w:val="3"/>
        </w:numPr>
      </w:pPr>
      <w:r w:rsidRPr="00734EB4">
        <w:rPr>
          <w:b/>
        </w:rPr>
        <w:t>Variance</w:t>
      </w:r>
      <w:r>
        <w:t xml:space="preserve">: A concept arrangement pattern with the following form: Actual amount – Budgeted amount = Variance.  </w:t>
      </w:r>
      <w:r w:rsidRPr="00734EB4">
        <w:t>A variance is a chan</w:t>
      </w:r>
      <w:r>
        <w:t>ge across a reporting scenario.</w:t>
      </w:r>
    </w:p>
    <w:p w14:paraId="2262299E" w14:textId="77777777" w:rsidR="00200A70" w:rsidRDefault="00200A70" w:rsidP="00200A70">
      <w:pPr>
        <w:pStyle w:val="BodyText"/>
        <w:numPr>
          <w:ilvl w:val="0"/>
          <w:numId w:val="3"/>
        </w:numPr>
      </w:pPr>
      <w:r w:rsidRPr="00734EB4">
        <w:rPr>
          <w:b/>
        </w:rPr>
        <w:t>Complex computation</w:t>
      </w:r>
      <w:r>
        <w:t xml:space="preserve">: </w:t>
      </w:r>
      <w:r w:rsidRPr="00734EB4">
        <w:t xml:space="preserve">A complex computation is a type of </w:t>
      </w:r>
      <w:r>
        <w:t>concept arrangement pattern</w:t>
      </w:r>
      <w:r w:rsidRPr="00734EB4">
        <w:t xml:space="preserve"> where facts are related by some computation other than a roll up, roll forward, adjustment, or variance. For example, Net income / Weighted average shares = </w:t>
      </w:r>
      <w:r>
        <w:t>E</w:t>
      </w:r>
      <w:r w:rsidRPr="00734EB4">
        <w:t>arnings per share.</w:t>
      </w:r>
    </w:p>
    <w:p w14:paraId="2AE35C5B" w14:textId="77777777" w:rsidR="00200A70" w:rsidRDefault="00200A70" w:rsidP="00200A70">
      <w:pPr>
        <w:pStyle w:val="BodyText"/>
        <w:numPr>
          <w:ilvl w:val="0"/>
          <w:numId w:val="3"/>
        </w:numPr>
      </w:pPr>
      <w:r w:rsidRPr="00734EB4">
        <w:rPr>
          <w:b/>
        </w:rPr>
        <w:t>Hierarchy</w:t>
      </w:r>
      <w:r>
        <w:t xml:space="preserve">: </w:t>
      </w:r>
      <w:r w:rsidRPr="00734EB4">
        <w:t xml:space="preserve">A hierarchy is a type of </w:t>
      </w:r>
      <w:r>
        <w:t>concept arrangement pattern</w:t>
      </w:r>
      <w:r w:rsidRPr="00734EB4">
        <w:t xml:space="preserve"> where facts are related in some way, but not mathematically.</w:t>
      </w:r>
      <w:r>
        <w:t xml:space="preserve">  For example, a set of accounting policies is related in that they are accounting policies, but they have no mathematical relation.</w:t>
      </w:r>
    </w:p>
    <w:p w14:paraId="6F5ACD3F" w14:textId="77777777" w:rsidR="00200A70" w:rsidRDefault="00200A70" w:rsidP="00200A70">
      <w:pPr>
        <w:pStyle w:val="BodyText"/>
        <w:numPr>
          <w:ilvl w:val="0"/>
          <w:numId w:val="3"/>
        </w:numPr>
      </w:pPr>
      <w:r>
        <w:rPr>
          <w:b/>
        </w:rPr>
        <w:t>Text block</w:t>
      </w:r>
      <w:r w:rsidRPr="00A5202C">
        <w:t>:</w:t>
      </w:r>
      <w:r>
        <w:t xml:space="preserve"> A [Text Block] is a type of concept arrangement pattern where there is only one fact reported in the form of a [Text Block].</w:t>
      </w:r>
    </w:p>
    <w:p w14:paraId="0980E0F4" w14:textId="77777777" w:rsidR="00200A70" w:rsidRDefault="00200A70" w:rsidP="002C62B9">
      <w:pPr>
        <w:pStyle w:val="BodyText"/>
      </w:pPr>
      <w:r>
        <w:t>For example, roll up:</w:t>
      </w:r>
    </w:p>
    <w:p w14:paraId="304295E2" w14:textId="77777777" w:rsidR="00200A70" w:rsidRDefault="00200A70" w:rsidP="002C62B9">
      <w:pPr>
        <w:pStyle w:val="BodyText"/>
        <w:jc w:val="center"/>
      </w:pPr>
      <w:r>
        <w:rPr>
          <w:noProof/>
        </w:rPr>
        <w:drawing>
          <wp:inline distT="0" distB="0" distL="0" distR="0" wp14:anchorId="26B77BAB" wp14:editId="68101E2B">
            <wp:extent cx="4279392" cy="1944439"/>
            <wp:effectExtent l="0" t="0" r="6985" b="0"/>
            <wp:docPr id="1073741856" name="Picture 10737418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a:stretch>
                      <a:fillRect/>
                    </a:stretch>
                  </pic:blipFill>
                  <pic:spPr>
                    <a:xfrm>
                      <a:off x="0" y="0"/>
                      <a:ext cx="4284385" cy="1946707"/>
                    </a:xfrm>
                    <a:prstGeom prst="rect">
                      <a:avLst/>
                    </a:prstGeom>
                  </pic:spPr>
                </pic:pic>
              </a:graphicData>
            </a:graphic>
          </wp:inline>
        </w:drawing>
      </w:r>
    </w:p>
    <w:p w14:paraId="057CBD25" w14:textId="77777777" w:rsidR="00200A70" w:rsidRPr="00744B19" w:rsidRDefault="00200A70" w:rsidP="002C62B9">
      <w:pPr>
        <w:pStyle w:val="BodyText"/>
        <w:ind w:left="504"/>
        <w:rPr>
          <w:lang w:val="en-GB"/>
        </w:rPr>
      </w:pPr>
      <w:r>
        <w:rPr>
          <w:highlight w:val="lightGray"/>
          <w:lang w:val="en-GB"/>
        </w:rPr>
        <w:t>HINT</w:t>
      </w:r>
      <w:r w:rsidRPr="00A22A83">
        <w:rPr>
          <w:highlight w:val="lightGray"/>
          <w:lang w:val="en-GB"/>
        </w:rPr>
        <w:t xml:space="preserve">: </w:t>
      </w:r>
      <w:r>
        <w:rPr>
          <w:highlight w:val="lightGray"/>
          <w:lang w:val="en-GB"/>
        </w:rPr>
        <w:t>Some rendering engines understand more concept arrangement patterns better than others.  Some rendering engines separate component blocks better than others.</w:t>
      </w:r>
    </w:p>
    <w:p w14:paraId="1D70F734" w14:textId="77777777" w:rsidR="00200A70" w:rsidRDefault="00200A70" w:rsidP="002C62B9">
      <w:pPr>
        <w:pStyle w:val="Heading2"/>
      </w:pPr>
      <w:bookmarkStart w:id="20" w:name="_Toc456627597"/>
      <w:r>
        <w:t>Recognize and respect common member arrangement patterns</w:t>
      </w:r>
      <w:bookmarkEnd w:id="20"/>
    </w:p>
    <w:p w14:paraId="11C859AA" w14:textId="77777777" w:rsidR="00200A70" w:rsidRDefault="00200A70" w:rsidP="002C62B9">
      <w:pPr>
        <w:pStyle w:val="BodyText"/>
      </w:pPr>
      <w:r>
        <w:t xml:space="preserve">The set of [Member]s which make up the domain of an [Axis] are not random; they can be grouped into a set of common </w:t>
      </w:r>
      <w:r w:rsidRPr="008D44AA">
        <w:rPr>
          <w:i/>
        </w:rPr>
        <w:t>member arrangement patterns</w:t>
      </w:r>
      <w:r>
        <w:t>.  These member arrangement patterns can be broken down into three groups:</w:t>
      </w:r>
      <w:r w:rsidRPr="008D44AA">
        <w:t xml:space="preserve"> </w:t>
      </w:r>
    </w:p>
    <w:p w14:paraId="4E248515" w14:textId="77777777" w:rsidR="00200A70" w:rsidRDefault="00200A70" w:rsidP="002C61B1">
      <w:pPr>
        <w:pStyle w:val="BodyText"/>
        <w:numPr>
          <w:ilvl w:val="0"/>
          <w:numId w:val="5"/>
        </w:numPr>
      </w:pPr>
      <w:r w:rsidRPr="008D44AA">
        <w:rPr>
          <w:b/>
        </w:rPr>
        <w:t>Whole-part</w:t>
      </w:r>
      <w:r>
        <w:t xml:space="preserve">: something composed exactly of their parts and nothing else; the sum of the parts is equal to the whole (roll up). </w:t>
      </w:r>
    </w:p>
    <w:p w14:paraId="6A12448D" w14:textId="77777777" w:rsidR="00200A70" w:rsidRDefault="00200A70" w:rsidP="002C61B1">
      <w:pPr>
        <w:pStyle w:val="BodyText"/>
        <w:numPr>
          <w:ilvl w:val="0"/>
          <w:numId w:val="5"/>
        </w:numPr>
      </w:pPr>
      <w:r w:rsidRPr="008D44AA">
        <w:rPr>
          <w:b/>
        </w:rPr>
        <w:t>Is-a</w:t>
      </w:r>
      <w:r>
        <w:t>:  descriptive and differentiates one type or class of thing from some different type or class of thing; but the things do not add up to a whole.</w:t>
      </w:r>
    </w:p>
    <w:p w14:paraId="59DCD1D4" w14:textId="77777777" w:rsidR="00200A70" w:rsidRDefault="00200A70" w:rsidP="002C61B1">
      <w:pPr>
        <w:pStyle w:val="BodyText"/>
        <w:numPr>
          <w:ilvl w:val="0"/>
          <w:numId w:val="5"/>
        </w:numPr>
      </w:pPr>
      <w:r w:rsidRPr="008D44AA">
        <w:rPr>
          <w:b/>
        </w:rPr>
        <w:t>Computational business rule</w:t>
      </w:r>
      <w:r>
        <w:t xml:space="preserve">: Other types of computational business rules can exist such as “Originally stated balance + adjustments = Restated </w:t>
      </w:r>
      <w:r>
        <w:lastRenderedPageBreak/>
        <w:t>balance” or “Net income (loss) / Weighted average shares = Earnings per share”</w:t>
      </w:r>
    </w:p>
    <w:p w14:paraId="076A8E7B" w14:textId="77777777" w:rsidR="00200A70" w:rsidRDefault="00200A70" w:rsidP="007C1A71">
      <w:pPr>
        <w:pStyle w:val="BodyText"/>
      </w:pPr>
      <w:r w:rsidRPr="00561CF2">
        <w:t>Mereology</w:t>
      </w:r>
      <w:r>
        <w:rPr>
          <w:rStyle w:val="FootnoteReference"/>
        </w:rPr>
        <w:footnoteReference w:id="20"/>
      </w:r>
      <w:r w:rsidRPr="00561CF2">
        <w:t xml:space="preserve"> is the theory of parthood relations: of the relations of part to whole and the relations of part to part within a whole.</w:t>
      </w:r>
      <w:r>
        <w:t xml:space="preserve">  The document </w:t>
      </w:r>
      <w:r w:rsidRPr="005A6E9E">
        <w:rPr>
          <w:i/>
        </w:rPr>
        <w:t>A Taxonomy of Part-Whole Relations</w:t>
      </w:r>
      <w:r>
        <w:rPr>
          <w:rStyle w:val="FootnoteReference"/>
          <w:i/>
        </w:rPr>
        <w:footnoteReference w:id="21"/>
      </w:r>
      <w:r>
        <w:t xml:space="preserve"> is an excellent reference for understanding these sorts of breakdowns.</w:t>
      </w:r>
    </w:p>
    <w:p w14:paraId="1DE8BDB5" w14:textId="77777777" w:rsidR="00200A70" w:rsidRDefault="00200A70" w:rsidP="002C62B9">
      <w:pPr>
        <w:pStyle w:val="BodyText"/>
      </w:pPr>
      <w:r>
        <w:t>Representing the relations between sets of [Member]s has issues in XBRL.  While XBRL does provide a means of representing these sorts of relations using XBRL Formula, few taxonomies currently take advantage of that mechanism.  And so, it is best that only “flat sets” should be used as the US GAAP Financial Reporting XBRL Taxonomy provides no way of articulating the meaning of relations between [Member]s within a set of [Member]s.</w:t>
      </w:r>
    </w:p>
    <w:p w14:paraId="04C28500" w14:textId="77777777" w:rsidR="00200A70" w:rsidRPr="00744B19" w:rsidRDefault="00200A70" w:rsidP="002C62B9">
      <w:pPr>
        <w:pStyle w:val="BodyText"/>
        <w:ind w:left="504"/>
        <w:rPr>
          <w:lang w:val="en-GB"/>
        </w:rPr>
      </w:pPr>
      <w:r>
        <w:rPr>
          <w:highlight w:val="lightGray"/>
          <w:lang w:val="en-GB"/>
        </w:rPr>
        <w:t>HINT</w:t>
      </w:r>
      <w:r w:rsidRPr="00A22A83">
        <w:rPr>
          <w:highlight w:val="lightGray"/>
          <w:lang w:val="en-GB"/>
        </w:rPr>
        <w:t xml:space="preserve">: </w:t>
      </w:r>
      <w:r>
        <w:rPr>
          <w:highlight w:val="lightGray"/>
          <w:lang w:val="en-GB"/>
        </w:rPr>
        <w:t>Only flat sets of [Member]s should be used because XBRL has now specific way, other than XBRL Formula, to articulate a hierarchy of [Member]s.   So, rather than creating one [Axis] with a hierarchy, create two [Axis] to express the different hierarchies.</w:t>
      </w:r>
    </w:p>
    <w:p w14:paraId="357505FA" w14:textId="77777777" w:rsidR="00200A70" w:rsidRDefault="00200A70" w:rsidP="002C62B9">
      <w:pPr>
        <w:pStyle w:val="BodyText"/>
      </w:pPr>
      <w:r>
        <w:t>Recognize that there are different types of relationships between [Member]s. One big issue with XBRL presentation relations in general and the US GAAP Taxonomy in particular is the vagueness of the "parent-child" relationship which is used to express relationships.</w:t>
      </w:r>
    </w:p>
    <w:p w14:paraId="65730B67" w14:textId="77777777" w:rsidR="00200A70" w:rsidRDefault="00200A70" w:rsidP="002C62B9">
      <w:pPr>
        <w:pStyle w:val="BodyText"/>
      </w:pPr>
      <w:r>
        <w:t>Basically, the arcrole "http://www.xbrl.org/2003/arcrole/parent-child" used to communicate that there is in fact some sort of relationship leaves open to interpretation exactly what that relation is and what the relation means.  While what is expressed might be clear to those who use the "parent-child" relationship to express something; the intent tends to not come through, be misinterpreted, be inconsistent because of different people working on different areas of a taxonomy, and in general leads to confusion.</w:t>
      </w:r>
    </w:p>
    <w:p w14:paraId="0989687B" w14:textId="77777777" w:rsidR="00200A70" w:rsidRPr="00744B19" w:rsidRDefault="00200A70" w:rsidP="002C62B9">
      <w:pPr>
        <w:pStyle w:val="BodyText"/>
        <w:ind w:left="504"/>
        <w:rPr>
          <w:lang w:val="en-GB"/>
        </w:rPr>
      </w:pPr>
      <w:r>
        <w:rPr>
          <w:highlight w:val="lightGray"/>
          <w:lang w:val="en-GB"/>
        </w:rPr>
        <w:t>HINT</w:t>
      </w:r>
      <w:r w:rsidRPr="00A22A83">
        <w:rPr>
          <w:highlight w:val="lightGray"/>
          <w:lang w:val="en-GB"/>
        </w:rPr>
        <w:t xml:space="preserve">: </w:t>
      </w:r>
      <w:r>
        <w:rPr>
          <w:highlight w:val="lightGray"/>
          <w:lang w:val="en-GB"/>
        </w:rPr>
        <w:t>XBRL definition relations can express different types of relations explicitly by defining specific arcroles</w:t>
      </w:r>
      <w:r>
        <w:rPr>
          <w:rStyle w:val="FootnoteReference"/>
          <w:highlight w:val="lightGray"/>
          <w:lang w:val="en-GB"/>
        </w:rPr>
        <w:footnoteReference w:id="22"/>
      </w:r>
      <w:r>
        <w:rPr>
          <w:highlight w:val="lightGray"/>
          <w:lang w:val="en-GB"/>
        </w:rPr>
        <w:t>.</w:t>
      </w:r>
    </w:p>
    <w:p w14:paraId="7779E609" w14:textId="77777777" w:rsidR="00200A70" w:rsidRDefault="00200A70" w:rsidP="002C62B9">
      <w:pPr>
        <w:pStyle w:val="Heading2"/>
      </w:pPr>
      <w:bookmarkStart w:id="21" w:name="_Toc456627598"/>
      <w:r>
        <w:t>Avoid mixing or run-together concept arrangement patterns</w:t>
      </w:r>
      <w:bookmarkEnd w:id="21"/>
    </w:p>
    <w:p w14:paraId="1A7ADFAF" w14:textId="77777777" w:rsidR="00200A70" w:rsidRDefault="00200A70" w:rsidP="002C62B9">
      <w:pPr>
        <w:pStyle w:val="BodyText"/>
      </w:pPr>
      <w:r>
        <w:t>Mixing more than one concept arrangement pattern together increases the difficulty of reading disclosure information. While running different patterns together is not illegal per SEC XBRL filing rules, doing this can cause challenges to rendering engines trying to present the information in human readable form and cause information to be hard to comprehend.</w:t>
      </w:r>
    </w:p>
    <w:p w14:paraId="76E3EC27" w14:textId="77777777" w:rsidR="00200A70" w:rsidRDefault="00200A70" w:rsidP="002C62B9">
      <w:pPr>
        <w:pStyle w:val="BodyText"/>
      </w:pPr>
      <w:r>
        <w:t>For example, mixing a “roll up” and a “roll forward” should be avoided as information appears to run together and is hard to understand.  For example, representing a roll up which then runs into a roll forward or two distinct roll ups together without differentiating them should be avoided.</w:t>
      </w:r>
    </w:p>
    <w:p w14:paraId="20E77B1F" w14:textId="77777777" w:rsidR="00200A70" w:rsidRPr="00EC5993" w:rsidRDefault="00200A70" w:rsidP="002C62B9">
      <w:pPr>
        <w:pStyle w:val="BodyText"/>
      </w:pPr>
      <w:r w:rsidRPr="00EC5993">
        <w:lastRenderedPageBreak/>
        <w:t xml:space="preserve">Avoid doing this: </w:t>
      </w:r>
      <w:r>
        <w:t>(i.e. combining lots of report fragments so that they run together)</w:t>
      </w:r>
    </w:p>
    <w:p w14:paraId="6B6B1DEA" w14:textId="77777777" w:rsidR="00200A70" w:rsidRDefault="00200A70" w:rsidP="002C62B9">
      <w:pPr>
        <w:pStyle w:val="BodyText"/>
        <w:jc w:val="center"/>
      </w:pPr>
      <w:r>
        <w:rPr>
          <w:noProof/>
        </w:rPr>
        <w:drawing>
          <wp:inline distT="0" distB="0" distL="0" distR="0" wp14:anchorId="4D6249A9" wp14:editId="4EB0C3C4">
            <wp:extent cx="2340864" cy="4604803"/>
            <wp:effectExtent l="0" t="0" r="2540" b="5715"/>
            <wp:docPr id="1073741857" name="Picture 10737418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
                    <a:stretch>
                      <a:fillRect/>
                    </a:stretch>
                  </pic:blipFill>
                  <pic:spPr>
                    <a:xfrm>
                      <a:off x="0" y="0"/>
                      <a:ext cx="2343182" cy="4609363"/>
                    </a:xfrm>
                    <a:prstGeom prst="rect">
                      <a:avLst/>
                    </a:prstGeom>
                  </pic:spPr>
                </pic:pic>
              </a:graphicData>
            </a:graphic>
          </wp:inline>
        </w:drawing>
      </w:r>
    </w:p>
    <w:p w14:paraId="0767890E" w14:textId="77777777" w:rsidR="00200A70" w:rsidRPr="00EC5993" w:rsidRDefault="00200A70" w:rsidP="002C62B9">
      <w:pPr>
        <w:pStyle w:val="BodyText"/>
      </w:pPr>
      <w:r w:rsidRPr="00EC5993">
        <w:lastRenderedPageBreak/>
        <w:t xml:space="preserve">Instead, </w:t>
      </w:r>
      <w:r>
        <w:t>do</w:t>
      </w:r>
      <w:r w:rsidRPr="00EC5993">
        <w:t xml:space="preserve"> this: </w:t>
      </w:r>
      <w:r>
        <w:t>(separate report fragments into discrete sets of information)</w:t>
      </w:r>
    </w:p>
    <w:p w14:paraId="2A01990E" w14:textId="77777777" w:rsidR="00200A70" w:rsidRPr="00F90690" w:rsidRDefault="003373E7" w:rsidP="002C62B9">
      <w:pPr>
        <w:pStyle w:val="BodyText"/>
        <w:rPr>
          <w:sz w:val="14"/>
        </w:rPr>
      </w:pPr>
      <w:hyperlink r:id="rId34" w:history="1">
        <w:r w:rsidR="00200A70" w:rsidRPr="00C512A9">
          <w:rPr>
            <w:rStyle w:val="Hyperlink"/>
            <w:i/>
            <w:sz w:val="14"/>
          </w:rPr>
          <w:t>http://www.sec.gov/Archives/edgar/data/1285785/000119312512323518/0001193125-12-323518-index.htm</w:t>
        </w:r>
      </w:hyperlink>
      <w:r w:rsidR="00200A70">
        <w:rPr>
          <w:i/>
          <w:sz w:val="14"/>
        </w:rPr>
        <w:t xml:space="preserve"> </w:t>
      </w:r>
    </w:p>
    <w:p w14:paraId="1A59860E" w14:textId="77777777" w:rsidR="00200A70" w:rsidRDefault="00200A70" w:rsidP="002C62B9">
      <w:pPr>
        <w:pStyle w:val="BodyText"/>
        <w:jc w:val="center"/>
      </w:pPr>
      <w:r>
        <w:rPr>
          <w:noProof/>
        </w:rPr>
        <w:drawing>
          <wp:inline distT="0" distB="0" distL="0" distR="0" wp14:anchorId="6E531B34" wp14:editId="05479467">
            <wp:extent cx="5347411" cy="4721833"/>
            <wp:effectExtent l="0" t="0" r="5715" b="3175"/>
            <wp:docPr id="1073741858" name="Picture 10737418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
                    <a:stretch>
                      <a:fillRect/>
                    </a:stretch>
                  </pic:blipFill>
                  <pic:spPr>
                    <a:xfrm>
                      <a:off x="0" y="0"/>
                      <a:ext cx="5357949" cy="4731138"/>
                    </a:xfrm>
                    <a:prstGeom prst="rect">
                      <a:avLst/>
                    </a:prstGeom>
                  </pic:spPr>
                </pic:pic>
              </a:graphicData>
            </a:graphic>
          </wp:inline>
        </w:drawing>
      </w:r>
    </w:p>
    <w:p w14:paraId="77788400" w14:textId="77777777" w:rsidR="00200A70" w:rsidRDefault="00200A70" w:rsidP="002C62B9">
      <w:pPr>
        <w:pStyle w:val="BodyText"/>
      </w:pPr>
      <w:r>
        <w:t>Note that rather than having report fragments that basically run together in the first example; the second example provides distinct hierarchies that allow users to better see the distinct pieces of the report.</w:t>
      </w:r>
    </w:p>
    <w:p w14:paraId="656CE7B0" w14:textId="77777777" w:rsidR="00200A70" w:rsidRDefault="00200A70" w:rsidP="002C62B9">
      <w:pPr>
        <w:pStyle w:val="Heading2"/>
      </w:pPr>
      <w:bookmarkStart w:id="22" w:name="_Toc456627599"/>
      <w:r>
        <w:t>Avoid mixing distinct characteristics and concepts</w:t>
      </w:r>
      <w:bookmarkEnd w:id="22"/>
    </w:p>
    <w:p w14:paraId="1E01362A" w14:textId="77777777" w:rsidR="00200A70" w:rsidRDefault="00200A70" w:rsidP="002C62B9">
      <w:pPr>
        <w:pStyle w:val="BodyText"/>
      </w:pPr>
      <w:r>
        <w:t xml:space="preserve">Representing what should be two distinct and unrelated disclosures within one report component should be avoided. For example, many filers represent preferred and common stock together within one report components when two distinct and separate report components </w:t>
      </w:r>
      <w:proofErr w:type="gramStart"/>
      <w:r>
        <w:t>is</w:t>
      </w:r>
      <w:proofErr w:type="gramEnd"/>
      <w:r>
        <w:t xml:space="preserve"> more appropriate.</w:t>
      </w:r>
    </w:p>
    <w:p w14:paraId="2F8799F6" w14:textId="77777777" w:rsidR="00200A70" w:rsidRPr="00EC5993" w:rsidRDefault="00200A70" w:rsidP="002C62B9">
      <w:pPr>
        <w:pStyle w:val="BodyText"/>
        <w:jc w:val="left"/>
      </w:pPr>
      <w:r w:rsidRPr="00EC5993">
        <w:t xml:space="preserve">Avoid this: </w:t>
      </w:r>
      <w:r>
        <w:t>(using Axes that cause lots of empty cells in renderings)</w:t>
      </w:r>
    </w:p>
    <w:p w14:paraId="002A4EC2" w14:textId="77777777" w:rsidR="00200A70" w:rsidRPr="007E0C94" w:rsidRDefault="003373E7" w:rsidP="002C62B9">
      <w:pPr>
        <w:pStyle w:val="BodyText"/>
        <w:jc w:val="left"/>
        <w:rPr>
          <w:i/>
        </w:rPr>
      </w:pPr>
      <w:hyperlink r:id="rId36" w:history="1">
        <w:r w:rsidR="00200A70" w:rsidRPr="00C512A9">
          <w:rPr>
            <w:rStyle w:val="Hyperlink"/>
            <w:i/>
            <w:sz w:val="14"/>
          </w:rPr>
          <w:t>http://www.sec.gov/Archives/edgar/data/896878/000089687812000146/0000896878-12-000146-index.htm</w:t>
        </w:r>
      </w:hyperlink>
      <w:r w:rsidR="00200A70">
        <w:rPr>
          <w:i/>
          <w:sz w:val="14"/>
        </w:rPr>
        <w:t xml:space="preserve"> </w:t>
      </w:r>
    </w:p>
    <w:p w14:paraId="721C1A87" w14:textId="77777777" w:rsidR="00200A70" w:rsidRDefault="00200A70" w:rsidP="002C62B9">
      <w:pPr>
        <w:pStyle w:val="BodyText"/>
        <w:jc w:val="center"/>
      </w:pPr>
      <w:r>
        <w:rPr>
          <w:noProof/>
        </w:rPr>
        <w:lastRenderedPageBreak/>
        <w:drawing>
          <wp:inline distT="0" distB="0" distL="0" distR="0" wp14:anchorId="2614E64C" wp14:editId="0AD3B1E7">
            <wp:extent cx="5596128" cy="3513101"/>
            <wp:effectExtent l="0" t="0" r="0" b="0"/>
            <wp:docPr id="1073741859" name="Picture 1073741859" descr="C:\Users\Charlie\AppData\Local\Temp\SNAGHTML1523209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Charlie\AppData\Local\Temp\SNAGHTML15232099.PNG"/>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616079" cy="3525626"/>
                    </a:xfrm>
                    <a:prstGeom prst="rect">
                      <a:avLst/>
                    </a:prstGeom>
                    <a:noFill/>
                    <a:ln>
                      <a:noFill/>
                    </a:ln>
                  </pic:spPr>
                </pic:pic>
              </a:graphicData>
            </a:graphic>
          </wp:inline>
        </w:drawing>
      </w:r>
    </w:p>
    <w:p w14:paraId="3B3293C6" w14:textId="77777777" w:rsidR="00200A70" w:rsidRDefault="00200A70" w:rsidP="002C62B9">
      <w:pPr>
        <w:pStyle w:val="BodyText"/>
      </w:pPr>
      <w:r>
        <w:t>The rendering of the rendering engine above is poor because the representation of the information is poor.</w:t>
      </w:r>
    </w:p>
    <w:p w14:paraId="1E5BD5FE" w14:textId="77777777" w:rsidR="00200A70" w:rsidRDefault="00200A70" w:rsidP="002C62B9">
      <w:pPr>
        <w:pStyle w:val="BodyText"/>
      </w:pPr>
      <w:r>
        <w:t>Consider this extreme example.  Below, a filer uses both the “Finite-lived intangible asset Type [Axis]” and the “Indefinite-lived intangible assets Type [Axis]” on the same report component.  A fact can never be both a finite-lived and an indefinite-lived intangible asset.</w:t>
      </w:r>
    </w:p>
    <w:p w14:paraId="442D3A8E" w14:textId="77777777" w:rsidR="00200A70" w:rsidRPr="00D8172A" w:rsidRDefault="003373E7" w:rsidP="002C62B9">
      <w:pPr>
        <w:pStyle w:val="BodyText"/>
        <w:rPr>
          <w:sz w:val="14"/>
        </w:rPr>
      </w:pPr>
      <w:hyperlink r:id="rId38" w:history="1">
        <w:r w:rsidR="00200A70" w:rsidRPr="00D8172A">
          <w:rPr>
            <w:rStyle w:val="Hyperlink"/>
            <w:sz w:val="14"/>
          </w:rPr>
          <w:t>http://www.sec.gov/Archives/edgar/data/866273/000086627313000057/0000866273-13-000057-index.htm</w:t>
        </w:r>
      </w:hyperlink>
    </w:p>
    <w:p w14:paraId="162C25CA" w14:textId="77777777" w:rsidR="00200A70" w:rsidRDefault="00200A70" w:rsidP="002C62B9">
      <w:pPr>
        <w:pStyle w:val="BodyText"/>
      </w:pPr>
      <w:r>
        <w:rPr>
          <w:noProof/>
        </w:rPr>
        <w:drawing>
          <wp:inline distT="0" distB="0" distL="0" distR="0" wp14:anchorId="765C988C" wp14:editId="59552473">
            <wp:extent cx="5486400" cy="2573965"/>
            <wp:effectExtent l="0" t="0" r="0" b="0"/>
            <wp:docPr id="1073741860" name="Picture 1073741860" descr="C:\Users\Charlie\AppData\Local\Temp\SNAGHTML146cbbc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Charlie\AppData\Local\Temp\SNAGHTML146cbbca.PNG"/>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486400" cy="2573965"/>
                    </a:xfrm>
                    <a:prstGeom prst="rect">
                      <a:avLst/>
                    </a:prstGeom>
                    <a:noFill/>
                    <a:ln>
                      <a:noFill/>
                    </a:ln>
                  </pic:spPr>
                </pic:pic>
              </a:graphicData>
            </a:graphic>
          </wp:inline>
        </w:drawing>
      </w:r>
    </w:p>
    <w:p w14:paraId="36B285CF" w14:textId="77777777" w:rsidR="00200A70" w:rsidRDefault="00200A70" w:rsidP="002C62B9">
      <w:pPr>
        <w:pStyle w:val="BodyText"/>
      </w:pPr>
    </w:p>
    <w:p w14:paraId="79C41E5A" w14:textId="77777777" w:rsidR="00200A70" w:rsidRDefault="00200A70" w:rsidP="002C62B9">
      <w:pPr>
        <w:pStyle w:val="Heading2"/>
      </w:pPr>
      <w:bookmarkStart w:id="23" w:name="_Toc456627600"/>
      <w:r>
        <w:lastRenderedPageBreak/>
        <w:t>Recognize the need for both automated and manual verification processes</w:t>
      </w:r>
      <w:bookmarkEnd w:id="23"/>
    </w:p>
    <w:p w14:paraId="73CD5FD3" w14:textId="77777777" w:rsidR="00200A70" w:rsidRDefault="00200A70" w:rsidP="002C62B9">
      <w:pPr>
        <w:pStyle w:val="BodyText"/>
      </w:pPr>
      <w:r>
        <w:t xml:space="preserve">The processes used for verification of the “true and fair representation” of financial information can take two general forms: automated processes performed using machines and manual processes performed by humans.  </w:t>
      </w:r>
    </w:p>
    <w:p w14:paraId="28E208AE" w14:textId="77777777" w:rsidR="00200A70" w:rsidRDefault="00200A70" w:rsidP="002C62B9">
      <w:pPr>
        <w:pStyle w:val="BodyText"/>
      </w:pPr>
      <w:r>
        <w:t>Automated verification processes can be preferable because they are more reliable and dependable, they take less time, and they cost less than manual processes.  Verification can be automated only to the extent rules are provided to verify aspects of a digital financial report.  No financial report can be verified 100% using automated processes and therefore manual verification is always necessary.  The following is a summarized version of automated and manual verification tasks</w:t>
      </w:r>
      <w:r>
        <w:rPr>
          <w:rStyle w:val="FootnoteReference"/>
        </w:rPr>
        <w:footnoteReference w:id="23"/>
      </w:r>
      <w:r>
        <w:t>:</w:t>
      </w:r>
    </w:p>
    <w:tbl>
      <w:tblPr>
        <w:tblW w:w="864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0"/>
        <w:gridCol w:w="5760"/>
        <w:gridCol w:w="1350"/>
        <w:gridCol w:w="1080"/>
      </w:tblGrid>
      <w:tr w:rsidR="00200A70" w:rsidRPr="00465757" w14:paraId="656D0717" w14:textId="77777777" w:rsidTr="00991583">
        <w:trPr>
          <w:cantSplit/>
          <w:tblHeader/>
        </w:trPr>
        <w:tc>
          <w:tcPr>
            <w:tcW w:w="450" w:type="dxa"/>
            <w:shd w:val="pct20" w:color="auto" w:fill="auto"/>
          </w:tcPr>
          <w:p w14:paraId="0273CBC3" w14:textId="77777777" w:rsidR="00200A70" w:rsidRDefault="00200A70" w:rsidP="00991583">
            <w:pPr>
              <w:pStyle w:val="BodyText"/>
              <w:spacing w:before="0" w:after="0"/>
              <w:jc w:val="center"/>
              <w:rPr>
                <w:rFonts w:ascii="Arial" w:hAnsi="Arial" w:cs="Arial"/>
                <w:b/>
                <w:sz w:val="18"/>
                <w:szCs w:val="18"/>
                <w:lang w:val="en-GB"/>
              </w:rPr>
            </w:pPr>
          </w:p>
          <w:p w14:paraId="2F5CB56F" w14:textId="77777777" w:rsidR="00200A70" w:rsidRDefault="00200A70" w:rsidP="00991583">
            <w:pPr>
              <w:pStyle w:val="BodyText"/>
              <w:spacing w:before="0" w:after="0"/>
              <w:jc w:val="center"/>
              <w:rPr>
                <w:rFonts w:ascii="Arial" w:hAnsi="Arial" w:cs="Arial"/>
                <w:b/>
                <w:sz w:val="18"/>
                <w:szCs w:val="18"/>
                <w:lang w:val="en-GB"/>
              </w:rPr>
            </w:pPr>
            <w:r>
              <w:rPr>
                <w:rFonts w:ascii="Arial" w:hAnsi="Arial" w:cs="Arial"/>
                <w:b/>
                <w:sz w:val="18"/>
                <w:szCs w:val="18"/>
                <w:lang w:val="en-GB"/>
              </w:rPr>
              <w:t>#</w:t>
            </w:r>
          </w:p>
        </w:tc>
        <w:tc>
          <w:tcPr>
            <w:tcW w:w="5760" w:type="dxa"/>
            <w:shd w:val="pct20" w:color="auto" w:fill="auto"/>
          </w:tcPr>
          <w:p w14:paraId="12A922A5" w14:textId="77777777" w:rsidR="00200A70" w:rsidRPr="00465757" w:rsidRDefault="00200A70" w:rsidP="00991583">
            <w:pPr>
              <w:pStyle w:val="BodyText"/>
              <w:spacing w:before="0" w:after="0"/>
              <w:jc w:val="left"/>
              <w:rPr>
                <w:rFonts w:ascii="Arial" w:hAnsi="Arial" w:cs="Arial"/>
                <w:b/>
                <w:sz w:val="18"/>
                <w:szCs w:val="18"/>
                <w:lang w:val="en-GB"/>
              </w:rPr>
            </w:pPr>
          </w:p>
          <w:p w14:paraId="7DA2CAB6" w14:textId="77777777" w:rsidR="00200A70" w:rsidRPr="00465757" w:rsidRDefault="00200A70" w:rsidP="00991583">
            <w:pPr>
              <w:pStyle w:val="BodyText"/>
              <w:spacing w:before="0" w:after="0"/>
              <w:jc w:val="left"/>
              <w:rPr>
                <w:rFonts w:ascii="Arial" w:hAnsi="Arial" w:cs="Arial"/>
                <w:b/>
                <w:sz w:val="18"/>
                <w:szCs w:val="18"/>
                <w:lang w:val="en-GB"/>
              </w:rPr>
            </w:pPr>
            <w:r>
              <w:rPr>
                <w:rFonts w:ascii="Arial" w:hAnsi="Arial" w:cs="Arial"/>
                <w:b/>
                <w:sz w:val="18"/>
                <w:szCs w:val="18"/>
                <w:lang w:val="en-GB"/>
              </w:rPr>
              <w:t>Verification/validation task</w:t>
            </w:r>
          </w:p>
        </w:tc>
        <w:tc>
          <w:tcPr>
            <w:tcW w:w="1350" w:type="dxa"/>
            <w:shd w:val="pct20" w:color="auto" w:fill="auto"/>
          </w:tcPr>
          <w:p w14:paraId="69479FDA" w14:textId="77777777" w:rsidR="00200A70" w:rsidRDefault="00200A70" w:rsidP="00991583">
            <w:pPr>
              <w:pStyle w:val="BodyText"/>
              <w:spacing w:before="0" w:after="0"/>
              <w:jc w:val="center"/>
              <w:rPr>
                <w:rFonts w:ascii="Arial" w:hAnsi="Arial" w:cs="Arial"/>
                <w:b/>
                <w:sz w:val="18"/>
                <w:szCs w:val="18"/>
                <w:lang w:val="en-GB"/>
              </w:rPr>
            </w:pPr>
          </w:p>
          <w:p w14:paraId="7BCC5239" w14:textId="77777777" w:rsidR="00200A70" w:rsidRPr="00465757" w:rsidRDefault="00200A70" w:rsidP="00991583">
            <w:pPr>
              <w:pStyle w:val="BodyText"/>
              <w:spacing w:before="0" w:after="0"/>
              <w:jc w:val="center"/>
              <w:rPr>
                <w:rFonts w:ascii="Arial" w:hAnsi="Arial" w:cs="Arial"/>
                <w:b/>
                <w:sz w:val="18"/>
                <w:szCs w:val="18"/>
                <w:lang w:val="en-GB"/>
              </w:rPr>
            </w:pPr>
            <w:r>
              <w:rPr>
                <w:rFonts w:ascii="Arial" w:hAnsi="Arial" w:cs="Arial"/>
                <w:b/>
                <w:sz w:val="18"/>
                <w:szCs w:val="18"/>
                <w:lang w:val="en-GB"/>
              </w:rPr>
              <w:t>Automatable</w:t>
            </w:r>
          </w:p>
        </w:tc>
        <w:tc>
          <w:tcPr>
            <w:tcW w:w="1080" w:type="dxa"/>
            <w:shd w:val="pct20" w:color="auto" w:fill="auto"/>
          </w:tcPr>
          <w:p w14:paraId="687B415A" w14:textId="77777777" w:rsidR="00200A70" w:rsidRPr="00465757" w:rsidRDefault="00200A70" w:rsidP="00991583">
            <w:pPr>
              <w:pStyle w:val="BodyText"/>
              <w:spacing w:before="0" w:after="0"/>
              <w:jc w:val="center"/>
              <w:rPr>
                <w:rFonts w:ascii="Arial" w:hAnsi="Arial" w:cs="Arial"/>
                <w:b/>
                <w:sz w:val="18"/>
                <w:szCs w:val="18"/>
                <w:lang w:val="en-GB"/>
              </w:rPr>
            </w:pPr>
          </w:p>
          <w:p w14:paraId="5B870238" w14:textId="77777777" w:rsidR="00200A70" w:rsidRPr="00465757" w:rsidRDefault="00200A70" w:rsidP="00991583">
            <w:pPr>
              <w:pStyle w:val="BodyText"/>
              <w:spacing w:before="0" w:after="0"/>
              <w:jc w:val="center"/>
              <w:rPr>
                <w:rFonts w:ascii="Arial" w:hAnsi="Arial" w:cs="Arial"/>
                <w:b/>
                <w:sz w:val="18"/>
                <w:szCs w:val="18"/>
                <w:lang w:val="en-GB"/>
              </w:rPr>
            </w:pPr>
            <w:r>
              <w:rPr>
                <w:rFonts w:ascii="Arial" w:hAnsi="Arial" w:cs="Arial"/>
                <w:b/>
                <w:sz w:val="18"/>
                <w:szCs w:val="18"/>
                <w:lang w:val="en-GB"/>
              </w:rPr>
              <w:t>Manual</w:t>
            </w:r>
          </w:p>
        </w:tc>
      </w:tr>
      <w:tr w:rsidR="00200A70" w:rsidRPr="001B645F" w14:paraId="2FF03EE6" w14:textId="77777777" w:rsidTr="00991583">
        <w:trPr>
          <w:cantSplit/>
        </w:trPr>
        <w:tc>
          <w:tcPr>
            <w:tcW w:w="450" w:type="dxa"/>
          </w:tcPr>
          <w:p w14:paraId="22B5FB03" w14:textId="77777777" w:rsidR="00200A70" w:rsidRDefault="00200A70" w:rsidP="00991583">
            <w:pPr>
              <w:pStyle w:val="BodyText"/>
              <w:spacing w:before="0" w:after="0"/>
              <w:jc w:val="center"/>
              <w:rPr>
                <w:rFonts w:ascii="Arial" w:hAnsi="Arial" w:cs="Arial"/>
                <w:szCs w:val="20"/>
                <w:lang w:val="en-GB"/>
              </w:rPr>
            </w:pPr>
            <w:r>
              <w:rPr>
                <w:rFonts w:ascii="Arial" w:hAnsi="Arial" w:cs="Arial"/>
                <w:szCs w:val="20"/>
                <w:lang w:val="en-GB"/>
              </w:rPr>
              <w:t>1</w:t>
            </w:r>
          </w:p>
        </w:tc>
        <w:tc>
          <w:tcPr>
            <w:tcW w:w="5760" w:type="dxa"/>
          </w:tcPr>
          <w:p w14:paraId="3A6B6D05" w14:textId="77777777" w:rsidR="00200A70" w:rsidRPr="001B645F" w:rsidRDefault="00200A70" w:rsidP="00991583">
            <w:pPr>
              <w:pStyle w:val="BodyText"/>
              <w:spacing w:before="0" w:after="0"/>
              <w:jc w:val="left"/>
              <w:rPr>
                <w:rFonts w:ascii="Arial" w:hAnsi="Arial" w:cs="Arial"/>
                <w:szCs w:val="20"/>
                <w:lang w:val="en-GB"/>
              </w:rPr>
            </w:pPr>
            <w:r>
              <w:rPr>
                <w:rFonts w:ascii="Arial" w:hAnsi="Arial" w:cs="Arial"/>
                <w:szCs w:val="20"/>
                <w:lang w:val="en-GB"/>
              </w:rPr>
              <w:t>Valid XBRL technical syntax</w:t>
            </w:r>
          </w:p>
        </w:tc>
        <w:tc>
          <w:tcPr>
            <w:tcW w:w="1350" w:type="dxa"/>
          </w:tcPr>
          <w:p w14:paraId="464224DE" w14:textId="77777777" w:rsidR="00200A70" w:rsidRPr="001B645F" w:rsidRDefault="00200A70" w:rsidP="00991583">
            <w:pPr>
              <w:pStyle w:val="BodyText"/>
              <w:spacing w:before="0" w:after="0"/>
              <w:jc w:val="center"/>
              <w:rPr>
                <w:rFonts w:ascii="Arial" w:hAnsi="Arial" w:cs="Arial"/>
                <w:szCs w:val="20"/>
                <w:lang w:val="en-GB"/>
              </w:rPr>
            </w:pPr>
            <w:r>
              <w:rPr>
                <w:rFonts w:ascii="Arial" w:hAnsi="Arial" w:cs="Arial"/>
                <w:szCs w:val="20"/>
                <w:lang w:val="en-GB"/>
              </w:rPr>
              <w:t>X</w:t>
            </w:r>
          </w:p>
        </w:tc>
        <w:tc>
          <w:tcPr>
            <w:tcW w:w="1080" w:type="dxa"/>
          </w:tcPr>
          <w:p w14:paraId="728D407F" w14:textId="77777777" w:rsidR="00200A70" w:rsidRPr="001B645F" w:rsidRDefault="00200A70" w:rsidP="00991583">
            <w:pPr>
              <w:pStyle w:val="BodyText"/>
              <w:spacing w:before="0" w:after="0"/>
              <w:jc w:val="left"/>
              <w:rPr>
                <w:rFonts w:ascii="Arial" w:hAnsi="Arial" w:cs="Arial"/>
                <w:szCs w:val="20"/>
                <w:lang w:val="en-GB"/>
              </w:rPr>
            </w:pPr>
          </w:p>
        </w:tc>
      </w:tr>
      <w:tr w:rsidR="00200A70" w:rsidRPr="001B645F" w14:paraId="5A5CBAB4" w14:textId="77777777" w:rsidTr="00991583">
        <w:trPr>
          <w:cantSplit/>
        </w:trPr>
        <w:tc>
          <w:tcPr>
            <w:tcW w:w="450" w:type="dxa"/>
          </w:tcPr>
          <w:p w14:paraId="2EA9D3A6" w14:textId="77777777" w:rsidR="00200A70" w:rsidRDefault="00200A70" w:rsidP="00991583">
            <w:pPr>
              <w:pStyle w:val="BodyText"/>
              <w:spacing w:before="0" w:after="0"/>
              <w:jc w:val="center"/>
              <w:rPr>
                <w:rFonts w:ascii="Arial" w:hAnsi="Arial" w:cs="Arial"/>
                <w:szCs w:val="20"/>
                <w:lang w:val="en-GB"/>
              </w:rPr>
            </w:pPr>
            <w:r>
              <w:rPr>
                <w:rFonts w:ascii="Arial" w:hAnsi="Arial" w:cs="Arial"/>
                <w:szCs w:val="20"/>
                <w:lang w:val="en-GB"/>
              </w:rPr>
              <w:t>2</w:t>
            </w:r>
          </w:p>
        </w:tc>
        <w:tc>
          <w:tcPr>
            <w:tcW w:w="5760" w:type="dxa"/>
          </w:tcPr>
          <w:p w14:paraId="442955D4" w14:textId="77777777" w:rsidR="00200A70" w:rsidRPr="001B645F" w:rsidRDefault="00200A70" w:rsidP="00991583">
            <w:pPr>
              <w:pStyle w:val="BodyText"/>
              <w:spacing w:before="0" w:after="0"/>
              <w:jc w:val="left"/>
              <w:rPr>
                <w:rFonts w:ascii="Arial" w:hAnsi="Arial" w:cs="Arial"/>
                <w:szCs w:val="20"/>
                <w:lang w:val="en-GB"/>
              </w:rPr>
            </w:pPr>
            <w:r>
              <w:rPr>
                <w:rFonts w:ascii="Arial" w:hAnsi="Arial" w:cs="Arial"/>
                <w:szCs w:val="20"/>
                <w:lang w:val="en-GB"/>
              </w:rPr>
              <w:t>Edgar Filer Manual (EFM) valid</w:t>
            </w:r>
          </w:p>
        </w:tc>
        <w:tc>
          <w:tcPr>
            <w:tcW w:w="1350" w:type="dxa"/>
          </w:tcPr>
          <w:p w14:paraId="00CE8DA5" w14:textId="77777777" w:rsidR="00200A70" w:rsidRPr="001B645F" w:rsidRDefault="00200A70" w:rsidP="00991583">
            <w:pPr>
              <w:pStyle w:val="BodyText"/>
              <w:spacing w:before="0" w:after="0"/>
              <w:jc w:val="center"/>
              <w:rPr>
                <w:rFonts w:ascii="Arial" w:hAnsi="Arial" w:cs="Arial"/>
                <w:szCs w:val="20"/>
                <w:lang w:val="en-GB"/>
              </w:rPr>
            </w:pPr>
            <w:r>
              <w:rPr>
                <w:rFonts w:ascii="Arial" w:hAnsi="Arial" w:cs="Arial"/>
                <w:szCs w:val="20"/>
                <w:lang w:val="en-GB"/>
              </w:rPr>
              <w:t>X</w:t>
            </w:r>
          </w:p>
        </w:tc>
        <w:tc>
          <w:tcPr>
            <w:tcW w:w="1080" w:type="dxa"/>
          </w:tcPr>
          <w:p w14:paraId="0F1CAE70" w14:textId="77777777" w:rsidR="00200A70" w:rsidRPr="001B645F" w:rsidRDefault="00200A70" w:rsidP="00991583">
            <w:pPr>
              <w:pStyle w:val="BodyText"/>
              <w:spacing w:before="0" w:after="0"/>
              <w:jc w:val="center"/>
              <w:rPr>
                <w:rFonts w:ascii="Arial" w:hAnsi="Arial" w:cs="Arial"/>
                <w:szCs w:val="20"/>
                <w:lang w:val="en-GB"/>
              </w:rPr>
            </w:pPr>
            <w:r>
              <w:rPr>
                <w:rFonts w:ascii="Arial" w:hAnsi="Arial" w:cs="Arial"/>
                <w:szCs w:val="20"/>
                <w:lang w:val="en-GB"/>
              </w:rPr>
              <w:t>X</w:t>
            </w:r>
          </w:p>
        </w:tc>
      </w:tr>
      <w:tr w:rsidR="00200A70" w:rsidRPr="001B645F" w14:paraId="4FE48443" w14:textId="77777777" w:rsidTr="00991583">
        <w:trPr>
          <w:cantSplit/>
        </w:trPr>
        <w:tc>
          <w:tcPr>
            <w:tcW w:w="450" w:type="dxa"/>
          </w:tcPr>
          <w:p w14:paraId="327383B0" w14:textId="77777777" w:rsidR="00200A70" w:rsidRDefault="00200A70" w:rsidP="00991583">
            <w:pPr>
              <w:pStyle w:val="BodyText"/>
              <w:spacing w:before="0" w:after="0"/>
              <w:jc w:val="center"/>
              <w:rPr>
                <w:rFonts w:ascii="Arial" w:hAnsi="Arial" w:cs="Arial"/>
                <w:szCs w:val="20"/>
                <w:lang w:val="en-GB"/>
              </w:rPr>
            </w:pPr>
            <w:r>
              <w:rPr>
                <w:rFonts w:ascii="Arial" w:hAnsi="Arial" w:cs="Arial"/>
                <w:szCs w:val="20"/>
                <w:lang w:val="en-GB"/>
              </w:rPr>
              <w:t>3</w:t>
            </w:r>
          </w:p>
        </w:tc>
        <w:tc>
          <w:tcPr>
            <w:tcW w:w="5760" w:type="dxa"/>
          </w:tcPr>
          <w:p w14:paraId="148FD580" w14:textId="77777777" w:rsidR="00200A70" w:rsidRDefault="00200A70" w:rsidP="00991583">
            <w:pPr>
              <w:pStyle w:val="BodyText"/>
              <w:spacing w:before="0" w:after="0"/>
              <w:jc w:val="left"/>
              <w:rPr>
                <w:rFonts w:ascii="Arial" w:hAnsi="Arial" w:cs="Arial"/>
                <w:szCs w:val="20"/>
                <w:lang w:val="en-GB"/>
              </w:rPr>
            </w:pPr>
            <w:r>
              <w:rPr>
                <w:rFonts w:ascii="Arial" w:hAnsi="Arial" w:cs="Arial"/>
                <w:szCs w:val="20"/>
                <w:lang w:val="en-GB"/>
              </w:rPr>
              <w:t>Fiscal period, balance sheet date, income statement date valid</w:t>
            </w:r>
          </w:p>
        </w:tc>
        <w:tc>
          <w:tcPr>
            <w:tcW w:w="1350" w:type="dxa"/>
          </w:tcPr>
          <w:p w14:paraId="6CFE4BD1" w14:textId="77777777" w:rsidR="00200A70" w:rsidRDefault="00200A70" w:rsidP="00991583">
            <w:pPr>
              <w:pStyle w:val="BodyText"/>
              <w:spacing w:before="0" w:after="0"/>
              <w:jc w:val="center"/>
              <w:rPr>
                <w:rFonts w:ascii="Arial" w:hAnsi="Arial" w:cs="Arial"/>
                <w:szCs w:val="20"/>
                <w:lang w:val="en-GB"/>
              </w:rPr>
            </w:pPr>
            <w:r>
              <w:rPr>
                <w:rFonts w:ascii="Arial" w:hAnsi="Arial" w:cs="Arial"/>
                <w:szCs w:val="20"/>
                <w:lang w:val="en-GB"/>
              </w:rPr>
              <w:t>X</w:t>
            </w:r>
          </w:p>
        </w:tc>
        <w:tc>
          <w:tcPr>
            <w:tcW w:w="1080" w:type="dxa"/>
          </w:tcPr>
          <w:p w14:paraId="72AF733B" w14:textId="77777777" w:rsidR="00200A70" w:rsidRDefault="00200A70" w:rsidP="00991583">
            <w:pPr>
              <w:pStyle w:val="BodyText"/>
              <w:spacing w:before="0" w:after="0"/>
              <w:jc w:val="center"/>
              <w:rPr>
                <w:rFonts w:ascii="Arial" w:hAnsi="Arial" w:cs="Arial"/>
                <w:szCs w:val="20"/>
                <w:lang w:val="en-GB"/>
              </w:rPr>
            </w:pPr>
          </w:p>
        </w:tc>
      </w:tr>
      <w:tr w:rsidR="00200A70" w:rsidRPr="001B645F" w14:paraId="68515E35" w14:textId="77777777" w:rsidTr="00991583">
        <w:trPr>
          <w:cantSplit/>
        </w:trPr>
        <w:tc>
          <w:tcPr>
            <w:tcW w:w="450" w:type="dxa"/>
          </w:tcPr>
          <w:p w14:paraId="0CB2D27D" w14:textId="77777777" w:rsidR="00200A70" w:rsidRDefault="00200A70" w:rsidP="00991583">
            <w:pPr>
              <w:pStyle w:val="BodyText"/>
              <w:spacing w:before="0" w:after="0"/>
              <w:jc w:val="center"/>
              <w:rPr>
                <w:rFonts w:ascii="Arial" w:hAnsi="Arial" w:cs="Arial"/>
                <w:szCs w:val="20"/>
                <w:lang w:val="en-GB"/>
              </w:rPr>
            </w:pPr>
            <w:r>
              <w:rPr>
                <w:rFonts w:ascii="Arial" w:hAnsi="Arial" w:cs="Arial"/>
                <w:szCs w:val="20"/>
                <w:lang w:val="en-GB"/>
              </w:rPr>
              <w:t>4</w:t>
            </w:r>
          </w:p>
        </w:tc>
        <w:tc>
          <w:tcPr>
            <w:tcW w:w="5760" w:type="dxa"/>
          </w:tcPr>
          <w:p w14:paraId="4341B836" w14:textId="77777777" w:rsidR="00200A70" w:rsidRDefault="00200A70" w:rsidP="00991583">
            <w:pPr>
              <w:pStyle w:val="BodyText"/>
              <w:spacing w:before="0" w:after="0"/>
              <w:jc w:val="left"/>
              <w:rPr>
                <w:rFonts w:ascii="Arial" w:hAnsi="Arial" w:cs="Arial"/>
                <w:szCs w:val="20"/>
                <w:lang w:val="en-GB"/>
              </w:rPr>
            </w:pPr>
            <w:r>
              <w:rPr>
                <w:rFonts w:ascii="Arial" w:hAnsi="Arial" w:cs="Arial"/>
                <w:szCs w:val="20"/>
                <w:lang w:val="en-GB"/>
              </w:rPr>
              <w:t>Root economic entity (entity of focus) discovered</w:t>
            </w:r>
          </w:p>
        </w:tc>
        <w:tc>
          <w:tcPr>
            <w:tcW w:w="1350" w:type="dxa"/>
          </w:tcPr>
          <w:p w14:paraId="4B44CF4D" w14:textId="77777777" w:rsidR="00200A70" w:rsidRDefault="00200A70" w:rsidP="00991583">
            <w:pPr>
              <w:pStyle w:val="BodyText"/>
              <w:spacing w:before="0" w:after="0"/>
              <w:jc w:val="center"/>
              <w:rPr>
                <w:rFonts w:ascii="Arial" w:hAnsi="Arial" w:cs="Arial"/>
                <w:szCs w:val="20"/>
                <w:lang w:val="en-GB"/>
              </w:rPr>
            </w:pPr>
            <w:r>
              <w:rPr>
                <w:rFonts w:ascii="Arial" w:hAnsi="Arial" w:cs="Arial"/>
                <w:szCs w:val="20"/>
                <w:lang w:val="en-GB"/>
              </w:rPr>
              <w:t>X</w:t>
            </w:r>
          </w:p>
        </w:tc>
        <w:tc>
          <w:tcPr>
            <w:tcW w:w="1080" w:type="dxa"/>
          </w:tcPr>
          <w:p w14:paraId="29D19517" w14:textId="77777777" w:rsidR="00200A70" w:rsidRDefault="00200A70" w:rsidP="00991583">
            <w:pPr>
              <w:pStyle w:val="BodyText"/>
              <w:spacing w:before="0" w:after="0"/>
              <w:jc w:val="center"/>
              <w:rPr>
                <w:rFonts w:ascii="Arial" w:hAnsi="Arial" w:cs="Arial"/>
                <w:szCs w:val="20"/>
                <w:lang w:val="en-GB"/>
              </w:rPr>
            </w:pPr>
          </w:p>
        </w:tc>
      </w:tr>
      <w:tr w:rsidR="00200A70" w:rsidRPr="001B645F" w14:paraId="17067F02" w14:textId="77777777" w:rsidTr="00991583">
        <w:trPr>
          <w:cantSplit/>
        </w:trPr>
        <w:tc>
          <w:tcPr>
            <w:tcW w:w="450" w:type="dxa"/>
          </w:tcPr>
          <w:p w14:paraId="149802B4" w14:textId="77777777" w:rsidR="00200A70" w:rsidRDefault="00200A70" w:rsidP="00991583">
            <w:pPr>
              <w:pStyle w:val="BodyText"/>
              <w:spacing w:before="0" w:after="0"/>
              <w:jc w:val="center"/>
              <w:rPr>
                <w:rFonts w:ascii="Arial" w:hAnsi="Arial" w:cs="Arial"/>
                <w:szCs w:val="20"/>
                <w:lang w:val="en-GB"/>
              </w:rPr>
            </w:pPr>
            <w:r>
              <w:rPr>
                <w:rFonts w:ascii="Arial" w:hAnsi="Arial" w:cs="Arial"/>
                <w:szCs w:val="20"/>
                <w:lang w:val="en-GB"/>
              </w:rPr>
              <w:t>5</w:t>
            </w:r>
          </w:p>
        </w:tc>
        <w:tc>
          <w:tcPr>
            <w:tcW w:w="5760" w:type="dxa"/>
          </w:tcPr>
          <w:p w14:paraId="26AC7900" w14:textId="77777777" w:rsidR="00200A70" w:rsidRDefault="00200A70" w:rsidP="00991583">
            <w:pPr>
              <w:pStyle w:val="BodyText"/>
              <w:spacing w:before="0" w:after="0"/>
              <w:jc w:val="left"/>
              <w:rPr>
                <w:rFonts w:ascii="Arial" w:hAnsi="Arial" w:cs="Arial"/>
                <w:szCs w:val="20"/>
                <w:lang w:val="en-GB"/>
              </w:rPr>
            </w:pPr>
            <w:r>
              <w:rPr>
                <w:rFonts w:ascii="Arial" w:hAnsi="Arial" w:cs="Arial"/>
                <w:szCs w:val="20"/>
                <w:lang w:val="en-GB"/>
              </w:rPr>
              <w:t>Fundamental accounting concepts and relations valid</w:t>
            </w:r>
          </w:p>
        </w:tc>
        <w:tc>
          <w:tcPr>
            <w:tcW w:w="1350" w:type="dxa"/>
          </w:tcPr>
          <w:p w14:paraId="41AAC506" w14:textId="77777777" w:rsidR="00200A70" w:rsidRDefault="00200A70" w:rsidP="00991583">
            <w:pPr>
              <w:pStyle w:val="BodyText"/>
              <w:spacing w:before="0" w:after="0"/>
              <w:jc w:val="center"/>
              <w:rPr>
                <w:rFonts w:ascii="Arial" w:hAnsi="Arial" w:cs="Arial"/>
                <w:szCs w:val="20"/>
                <w:lang w:val="en-GB"/>
              </w:rPr>
            </w:pPr>
            <w:r>
              <w:rPr>
                <w:rFonts w:ascii="Arial" w:hAnsi="Arial" w:cs="Arial"/>
                <w:szCs w:val="20"/>
                <w:lang w:val="en-GB"/>
              </w:rPr>
              <w:t>X</w:t>
            </w:r>
          </w:p>
        </w:tc>
        <w:tc>
          <w:tcPr>
            <w:tcW w:w="1080" w:type="dxa"/>
          </w:tcPr>
          <w:p w14:paraId="4F5550B8" w14:textId="77777777" w:rsidR="00200A70" w:rsidRDefault="00200A70" w:rsidP="00991583">
            <w:pPr>
              <w:pStyle w:val="BodyText"/>
              <w:spacing w:before="0" w:after="0"/>
              <w:jc w:val="center"/>
              <w:rPr>
                <w:rFonts w:ascii="Arial" w:hAnsi="Arial" w:cs="Arial"/>
                <w:szCs w:val="20"/>
                <w:lang w:val="en-GB"/>
              </w:rPr>
            </w:pPr>
          </w:p>
        </w:tc>
      </w:tr>
      <w:tr w:rsidR="00200A70" w:rsidRPr="001B645F" w14:paraId="64420EC0" w14:textId="77777777" w:rsidTr="00991583">
        <w:trPr>
          <w:cantSplit/>
        </w:trPr>
        <w:tc>
          <w:tcPr>
            <w:tcW w:w="450" w:type="dxa"/>
          </w:tcPr>
          <w:p w14:paraId="6F43333C" w14:textId="77777777" w:rsidR="00200A70" w:rsidRDefault="00200A70" w:rsidP="00991583">
            <w:pPr>
              <w:pStyle w:val="BodyText"/>
              <w:spacing w:before="0" w:after="0"/>
              <w:jc w:val="center"/>
              <w:rPr>
                <w:rFonts w:ascii="Arial" w:hAnsi="Arial" w:cs="Arial"/>
                <w:szCs w:val="20"/>
                <w:lang w:val="en-GB"/>
              </w:rPr>
            </w:pPr>
            <w:r>
              <w:rPr>
                <w:rFonts w:ascii="Arial" w:hAnsi="Arial" w:cs="Arial"/>
                <w:szCs w:val="20"/>
                <w:lang w:val="en-GB"/>
              </w:rPr>
              <w:t>6</w:t>
            </w:r>
          </w:p>
        </w:tc>
        <w:tc>
          <w:tcPr>
            <w:tcW w:w="5760" w:type="dxa"/>
          </w:tcPr>
          <w:p w14:paraId="001177E4" w14:textId="77777777" w:rsidR="00200A70" w:rsidRDefault="00200A70" w:rsidP="00991583">
            <w:pPr>
              <w:pStyle w:val="BodyText"/>
              <w:spacing w:before="0" w:after="0"/>
              <w:jc w:val="left"/>
              <w:rPr>
                <w:rFonts w:ascii="Arial" w:hAnsi="Arial" w:cs="Arial"/>
                <w:szCs w:val="20"/>
                <w:lang w:val="en-GB"/>
              </w:rPr>
            </w:pPr>
            <w:r>
              <w:rPr>
                <w:rFonts w:ascii="Arial" w:hAnsi="Arial" w:cs="Arial"/>
                <w:szCs w:val="20"/>
                <w:lang w:val="en-GB"/>
              </w:rPr>
              <w:t>Industry specific accounting concepts and relations valid</w:t>
            </w:r>
          </w:p>
        </w:tc>
        <w:tc>
          <w:tcPr>
            <w:tcW w:w="1350" w:type="dxa"/>
          </w:tcPr>
          <w:p w14:paraId="3931194E" w14:textId="77777777" w:rsidR="00200A70" w:rsidRDefault="00200A70" w:rsidP="00991583">
            <w:pPr>
              <w:pStyle w:val="BodyText"/>
              <w:spacing w:before="0" w:after="0"/>
              <w:jc w:val="center"/>
              <w:rPr>
                <w:rFonts w:ascii="Arial" w:hAnsi="Arial" w:cs="Arial"/>
                <w:szCs w:val="20"/>
                <w:lang w:val="en-GB"/>
              </w:rPr>
            </w:pPr>
            <w:r>
              <w:rPr>
                <w:rFonts w:ascii="Arial" w:hAnsi="Arial" w:cs="Arial"/>
                <w:szCs w:val="20"/>
                <w:lang w:val="en-GB"/>
              </w:rPr>
              <w:t>X</w:t>
            </w:r>
          </w:p>
        </w:tc>
        <w:tc>
          <w:tcPr>
            <w:tcW w:w="1080" w:type="dxa"/>
          </w:tcPr>
          <w:p w14:paraId="2BA49703" w14:textId="77777777" w:rsidR="00200A70" w:rsidRDefault="00200A70" w:rsidP="00991583">
            <w:pPr>
              <w:pStyle w:val="BodyText"/>
              <w:spacing w:before="0" w:after="0"/>
              <w:jc w:val="center"/>
              <w:rPr>
                <w:rFonts w:ascii="Arial" w:hAnsi="Arial" w:cs="Arial"/>
                <w:szCs w:val="20"/>
                <w:lang w:val="en-GB"/>
              </w:rPr>
            </w:pPr>
            <w:r>
              <w:rPr>
                <w:rFonts w:ascii="Arial" w:hAnsi="Arial" w:cs="Arial"/>
                <w:szCs w:val="20"/>
                <w:lang w:val="en-GB"/>
              </w:rPr>
              <w:t>X</w:t>
            </w:r>
          </w:p>
        </w:tc>
      </w:tr>
      <w:tr w:rsidR="00200A70" w:rsidRPr="001B645F" w14:paraId="4F79E3C7" w14:textId="77777777" w:rsidTr="00991583">
        <w:trPr>
          <w:cantSplit/>
        </w:trPr>
        <w:tc>
          <w:tcPr>
            <w:tcW w:w="450" w:type="dxa"/>
          </w:tcPr>
          <w:p w14:paraId="553CD296" w14:textId="77777777" w:rsidR="00200A70" w:rsidRDefault="00200A70" w:rsidP="00991583">
            <w:pPr>
              <w:pStyle w:val="BodyText"/>
              <w:spacing w:before="0" w:after="0"/>
              <w:jc w:val="center"/>
              <w:rPr>
                <w:rFonts w:ascii="Arial" w:hAnsi="Arial" w:cs="Arial"/>
                <w:szCs w:val="20"/>
                <w:lang w:val="en-GB"/>
              </w:rPr>
            </w:pPr>
            <w:r>
              <w:rPr>
                <w:rFonts w:ascii="Arial" w:hAnsi="Arial" w:cs="Arial"/>
                <w:szCs w:val="20"/>
                <w:lang w:val="en-GB"/>
              </w:rPr>
              <w:t>7</w:t>
            </w:r>
          </w:p>
        </w:tc>
        <w:tc>
          <w:tcPr>
            <w:tcW w:w="5760" w:type="dxa"/>
          </w:tcPr>
          <w:p w14:paraId="1967A17B" w14:textId="77777777" w:rsidR="00200A70" w:rsidRDefault="00200A70" w:rsidP="00991583">
            <w:pPr>
              <w:pStyle w:val="BodyText"/>
              <w:spacing w:before="0" w:after="0"/>
              <w:jc w:val="left"/>
              <w:rPr>
                <w:rFonts w:ascii="Arial" w:hAnsi="Arial" w:cs="Arial"/>
                <w:szCs w:val="20"/>
                <w:lang w:val="en-GB"/>
              </w:rPr>
            </w:pPr>
            <w:r>
              <w:rPr>
                <w:rFonts w:ascii="Arial" w:hAnsi="Arial" w:cs="Arial"/>
                <w:szCs w:val="20"/>
                <w:lang w:val="en-GB"/>
              </w:rPr>
              <w:t>Report level model structure valid</w:t>
            </w:r>
          </w:p>
        </w:tc>
        <w:tc>
          <w:tcPr>
            <w:tcW w:w="1350" w:type="dxa"/>
          </w:tcPr>
          <w:p w14:paraId="37AAAF1F" w14:textId="77777777" w:rsidR="00200A70" w:rsidRDefault="00200A70" w:rsidP="00991583">
            <w:pPr>
              <w:pStyle w:val="BodyText"/>
              <w:spacing w:before="0" w:after="0"/>
              <w:jc w:val="center"/>
              <w:rPr>
                <w:rFonts w:ascii="Arial" w:hAnsi="Arial" w:cs="Arial"/>
                <w:szCs w:val="20"/>
                <w:lang w:val="en-GB"/>
              </w:rPr>
            </w:pPr>
            <w:r>
              <w:rPr>
                <w:rFonts w:ascii="Arial" w:hAnsi="Arial" w:cs="Arial"/>
                <w:szCs w:val="20"/>
                <w:lang w:val="en-GB"/>
              </w:rPr>
              <w:t>X</w:t>
            </w:r>
          </w:p>
        </w:tc>
        <w:tc>
          <w:tcPr>
            <w:tcW w:w="1080" w:type="dxa"/>
          </w:tcPr>
          <w:p w14:paraId="2A0CFE06" w14:textId="77777777" w:rsidR="00200A70" w:rsidRDefault="00200A70" w:rsidP="00991583">
            <w:pPr>
              <w:pStyle w:val="BodyText"/>
              <w:spacing w:before="0" w:after="0"/>
              <w:jc w:val="center"/>
              <w:rPr>
                <w:rFonts w:ascii="Arial" w:hAnsi="Arial" w:cs="Arial"/>
                <w:szCs w:val="20"/>
                <w:lang w:val="en-GB"/>
              </w:rPr>
            </w:pPr>
          </w:p>
        </w:tc>
      </w:tr>
      <w:tr w:rsidR="00200A70" w:rsidRPr="001B645F" w14:paraId="2B97C364" w14:textId="77777777" w:rsidTr="00991583">
        <w:trPr>
          <w:cantSplit/>
        </w:trPr>
        <w:tc>
          <w:tcPr>
            <w:tcW w:w="450" w:type="dxa"/>
          </w:tcPr>
          <w:p w14:paraId="12241A98" w14:textId="77777777" w:rsidR="00200A70" w:rsidRDefault="00200A70" w:rsidP="00991583">
            <w:pPr>
              <w:pStyle w:val="BodyText"/>
              <w:spacing w:before="0" w:after="0"/>
              <w:jc w:val="center"/>
              <w:rPr>
                <w:rFonts w:ascii="Arial" w:hAnsi="Arial" w:cs="Arial"/>
                <w:szCs w:val="20"/>
                <w:lang w:val="en-GB"/>
              </w:rPr>
            </w:pPr>
            <w:r>
              <w:rPr>
                <w:rFonts w:ascii="Arial" w:hAnsi="Arial" w:cs="Arial"/>
                <w:szCs w:val="20"/>
                <w:lang w:val="en-GB"/>
              </w:rPr>
              <w:t>8</w:t>
            </w:r>
          </w:p>
        </w:tc>
        <w:tc>
          <w:tcPr>
            <w:tcW w:w="5760" w:type="dxa"/>
          </w:tcPr>
          <w:p w14:paraId="0E1CEFC5" w14:textId="77777777" w:rsidR="00200A70" w:rsidRDefault="00200A70" w:rsidP="00991583">
            <w:pPr>
              <w:pStyle w:val="BodyText"/>
              <w:spacing w:before="0" w:after="0"/>
              <w:jc w:val="left"/>
              <w:rPr>
                <w:rFonts w:ascii="Arial" w:hAnsi="Arial" w:cs="Arial"/>
                <w:szCs w:val="20"/>
                <w:lang w:val="en-GB"/>
              </w:rPr>
            </w:pPr>
            <w:r>
              <w:rPr>
                <w:rFonts w:ascii="Arial" w:hAnsi="Arial" w:cs="Arial"/>
                <w:szCs w:val="20"/>
                <w:lang w:val="en-GB"/>
              </w:rPr>
              <w:t>Primary financial statements discovered</w:t>
            </w:r>
          </w:p>
        </w:tc>
        <w:tc>
          <w:tcPr>
            <w:tcW w:w="1350" w:type="dxa"/>
          </w:tcPr>
          <w:p w14:paraId="0727150A" w14:textId="77777777" w:rsidR="00200A70" w:rsidRDefault="00200A70" w:rsidP="00991583">
            <w:pPr>
              <w:pStyle w:val="BodyText"/>
              <w:spacing w:before="0" w:after="0"/>
              <w:jc w:val="center"/>
              <w:rPr>
                <w:rFonts w:ascii="Arial" w:hAnsi="Arial" w:cs="Arial"/>
                <w:szCs w:val="20"/>
                <w:lang w:val="en-GB"/>
              </w:rPr>
            </w:pPr>
            <w:r>
              <w:rPr>
                <w:rFonts w:ascii="Arial" w:hAnsi="Arial" w:cs="Arial"/>
                <w:szCs w:val="20"/>
                <w:lang w:val="en-GB"/>
              </w:rPr>
              <w:t>X</w:t>
            </w:r>
          </w:p>
        </w:tc>
        <w:tc>
          <w:tcPr>
            <w:tcW w:w="1080" w:type="dxa"/>
          </w:tcPr>
          <w:p w14:paraId="015EC427" w14:textId="77777777" w:rsidR="00200A70" w:rsidRDefault="00200A70" w:rsidP="00991583">
            <w:pPr>
              <w:pStyle w:val="BodyText"/>
              <w:spacing w:before="0" w:after="0"/>
              <w:jc w:val="center"/>
              <w:rPr>
                <w:rFonts w:ascii="Arial" w:hAnsi="Arial" w:cs="Arial"/>
                <w:szCs w:val="20"/>
                <w:lang w:val="en-GB"/>
              </w:rPr>
            </w:pPr>
            <w:r>
              <w:rPr>
                <w:rFonts w:ascii="Arial" w:hAnsi="Arial" w:cs="Arial"/>
                <w:szCs w:val="20"/>
                <w:lang w:val="en-GB"/>
              </w:rPr>
              <w:t>X</w:t>
            </w:r>
          </w:p>
        </w:tc>
      </w:tr>
      <w:tr w:rsidR="00200A70" w:rsidRPr="001B645F" w14:paraId="5460540A" w14:textId="77777777" w:rsidTr="00991583">
        <w:trPr>
          <w:cantSplit/>
        </w:trPr>
        <w:tc>
          <w:tcPr>
            <w:tcW w:w="450" w:type="dxa"/>
          </w:tcPr>
          <w:p w14:paraId="782FA825" w14:textId="77777777" w:rsidR="00200A70" w:rsidRDefault="00200A70" w:rsidP="00991583">
            <w:pPr>
              <w:pStyle w:val="BodyText"/>
              <w:spacing w:before="0" w:after="0"/>
              <w:jc w:val="center"/>
              <w:rPr>
                <w:rFonts w:ascii="Arial" w:hAnsi="Arial" w:cs="Arial"/>
                <w:szCs w:val="20"/>
                <w:lang w:val="en-GB"/>
              </w:rPr>
            </w:pPr>
            <w:r>
              <w:rPr>
                <w:rFonts w:ascii="Arial" w:hAnsi="Arial" w:cs="Arial"/>
                <w:szCs w:val="20"/>
                <w:lang w:val="en-GB"/>
              </w:rPr>
              <w:t>9</w:t>
            </w:r>
          </w:p>
        </w:tc>
        <w:tc>
          <w:tcPr>
            <w:tcW w:w="5760" w:type="dxa"/>
          </w:tcPr>
          <w:p w14:paraId="57529075" w14:textId="77777777" w:rsidR="00200A70" w:rsidRDefault="00200A70" w:rsidP="00991583">
            <w:pPr>
              <w:pStyle w:val="BodyText"/>
              <w:spacing w:before="0" w:after="0"/>
              <w:jc w:val="left"/>
              <w:rPr>
                <w:rFonts w:ascii="Arial" w:hAnsi="Arial" w:cs="Arial"/>
                <w:szCs w:val="20"/>
                <w:lang w:val="en-GB"/>
              </w:rPr>
            </w:pPr>
            <w:r>
              <w:rPr>
                <w:rFonts w:ascii="Arial" w:hAnsi="Arial" w:cs="Arial"/>
                <w:szCs w:val="20"/>
                <w:lang w:val="en-GB"/>
              </w:rPr>
              <w:t>Primary financial statements foot and roll forward appropriately</w:t>
            </w:r>
          </w:p>
        </w:tc>
        <w:tc>
          <w:tcPr>
            <w:tcW w:w="1350" w:type="dxa"/>
          </w:tcPr>
          <w:p w14:paraId="157CC83A" w14:textId="77777777" w:rsidR="00200A70" w:rsidRDefault="00200A70" w:rsidP="00991583">
            <w:pPr>
              <w:pStyle w:val="BodyText"/>
              <w:spacing w:before="0" w:after="0"/>
              <w:jc w:val="center"/>
              <w:rPr>
                <w:rFonts w:ascii="Arial" w:hAnsi="Arial" w:cs="Arial"/>
                <w:szCs w:val="20"/>
                <w:lang w:val="en-GB"/>
              </w:rPr>
            </w:pPr>
            <w:r>
              <w:rPr>
                <w:rFonts w:ascii="Arial" w:hAnsi="Arial" w:cs="Arial"/>
                <w:szCs w:val="20"/>
                <w:lang w:val="en-GB"/>
              </w:rPr>
              <w:t>X</w:t>
            </w:r>
          </w:p>
        </w:tc>
        <w:tc>
          <w:tcPr>
            <w:tcW w:w="1080" w:type="dxa"/>
          </w:tcPr>
          <w:p w14:paraId="6F1A05E0" w14:textId="77777777" w:rsidR="00200A70" w:rsidRDefault="00200A70" w:rsidP="00991583">
            <w:pPr>
              <w:pStyle w:val="BodyText"/>
              <w:spacing w:before="0" w:after="0"/>
              <w:jc w:val="center"/>
              <w:rPr>
                <w:rFonts w:ascii="Arial" w:hAnsi="Arial" w:cs="Arial"/>
                <w:szCs w:val="20"/>
                <w:lang w:val="en-GB"/>
              </w:rPr>
            </w:pPr>
          </w:p>
        </w:tc>
      </w:tr>
      <w:tr w:rsidR="00200A70" w:rsidRPr="001B645F" w14:paraId="00B60B8B" w14:textId="77777777" w:rsidTr="00991583">
        <w:trPr>
          <w:cantSplit/>
        </w:trPr>
        <w:tc>
          <w:tcPr>
            <w:tcW w:w="450" w:type="dxa"/>
          </w:tcPr>
          <w:p w14:paraId="0E84F29B" w14:textId="77777777" w:rsidR="00200A70" w:rsidRDefault="00200A70" w:rsidP="00991583">
            <w:pPr>
              <w:pStyle w:val="BodyText"/>
              <w:spacing w:before="0" w:after="0"/>
              <w:jc w:val="center"/>
              <w:rPr>
                <w:rFonts w:ascii="Arial" w:hAnsi="Arial" w:cs="Arial"/>
                <w:szCs w:val="20"/>
                <w:lang w:val="en-GB"/>
              </w:rPr>
            </w:pPr>
            <w:r>
              <w:rPr>
                <w:rFonts w:ascii="Arial" w:hAnsi="Arial" w:cs="Arial"/>
                <w:szCs w:val="20"/>
                <w:lang w:val="en-GB"/>
              </w:rPr>
              <w:t>10</w:t>
            </w:r>
          </w:p>
        </w:tc>
        <w:tc>
          <w:tcPr>
            <w:tcW w:w="5760" w:type="dxa"/>
          </w:tcPr>
          <w:p w14:paraId="1D5BD829" w14:textId="77777777" w:rsidR="00200A70" w:rsidRDefault="00200A70" w:rsidP="00991583">
            <w:pPr>
              <w:pStyle w:val="BodyText"/>
              <w:spacing w:before="0" w:after="0"/>
              <w:jc w:val="left"/>
              <w:rPr>
                <w:rFonts w:ascii="Arial" w:hAnsi="Arial" w:cs="Arial"/>
                <w:szCs w:val="20"/>
                <w:lang w:val="en-GB"/>
              </w:rPr>
            </w:pPr>
            <w:r>
              <w:rPr>
                <w:rFonts w:ascii="Arial" w:hAnsi="Arial" w:cs="Arial"/>
                <w:szCs w:val="20"/>
                <w:lang w:val="en-GB"/>
              </w:rPr>
              <w:t>Required disclosures discovered</w:t>
            </w:r>
          </w:p>
        </w:tc>
        <w:tc>
          <w:tcPr>
            <w:tcW w:w="1350" w:type="dxa"/>
          </w:tcPr>
          <w:p w14:paraId="67806B0B" w14:textId="77777777" w:rsidR="00200A70" w:rsidRDefault="00200A70" w:rsidP="00991583">
            <w:pPr>
              <w:pStyle w:val="BodyText"/>
              <w:spacing w:before="0" w:after="0"/>
              <w:jc w:val="center"/>
              <w:rPr>
                <w:rFonts w:ascii="Arial" w:hAnsi="Arial" w:cs="Arial"/>
                <w:szCs w:val="20"/>
                <w:lang w:val="en-GB"/>
              </w:rPr>
            </w:pPr>
            <w:r>
              <w:rPr>
                <w:rFonts w:ascii="Arial" w:hAnsi="Arial" w:cs="Arial"/>
                <w:szCs w:val="20"/>
                <w:lang w:val="en-GB"/>
              </w:rPr>
              <w:t>X</w:t>
            </w:r>
          </w:p>
        </w:tc>
        <w:tc>
          <w:tcPr>
            <w:tcW w:w="1080" w:type="dxa"/>
          </w:tcPr>
          <w:p w14:paraId="44977025" w14:textId="77777777" w:rsidR="00200A70" w:rsidRDefault="00200A70" w:rsidP="00991583">
            <w:pPr>
              <w:pStyle w:val="BodyText"/>
              <w:spacing w:before="0" w:after="0"/>
              <w:jc w:val="center"/>
              <w:rPr>
                <w:rFonts w:ascii="Arial" w:hAnsi="Arial" w:cs="Arial"/>
                <w:szCs w:val="20"/>
                <w:lang w:val="en-GB"/>
              </w:rPr>
            </w:pPr>
          </w:p>
        </w:tc>
      </w:tr>
      <w:tr w:rsidR="00200A70" w:rsidRPr="001B645F" w14:paraId="20A5D819" w14:textId="77777777" w:rsidTr="00991583">
        <w:trPr>
          <w:cantSplit/>
        </w:trPr>
        <w:tc>
          <w:tcPr>
            <w:tcW w:w="450" w:type="dxa"/>
          </w:tcPr>
          <w:p w14:paraId="62E58DA3" w14:textId="77777777" w:rsidR="00200A70" w:rsidRDefault="00200A70" w:rsidP="00991583">
            <w:pPr>
              <w:pStyle w:val="BodyText"/>
              <w:spacing w:before="0" w:after="0"/>
              <w:jc w:val="center"/>
              <w:rPr>
                <w:rFonts w:ascii="Arial" w:hAnsi="Arial" w:cs="Arial"/>
                <w:szCs w:val="20"/>
                <w:lang w:val="en-GB"/>
              </w:rPr>
            </w:pPr>
            <w:r>
              <w:rPr>
                <w:rFonts w:ascii="Arial" w:hAnsi="Arial" w:cs="Arial"/>
                <w:szCs w:val="20"/>
                <w:lang w:val="en-GB"/>
              </w:rPr>
              <w:t>11</w:t>
            </w:r>
          </w:p>
        </w:tc>
        <w:tc>
          <w:tcPr>
            <w:tcW w:w="5760" w:type="dxa"/>
          </w:tcPr>
          <w:p w14:paraId="1B77A49F" w14:textId="77777777" w:rsidR="00200A70" w:rsidRDefault="00200A70" w:rsidP="00991583">
            <w:pPr>
              <w:pStyle w:val="BodyText"/>
              <w:spacing w:before="0" w:after="0"/>
              <w:jc w:val="left"/>
              <w:rPr>
                <w:rFonts w:ascii="Arial" w:hAnsi="Arial" w:cs="Arial"/>
                <w:szCs w:val="20"/>
                <w:lang w:val="en-GB"/>
              </w:rPr>
            </w:pPr>
            <w:r>
              <w:rPr>
                <w:rFonts w:ascii="Arial" w:hAnsi="Arial" w:cs="Arial"/>
                <w:szCs w:val="20"/>
                <w:lang w:val="en-GB"/>
              </w:rPr>
              <w:t>Each SEC Level 3 [Text Block] and SEC Level 4 detail disclosure match</w:t>
            </w:r>
          </w:p>
        </w:tc>
        <w:tc>
          <w:tcPr>
            <w:tcW w:w="1350" w:type="dxa"/>
          </w:tcPr>
          <w:p w14:paraId="57F3371C" w14:textId="77777777" w:rsidR="00200A70" w:rsidRDefault="00200A70" w:rsidP="00991583">
            <w:pPr>
              <w:pStyle w:val="BodyText"/>
              <w:spacing w:before="0" w:after="0"/>
              <w:jc w:val="center"/>
              <w:rPr>
                <w:rFonts w:ascii="Arial" w:hAnsi="Arial" w:cs="Arial"/>
                <w:szCs w:val="20"/>
                <w:lang w:val="en-GB"/>
              </w:rPr>
            </w:pPr>
            <w:r>
              <w:rPr>
                <w:rFonts w:ascii="Arial" w:hAnsi="Arial" w:cs="Arial"/>
                <w:szCs w:val="20"/>
                <w:lang w:val="en-GB"/>
              </w:rPr>
              <w:t>X</w:t>
            </w:r>
          </w:p>
        </w:tc>
        <w:tc>
          <w:tcPr>
            <w:tcW w:w="1080" w:type="dxa"/>
          </w:tcPr>
          <w:p w14:paraId="289614B9" w14:textId="77777777" w:rsidR="00200A70" w:rsidRDefault="00200A70" w:rsidP="00991583">
            <w:pPr>
              <w:pStyle w:val="BodyText"/>
              <w:spacing w:before="0" w:after="0"/>
              <w:jc w:val="center"/>
              <w:rPr>
                <w:rFonts w:ascii="Arial" w:hAnsi="Arial" w:cs="Arial"/>
                <w:szCs w:val="20"/>
                <w:lang w:val="en-GB"/>
              </w:rPr>
            </w:pPr>
            <w:r>
              <w:rPr>
                <w:rFonts w:ascii="Arial" w:hAnsi="Arial" w:cs="Arial"/>
                <w:szCs w:val="20"/>
                <w:lang w:val="en-GB"/>
              </w:rPr>
              <w:t>X</w:t>
            </w:r>
          </w:p>
        </w:tc>
      </w:tr>
      <w:tr w:rsidR="00200A70" w:rsidRPr="001B645F" w14:paraId="0C9083CF" w14:textId="77777777" w:rsidTr="00991583">
        <w:trPr>
          <w:cantSplit/>
        </w:trPr>
        <w:tc>
          <w:tcPr>
            <w:tcW w:w="450" w:type="dxa"/>
          </w:tcPr>
          <w:p w14:paraId="155FF739" w14:textId="77777777" w:rsidR="00200A70" w:rsidRDefault="00200A70" w:rsidP="00991583">
            <w:pPr>
              <w:pStyle w:val="BodyText"/>
              <w:spacing w:before="0" w:after="0"/>
              <w:jc w:val="center"/>
              <w:rPr>
                <w:rFonts w:ascii="Arial" w:hAnsi="Arial" w:cs="Arial"/>
                <w:szCs w:val="20"/>
                <w:lang w:val="en-GB"/>
              </w:rPr>
            </w:pPr>
            <w:r>
              <w:rPr>
                <w:rFonts w:ascii="Arial" w:hAnsi="Arial" w:cs="Arial"/>
                <w:szCs w:val="20"/>
                <w:lang w:val="en-GB"/>
              </w:rPr>
              <w:t>12</w:t>
            </w:r>
          </w:p>
        </w:tc>
        <w:tc>
          <w:tcPr>
            <w:tcW w:w="5760" w:type="dxa"/>
          </w:tcPr>
          <w:p w14:paraId="1D9C0BC4" w14:textId="77777777" w:rsidR="00200A70" w:rsidRDefault="00200A70" w:rsidP="00991583">
            <w:pPr>
              <w:pStyle w:val="BodyText"/>
              <w:spacing w:before="0" w:after="0"/>
              <w:jc w:val="left"/>
              <w:rPr>
                <w:rFonts w:ascii="Arial" w:hAnsi="Arial" w:cs="Arial"/>
                <w:szCs w:val="20"/>
                <w:lang w:val="en-GB"/>
              </w:rPr>
            </w:pPr>
            <w:r>
              <w:rPr>
                <w:rFonts w:ascii="Arial" w:hAnsi="Arial" w:cs="Arial"/>
                <w:szCs w:val="20"/>
                <w:lang w:val="en-GB"/>
              </w:rPr>
              <w:t>Each SEC Level 4 detail disclosure valid</w:t>
            </w:r>
          </w:p>
        </w:tc>
        <w:tc>
          <w:tcPr>
            <w:tcW w:w="1350" w:type="dxa"/>
          </w:tcPr>
          <w:p w14:paraId="067C31AD" w14:textId="77777777" w:rsidR="00200A70" w:rsidRDefault="00200A70" w:rsidP="00991583">
            <w:pPr>
              <w:pStyle w:val="BodyText"/>
              <w:spacing w:before="0" w:after="0"/>
              <w:jc w:val="center"/>
              <w:rPr>
                <w:rFonts w:ascii="Arial" w:hAnsi="Arial" w:cs="Arial"/>
                <w:szCs w:val="20"/>
                <w:lang w:val="en-GB"/>
              </w:rPr>
            </w:pPr>
            <w:r>
              <w:rPr>
                <w:rFonts w:ascii="Arial" w:hAnsi="Arial" w:cs="Arial"/>
                <w:szCs w:val="20"/>
                <w:lang w:val="en-GB"/>
              </w:rPr>
              <w:t>X</w:t>
            </w:r>
          </w:p>
        </w:tc>
        <w:tc>
          <w:tcPr>
            <w:tcW w:w="1080" w:type="dxa"/>
          </w:tcPr>
          <w:p w14:paraId="658A7AA9" w14:textId="77777777" w:rsidR="00200A70" w:rsidRDefault="00200A70" w:rsidP="00991583">
            <w:pPr>
              <w:pStyle w:val="BodyText"/>
              <w:spacing w:before="0" w:after="0"/>
              <w:jc w:val="center"/>
              <w:rPr>
                <w:rFonts w:ascii="Arial" w:hAnsi="Arial" w:cs="Arial"/>
                <w:szCs w:val="20"/>
                <w:lang w:val="en-GB"/>
              </w:rPr>
            </w:pPr>
            <w:r>
              <w:rPr>
                <w:rFonts w:ascii="Arial" w:hAnsi="Arial" w:cs="Arial"/>
                <w:szCs w:val="20"/>
                <w:lang w:val="en-GB"/>
              </w:rPr>
              <w:t>X</w:t>
            </w:r>
          </w:p>
        </w:tc>
      </w:tr>
      <w:tr w:rsidR="00200A70" w:rsidRPr="001B645F" w14:paraId="13B7C0D9" w14:textId="77777777" w:rsidTr="00991583">
        <w:trPr>
          <w:cantSplit/>
        </w:trPr>
        <w:tc>
          <w:tcPr>
            <w:tcW w:w="450" w:type="dxa"/>
          </w:tcPr>
          <w:p w14:paraId="1F1D4A95" w14:textId="77777777" w:rsidR="00200A70" w:rsidRDefault="00200A70" w:rsidP="00991583">
            <w:pPr>
              <w:pStyle w:val="BodyText"/>
              <w:spacing w:before="0" w:after="0"/>
              <w:jc w:val="center"/>
              <w:rPr>
                <w:rFonts w:ascii="Arial" w:hAnsi="Arial" w:cs="Arial"/>
                <w:szCs w:val="20"/>
                <w:lang w:val="en-GB"/>
              </w:rPr>
            </w:pPr>
            <w:r>
              <w:rPr>
                <w:rFonts w:ascii="Arial" w:hAnsi="Arial" w:cs="Arial"/>
                <w:szCs w:val="20"/>
                <w:lang w:val="en-GB"/>
              </w:rPr>
              <w:t>13</w:t>
            </w:r>
          </w:p>
        </w:tc>
        <w:tc>
          <w:tcPr>
            <w:tcW w:w="5760" w:type="dxa"/>
          </w:tcPr>
          <w:p w14:paraId="41C2FA50" w14:textId="77777777" w:rsidR="00200A70" w:rsidRDefault="00200A70" w:rsidP="00991583">
            <w:pPr>
              <w:pStyle w:val="BodyText"/>
              <w:spacing w:before="0" w:after="0"/>
              <w:jc w:val="left"/>
              <w:rPr>
                <w:rFonts w:ascii="Arial" w:hAnsi="Arial" w:cs="Arial"/>
                <w:szCs w:val="20"/>
                <w:lang w:val="en-GB"/>
              </w:rPr>
            </w:pPr>
            <w:r>
              <w:rPr>
                <w:rFonts w:ascii="Arial" w:hAnsi="Arial" w:cs="Arial"/>
                <w:szCs w:val="20"/>
                <w:lang w:val="en-GB"/>
              </w:rPr>
              <w:t>Current report prior year facts match prior report current year reported facts</w:t>
            </w:r>
          </w:p>
        </w:tc>
        <w:tc>
          <w:tcPr>
            <w:tcW w:w="1350" w:type="dxa"/>
          </w:tcPr>
          <w:p w14:paraId="7009B423" w14:textId="77777777" w:rsidR="00200A70" w:rsidRDefault="00200A70" w:rsidP="00991583">
            <w:pPr>
              <w:pStyle w:val="BodyText"/>
              <w:spacing w:before="0" w:after="0"/>
              <w:jc w:val="center"/>
              <w:rPr>
                <w:rFonts w:ascii="Arial" w:hAnsi="Arial" w:cs="Arial"/>
                <w:szCs w:val="20"/>
                <w:lang w:val="en-GB"/>
              </w:rPr>
            </w:pPr>
            <w:r>
              <w:rPr>
                <w:rFonts w:ascii="Arial" w:hAnsi="Arial" w:cs="Arial"/>
                <w:szCs w:val="20"/>
                <w:lang w:val="en-GB"/>
              </w:rPr>
              <w:t>X</w:t>
            </w:r>
          </w:p>
        </w:tc>
        <w:tc>
          <w:tcPr>
            <w:tcW w:w="1080" w:type="dxa"/>
          </w:tcPr>
          <w:p w14:paraId="3F50A431" w14:textId="77777777" w:rsidR="00200A70" w:rsidRDefault="00200A70" w:rsidP="00991583">
            <w:pPr>
              <w:pStyle w:val="BodyText"/>
              <w:spacing w:before="0" w:after="0"/>
              <w:jc w:val="center"/>
              <w:rPr>
                <w:rFonts w:ascii="Arial" w:hAnsi="Arial" w:cs="Arial"/>
                <w:szCs w:val="20"/>
                <w:lang w:val="en-GB"/>
              </w:rPr>
            </w:pPr>
          </w:p>
        </w:tc>
      </w:tr>
      <w:tr w:rsidR="00200A70" w:rsidRPr="001B645F" w14:paraId="7389A3D1" w14:textId="77777777" w:rsidTr="00991583">
        <w:trPr>
          <w:cantSplit/>
        </w:trPr>
        <w:tc>
          <w:tcPr>
            <w:tcW w:w="450" w:type="dxa"/>
          </w:tcPr>
          <w:p w14:paraId="0B6DFE88" w14:textId="77777777" w:rsidR="00200A70" w:rsidRDefault="00200A70" w:rsidP="00991583">
            <w:pPr>
              <w:pStyle w:val="BodyText"/>
              <w:spacing w:before="0" w:after="0"/>
              <w:jc w:val="center"/>
              <w:rPr>
                <w:rFonts w:ascii="Arial" w:hAnsi="Arial" w:cs="Arial"/>
                <w:szCs w:val="20"/>
                <w:lang w:val="en-GB"/>
              </w:rPr>
            </w:pPr>
            <w:r>
              <w:rPr>
                <w:rFonts w:ascii="Arial" w:hAnsi="Arial" w:cs="Arial"/>
                <w:szCs w:val="20"/>
                <w:lang w:val="en-GB"/>
              </w:rPr>
              <w:t>14</w:t>
            </w:r>
          </w:p>
        </w:tc>
        <w:tc>
          <w:tcPr>
            <w:tcW w:w="5760" w:type="dxa"/>
          </w:tcPr>
          <w:p w14:paraId="15CA55A4" w14:textId="77777777" w:rsidR="00200A70" w:rsidRDefault="00200A70" w:rsidP="00991583">
            <w:pPr>
              <w:pStyle w:val="BodyText"/>
              <w:spacing w:before="0" w:after="0"/>
              <w:jc w:val="left"/>
              <w:rPr>
                <w:rFonts w:ascii="Arial" w:hAnsi="Arial" w:cs="Arial"/>
                <w:szCs w:val="20"/>
                <w:lang w:val="en-GB"/>
              </w:rPr>
            </w:pPr>
            <w:r>
              <w:rPr>
                <w:rFonts w:ascii="Arial" w:hAnsi="Arial" w:cs="Arial"/>
                <w:szCs w:val="20"/>
                <w:lang w:val="en-GB"/>
              </w:rPr>
              <w:t>Variance from prior periods analysis OK</w:t>
            </w:r>
          </w:p>
        </w:tc>
        <w:tc>
          <w:tcPr>
            <w:tcW w:w="1350" w:type="dxa"/>
          </w:tcPr>
          <w:p w14:paraId="0E442AD4" w14:textId="77777777" w:rsidR="00200A70" w:rsidRDefault="00200A70" w:rsidP="00991583">
            <w:pPr>
              <w:pStyle w:val="BodyText"/>
              <w:spacing w:before="0" w:after="0"/>
              <w:jc w:val="center"/>
              <w:rPr>
                <w:rFonts w:ascii="Arial" w:hAnsi="Arial" w:cs="Arial"/>
                <w:szCs w:val="20"/>
                <w:lang w:val="en-GB"/>
              </w:rPr>
            </w:pPr>
            <w:r>
              <w:rPr>
                <w:rFonts w:ascii="Arial" w:hAnsi="Arial" w:cs="Arial"/>
                <w:szCs w:val="20"/>
                <w:lang w:val="en-GB"/>
              </w:rPr>
              <w:t>X</w:t>
            </w:r>
          </w:p>
        </w:tc>
        <w:tc>
          <w:tcPr>
            <w:tcW w:w="1080" w:type="dxa"/>
          </w:tcPr>
          <w:p w14:paraId="682BCDF8" w14:textId="77777777" w:rsidR="00200A70" w:rsidRDefault="00200A70" w:rsidP="00991583">
            <w:pPr>
              <w:pStyle w:val="BodyText"/>
              <w:spacing w:before="0" w:after="0"/>
              <w:jc w:val="center"/>
              <w:rPr>
                <w:rFonts w:ascii="Arial" w:hAnsi="Arial" w:cs="Arial"/>
                <w:szCs w:val="20"/>
                <w:lang w:val="en-GB"/>
              </w:rPr>
            </w:pPr>
            <w:r>
              <w:rPr>
                <w:rFonts w:ascii="Arial" w:hAnsi="Arial" w:cs="Arial"/>
                <w:szCs w:val="20"/>
                <w:lang w:val="en-GB"/>
              </w:rPr>
              <w:t>X</w:t>
            </w:r>
          </w:p>
        </w:tc>
      </w:tr>
      <w:tr w:rsidR="00200A70" w:rsidRPr="001B645F" w14:paraId="32E657EA" w14:textId="77777777" w:rsidTr="00991583">
        <w:trPr>
          <w:cantSplit/>
        </w:trPr>
        <w:tc>
          <w:tcPr>
            <w:tcW w:w="450" w:type="dxa"/>
          </w:tcPr>
          <w:p w14:paraId="025E8B61" w14:textId="77777777" w:rsidR="00200A70" w:rsidRDefault="00200A70" w:rsidP="00991583">
            <w:pPr>
              <w:pStyle w:val="BodyText"/>
              <w:spacing w:before="0" w:after="0"/>
              <w:jc w:val="center"/>
              <w:rPr>
                <w:rFonts w:ascii="Arial" w:hAnsi="Arial" w:cs="Arial"/>
                <w:szCs w:val="20"/>
                <w:lang w:val="en-GB"/>
              </w:rPr>
            </w:pPr>
            <w:r>
              <w:rPr>
                <w:rFonts w:ascii="Arial" w:hAnsi="Arial" w:cs="Arial"/>
                <w:szCs w:val="20"/>
                <w:lang w:val="en-GB"/>
              </w:rPr>
              <w:t>15</w:t>
            </w:r>
          </w:p>
        </w:tc>
        <w:tc>
          <w:tcPr>
            <w:tcW w:w="5760" w:type="dxa"/>
          </w:tcPr>
          <w:p w14:paraId="0015C4DC" w14:textId="77777777" w:rsidR="00200A70" w:rsidRDefault="00200A70" w:rsidP="00991583">
            <w:pPr>
              <w:pStyle w:val="BodyText"/>
              <w:spacing w:before="0" w:after="0"/>
              <w:jc w:val="left"/>
              <w:rPr>
                <w:rFonts w:ascii="Arial" w:hAnsi="Arial" w:cs="Arial"/>
                <w:szCs w:val="20"/>
                <w:lang w:val="en-GB"/>
              </w:rPr>
            </w:pPr>
            <w:r>
              <w:rPr>
                <w:rFonts w:ascii="Arial" w:hAnsi="Arial" w:cs="Arial"/>
                <w:szCs w:val="20"/>
                <w:lang w:val="en-GB"/>
              </w:rPr>
              <w:t>Variance analysis from peers OK</w:t>
            </w:r>
          </w:p>
        </w:tc>
        <w:tc>
          <w:tcPr>
            <w:tcW w:w="1350" w:type="dxa"/>
          </w:tcPr>
          <w:p w14:paraId="5E2DDD60" w14:textId="77777777" w:rsidR="00200A70" w:rsidRDefault="00200A70" w:rsidP="00991583">
            <w:pPr>
              <w:pStyle w:val="BodyText"/>
              <w:spacing w:before="0" w:after="0"/>
              <w:jc w:val="center"/>
              <w:rPr>
                <w:rFonts w:ascii="Arial" w:hAnsi="Arial" w:cs="Arial"/>
                <w:szCs w:val="20"/>
                <w:lang w:val="en-GB"/>
              </w:rPr>
            </w:pPr>
            <w:r>
              <w:rPr>
                <w:rFonts w:ascii="Arial" w:hAnsi="Arial" w:cs="Arial"/>
                <w:szCs w:val="20"/>
                <w:lang w:val="en-GB"/>
              </w:rPr>
              <w:t>X</w:t>
            </w:r>
          </w:p>
        </w:tc>
        <w:tc>
          <w:tcPr>
            <w:tcW w:w="1080" w:type="dxa"/>
          </w:tcPr>
          <w:p w14:paraId="20929838" w14:textId="77777777" w:rsidR="00200A70" w:rsidRDefault="00200A70" w:rsidP="00991583">
            <w:pPr>
              <w:pStyle w:val="BodyText"/>
              <w:spacing w:before="0" w:after="0"/>
              <w:jc w:val="center"/>
              <w:rPr>
                <w:rFonts w:ascii="Arial" w:hAnsi="Arial" w:cs="Arial"/>
                <w:szCs w:val="20"/>
                <w:lang w:val="en-GB"/>
              </w:rPr>
            </w:pPr>
            <w:r>
              <w:rPr>
                <w:rFonts w:ascii="Arial" w:hAnsi="Arial" w:cs="Arial"/>
                <w:szCs w:val="20"/>
                <w:lang w:val="en-GB"/>
              </w:rPr>
              <w:t>X</w:t>
            </w:r>
          </w:p>
        </w:tc>
      </w:tr>
      <w:tr w:rsidR="00200A70" w:rsidRPr="001B645F" w14:paraId="3D126351" w14:textId="77777777" w:rsidTr="00991583">
        <w:trPr>
          <w:cantSplit/>
        </w:trPr>
        <w:tc>
          <w:tcPr>
            <w:tcW w:w="450" w:type="dxa"/>
          </w:tcPr>
          <w:p w14:paraId="49C76EFE" w14:textId="77777777" w:rsidR="00200A70" w:rsidRDefault="00200A70" w:rsidP="00991583">
            <w:pPr>
              <w:pStyle w:val="BodyText"/>
              <w:spacing w:before="0" w:after="0"/>
              <w:jc w:val="center"/>
              <w:rPr>
                <w:rFonts w:ascii="Arial" w:hAnsi="Arial" w:cs="Arial"/>
                <w:szCs w:val="20"/>
                <w:lang w:val="en-GB"/>
              </w:rPr>
            </w:pPr>
            <w:r>
              <w:rPr>
                <w:rFonts w:ascii="Arial" w:hAnsi="Arial" w:cs="Arial"/>
                <w:szCs w:val="20"/>
                <w:lang w:val="en-GB"/>
              </w:rPr>
              <w:t>16</w:t>
            </w:r>
          </w:p>
        </w:tc>
        <w:tc>
          <w:tcPr>
            <w:tcW w:w="5760" w:type="dxa"/>
          </w:tcPr>
          <w:p w14:paraId="02F9EEF4" w14:textId="77777777" w:rsidR="00200A70" w:rsidRDefault="00200A70" w:rsidP="00991583">
            <w:pPr>
              <w:pStyle w:val="BodyText"/>
              <w:spacing w:before="0" w:after="0"/>
              <w:jc w:val="left"/>
              <w:rPr>
                <w:rFonts w:ascii="Arial" w:hAnsi="Arial" w:cs="Arial"/>
                <w:szCs w:val="20"/>
                <w:lang w:val="en-GB"/>
              </w:rPr>
            </w:pPr>
            <w:r>
              <w:rPr>
                <w:rFonts w:ascii="Arial" w:hAnsi="Arial" w:cs="Arial"/>
                <w:szCs w:val="20"/>
                <w:lang w:val="en-GB"/>
              </w:rPr>
              <w:t>Report-ability rules have been met</w:t>
            </w:r>
          </w:p>
        </w:tc>
        <w:tc>
          <w:tcPr>
            <w:tcW w:w="1350" w:type="dxa"/>
          </w:tcPr>
          <w:p w14:paraId="4950B09A" w14:textId="77777777" w:rsidR="00200A70" w:rsidRDefault="00200A70" w:rsidP="00991583">
            <w:pPr>
              <w:pStyle w:val="BodyText"/>
              <w:spacing w:before="0" w:after="0"/>
              <w:jc w:val="center"/>
              <w:rPr>
                <w:rFonts w:ascii="Arial" w:hAnsi="Arial" w:cs="Arial"/>
                <w:szCs w:val="20"/>
                <w:lang w:val="en-GB"/>
              </w:rPr>
            </w:pPr>
            <w:r>
              <w:rPr>
                <w:rFonts w:ascii="Arial" w:hAnsi="Arial" w:cs="Arial"/>
                <w:szCs w:val="20"/>
                <w:lang w:val="en-GB"/>
              </w:rPr>
              <w:t>X</w:t>
            </w:r>
          </w:p>
        </w:tc>
        <w:tc>
          <w:tcPr>
            <w:tcW w:w="1080" w:type="dxa"/>
          </w:tcPr>
          <w:p w14:paraId="3793D2FF" w14:textId="77777777" w:rsidR="00200A70" w:rsidRDefault="00200A70" w:rsidP="00991583">
            <w:pPr>
              <w:pStyle w:val="BodyText"/>
              <w:spacing w:before="0" w:after="0"/>
              <w:jc w:val="center"/>
              <w:rPr>
                <w:rFonts w:ascii="Arial" w:hAnsi="Arial" w:cs="Arial"/>
                <w:szCs w:val="20"/>
                <w:lang w:val="en-GB"/>
              </w:rPr>
            </w:pPr>
            <w:r>
              <w:rPr>
                <w:rFonts w:ascii="Arial" w:hAnsi="Arial" w:cs="Arial"/>
                <w:szCs w:val="20"/>
                <w:lang w:val="en-GB"/>
              </w:rPr>
              <w:t>X</w:t>
            </w:r>
          </w:p>
        </w:tc>
      </w:tr>
      <w:tr w:rsidR="00200A70" w:rsidRPr="001B645F" w14:paraId="39DA26E9" w14:textId="77777777" w:rsidTr="00991583">
        <w:trPr>
          <w:cantSplit/>
        </w:trPr>
        <w:tc>
          <w:tcPr>
            <w:tcW w:w="450" w:type="dxa"/>
          </w:tcPr>
          <w:p w14:paraId="0578FCBC" w14:textId="77777777" w:rsidR="00200A70" w:rsidRDefault="00200A70" w:rsidP="00991583">
            <w:pPr>
              <w:pStyle w:val="BodyText"/>
              <w:spacing w:before="0" w:after="0"/>
              <w:jc w:val="center"/>
              <w:rPr>
                <w:rFonts w:ascii="Arial" w:hAnsi="Arial" w:cs="Arial"/>
                <w:szCs w:val="20"/>
                <w:lang w:val="en-GB"/>
              </w:rPr>
            </w:pPr>
            <w:r>
              <w:rPr>
                <w:rFonts w:ascii="Arial" w:hAnsi="Arial" w:cs="Arial"/>
                <w:szCs w:val="20"/>
                <w:lang w:val="en-GB"/>
              </w:rPr>
              <w:t>17</w:t>
            </w:r>
          </w:p>
        </w:tc>
        <w:tc>
          <w:tcPr>
            <w:tcW w:w="5760" w:type="dxa"/>
          </w:tcPr>
          <w:p w14:paraId="0D8477C4" w14:textId="77777777" w:rsidR="00200A70" w:rsidRDefault="00200A70" w:rsidP="00991583">
            <w:pPr>
              <w:pStyle w:val="BodyText"/>
              <w:spacing w:before="0" w:after="0"/>
              <w:jc w:val="left"/>
              <w:rPr>
                <w:rFonts w:ascii="Arial" w:hAnsi="Arial" w:cs="Arial"/>
                <w:szCs w:val="20"/>
                <w:lang w:val="en-GB"/>
              </w:rPr>
            </w:pPr>
            <w:r>
              <w:rPr>
                <w:rFonts w:ascii="Arial" w:hAnsi="Arial" w:cs="Arial"/>
                <w:szCs w:val="20"/>
                <w:lang w:val="en-GB"/>
              </w:rPr>
              <w:t>SEC Level 1 footnote disclosures appropriate</w:t>
            </w:r>
          </w:p>
        </w:tc>
        <w:tc>
          <w:tcPr>
            <w:tcW w:w="1350" w:type="dxa"/>
          </w:tcPr>
          <w:p w14:paraId="2DF347E9" w14:textId="77777777" w:rsidR="00200A70" w:rsidRDefault="00200A70" w:rsidP="00991583">
            <w:pPr>
              <w:pStyle w:val="BodyText"/>
              <w:spacing w:before="0" w:after="0"/>
              <w:jc w:val="center"/>
              <w:rPr>
                <w:rFonts w:ascii="Arial" w:hAnsi="Arial" w:cs="Arial"/>
                <w:szCs w:val="20"/>
                <w:lang w:val="en-GB"/>
              </w:rPr>
            </w:pPr>
          </w:p>
        </w:tc>
        <w:tc>
          <w:tcPr>
            <w:tcW w:w="1080" w:type="dxa"/>
          </w:tcPr>
          <w:p w14:paraId="691A87D7" w14:textId="77777777" w:rsidR="00200A70" w:rsidRDefault="00200A70" w:rsidP="00991583">
            <w:pPr>
              <w:pStyle w:val="BodyText"/>
              <w:spacing w:before="0" w:after="0"/>
              <w:jc w:val="center"/>
              <w:rPr>
                <w:rFonts w:ascii="Arial" w:hAnsi="Arial" w:cs="Arial"/>
                <w:szCs w:val="20"/>
                <w:lang w:val="en-GB"/>
              </w:rPr>
            </w:pPr>
            <w:r>
              <w:rPr>
                <w:rFonts w:ascii="Arial" w:hAnsi="Arial" w:cs="Arial"/>
                <w:szCs w:val="20"/>
                <w:lang w:val="en-GB"/>
              </w:rPr>
              <w:t>X</w:t>
            </w:r>
          </w:p>
        </w:tc>
      </w:tr>
      <w:tr w:rsidR="00200A70" w:rsidRPr="001B645F" w14:paraId="56DF07D0" w14:textId="77777777" w:rsidTr="00991583">
        <w:trPr>
          <w:cantSplit/>
        </w:trPr>
        <w:tc>
          <w:tcPr>
            <w:tcW w:w="450" w:type="dxa"/>
          </w:tcPr>
          <w:p w14:paraId="01139064" w14:textId="77777777" w:rsidR="00200A70" w:rsidRDefault="00200A70" w:rsidP="00991583">
            <w:pPr>
              <w:pStyle w:val="BodyText"/>
              <w:spacing w:before="0" w:after="0"/>
              <w:jc w:val="center"/>
              <w:rPr>
                <w:rFonts w:ascii="Arial" w:hAnsi="Arial" w:cs="Arial"/>
                <w:szCs w:val="20"/>
                <w:lang w:val="en-GB"/>
              </w:rPr>
            </w:pPr>
            <w:r>
              <w:rPr>
                <w:rFonts w:ascii="Arial" w:hAnsi="Arial" w:cs="Arial"/>
                <w:szCs w:val="20"/>
                <w:lang w:val="en-GB"/>
              </w:rPr>
              <w:t>18</w:t>
            </w:r>
          </w:p>
        </w:tc>
        <w:tc>
          <w:tcPr>
            <w:tcW w:w="5760" w:type="dxa"/>
          </w:tcPr>
          <w:p w14:paraId="6696F456" w14:textId="77777777" w:rsidR="00200A70" w:rsidRDefault="00200A70" w:rsidP="00991583">
            <w:pPr>
              <w:pStyle w:val="BodyText"/>
              <w:spacing w:before="0" w:after="0"/>
              <w:jc w:val="left"/>
              <w:rPr>
                <w:rFonts w:ascii="Arial" w:hAnsi="Arial" w:cs="Arial"/>
                <w:szCs w:val="20"/>
                <w:lang w:val="en-GB"/>
              </w:rPr>
            </w:pPr>
            <w:r>
              <w:rPr>
                <w:rFonts w:ascii="Arial" w:hAnsi="Arial" w:cs="Arial"/>
                <w:szCs w:val="20"/>
                <w:lang w:val="en-GB"/>
              </w:rPr>
              <w:t>SEC Level 2 policy text block disclosures appropriate</w:t>
            </w:r>
          </w:p>
        </w:tc>
        <w:tc>
          <w:tcPr>
            <w:tcW w:w="1350" w:type="dxa"/>
          </w:tcPr>
          <w:p w14:paraId="4828874C" w14:textId="77777777" w:rsidR="00200A70" w:rsidRDefault="00200A70" w:rsidP="00991583">
            <w:pPr>
              <w:pStyle w:val="BodyText"/>
              <w:spacing w:before="0" w:after="0"/>
              <w:jc w:val="center"/>
              <w:rPr>
                <w:rFonts w:ascii="Arial" w:hAnsi="Arial" w:cs="Arial"/>
                <w:szCs w:val="20"/>
                <w:lang w:val="en-GB"/>
              </w:rPr>
            </w:pPr>
          </w:p>
        </w:tc>
        <w:tc>
          <w:tcPr>
            <w:tcW w:w="1080" w:type="dxa"/>
          </w:tcPr>
          <w:p w14:paraId="55DB3DCF" w14:textId="77777777" w:rsidR="00200A70" w:rsidRDefault="00200A70" w:rsidP="00991583">
            <w:pPr>
              <w:pStyle w:val="BodyText"/>
              <w:spacing w:before="0" w:after="0"/>
              <w:jc w:val="center"/>
              <w:rPr>
                <w:rFonts w:ascii="Arial" w:hAnsi="Arial" w:cs="Arial"/>
                <w:szCs w:val="20"/>
                <w:lang w:val="en-GB"/>
              </w:rPr>
            </w:pPr>
            <w:r>
              <w:rPr>
                <w:rFonts w:ascii="Arial" w:hAnsi="Arial" w:cs="Arial"/>
                <w:szCs w:val="20"/>
                <w:lang w:val="en-GB"/>
              </w:rPr>
              <w:t>X</w:t>
            </w:r>
          </w:p>
        </w:tc>
      </w:tr>
      <w:tr w:rsidR="00200A70" w:rsidRPr="001B645F" w14:paraId="3B56F58B" w14:textId="77777777" w:rsidTr="00991583">
        <w:trPr>
          <w:cantSplit/>
        </w:trPr>
        <w:tc>
          <w:tcPr>
            <w:tcW w:w="450" w:type="dxa"/>
          </w:tcPr>
          <w:p w14:paraId="453B99B1" w14:textId="77777777" w:rsidR="00200A70" w:rsidRDefault="00200A70" w:rsidP="00991583">
            <w:pPr>
              <w:pStyle w:val="BodyText"/>
              <w:spacing w:before="0" w:after="0"/>
              <w:jc w:val="center"/>
              <w:rPr>
                <w:rFonts w:ascii="Arial" w:hAnsi="Arial" w:cs="Arial"/>
                <w:szCs w:val="20"/>
                <w:lang w:val="en-GB"/>
              </w:rPr>
            </w:pPr>
            <w:r>
              <w:rPr>
                <w:rFonts w:ascii="Arial" w:hAnsi="Arial" w:cs="Arial"/>
                <w:szCs w:val="20"/>
                <w:lang w:val="en-GB"/>
              </w:rPr>
              <w:t>19</w:t>
            </w:r>
          </w:p>
        </w:tc>
        <w:tc>
          <w:tcPr>
            <w:tcW w:w="5760" w:type="dxa"/>
          </w:tcPr>
          <w:p w14:paraId="1A84010E" w14:textId="77777777" w:rsidR="00200A70" w:rsidRDefault="00200A70" w:rsidP="00991583">
            <w:pPr>
              <w:pStyle w:val="BodyText"/>
              <w:spacing w:before="0" w:after="0"/>
              <w:jc w:val="left"/>
              <w:rPr>
                <w:rFonts w:ascii="Arial" w:hAnsi="Arial" w:cs="Arial"/>
                <w:szCs w:val="20"/>
                <w:lang w:val="en-GB"/>
              </w:rPr>
            </w:pPr>
            <w:r>
              <w:rPr>
                <w:rFonts w:ascii="Arial" w:hAnsi="Arial" w:cs="Arial"/>
                <w:szCs w:val="20"/>
                <w:lang w:val="en-GB"/>
              </w:rPr>
              <w:t>Report element selection appropriate (justifiable/defensible)</w:t>
            </w:r>
          </w:p>
        </w:tc>
        <w:tc>
          <w:tcPr>
            <w:tcW w:w="1350" w:type="dxa"/>
          </w:tcPr>
          <w:p w14:paraId="55294330" w14:textId="77777777" w:rsidR="00200A70" w:rsidRDefault="00200A70" w:rsidP="00991583">
            <w:pPr>
              <w:pStyle w:val="BodyText"/>
              <w:spacing w:before="0" w:after="0"/>
              <w:jc w:val="center"/>
              <w:rPr>
                <w:rFonts w:ascii="Arial" w:hAnsi="Arial" w:cs="Arial"/>
                <w:szCs w:val="20"/>
                <w:lang w:val="en-GB"/>
              </w:rPr>
            </w:pPr>
          </w:p>
        </w:tc>
        <w:tc>
          <w:tcPr>
            <w:tcW w:w="1080" w:type="dxa"/>
          </w:tcPr>
          <w:p w14:paraId="2B035EC2" w14:textId="77777777" w:rsidR="00200A70" w:rsidRDefault="00200A70" w:rsidP="00991583">
            <w:pPr>
              <w:pStyle w:val="BodyText"/>
              <w:spacing w:before="0" w:after="0"/>
              <w:jc w:val="center"/>
              <w:rPr>
                <w:rFonts w:ascii="Arial" w:hAnsi="Arial" w:cs="Arial"/>
                <w:szCs w:val="20"/>
                <w:lang w:val="en-GB"/>
              </w:rPr>
            </w:pPr>
            <w:r>
              <w:rPr>
                <w:rFonts w:ascii="Arial" w:hAnsi="Arial" w:cs="Arial"/>
                <w:szCs w:val="20"/>
                <w:lang w:val="en-GB"/>
              </w:rPr>
              <w:t>X</w:t>
            </w:r>
          </w:p>
        </w:tc>
      </w:tr>
      <w:tr w:rsidR="00200A70" w:rsidRPr="001B645F" w14:paraId="291509FF" w14:textId="77777777" w:rsidTr="00991583">
        <w:trPr>
          <w:cantSplit/>
        </w:trPr>
        <w:tc>
          <w:tcPr>
            <w:tcW w:w="450" w:type="dxa"/>
          </w:tcPr>
          <w:p w14:paraId="1216B0C3" w14:textId="77777777" w:rsidR="00200A70" w:rsidRDefault="00200A70" w:rsidP="00991583">
            <w:pPr>
              <w:pStyle w:val="BodyText"/>
              <w:spacing w:before="0" w:after="0"/>
              <w:jc w:val="center"/>
              <w:rPr>
                <w:rFonts w:ascii="Arial" w:hAnsi="Arial" w:cs="Arial"/>
                <w:szCs w:val="20"/>
                <w:lang w:val="en-GB"/>
              </w:rPr>
            </w:pPr>
            <w:r>
              <w:rPr>
                <w:rFonts w:ascii="Arial" w:hAnsi="Arial" w:cs="Arial"/>
                <w:szCs w:val="20"/>
                <w:lang w:val="en-GB"/>
              </w:rPr>
              <w:t>20</w:t>
            </w:r>
          </w:p>
        </w:tc>
        <w:tc>
          <w:tcPr>
            <w:tcW w:w="5760" w:type="dxa"/>
          </w:tcPr>
          <w:p w14:paraId="0B87E576" w14:textId="77777777" w:rsidR="00200A70" w:rsidRDefault="00200A70" w:rsidP="00991583">
            <w:pPr>
              <w:pStyle w:val="BodyText"/>
              <w:spacing w:before="0" w:after="0"/>
              <w:jc w:val="left"/>
              <w:rPr>
                <w:rFonts w:ascii="Arial" w:hAnsi="Arial" w:cs="Arial"/>
                <w:szCs w:val="20"/>
                <w:lang w:val="en-GB"/>
              </w:rPr>
            </w:pPr>
            <w:r>
              <w:rPr>
                <w:rFonts w:ascii="Arial" w:hAnsi="Arial" w:cs="Arial"/>
                <w:szCs w:val="20"/>
                <w:lang w:val="en-GB"/>
              </w:rPr>
              <w:t>Reported facts appropriate</w:t>
            </w:r>
          </w:p>
        </w:tc>
        <w:tc>
          <w:tcPr>
            <w:tcW w:w="1350" w:type="dxa"/>
          </w:tcPr>
          <w:p w14:paraId="777A9151" w14:textId="77777777" w:rsidR="00200A70" w:rsidRDefault="00200A70" w:rsidP="00991583">
            <w:pPr>
              <w:pStyle w:val="BodyText"/>
              <w:spacing w:before="0" w:after="0"/>
              <w:jc w:val="center"/>
              <w:rPr>
                <w:rFonts w:ascii="Arial" w:hAnsi="Arial" w:cs="Arial"/>
                <w:szCs w:val="20"/>
                <w:lang w:val="en-GB"/>
              </w:rPr>
            </w:pPr>
          </w:p>
        </w:tc>
        <w:tc>
          <w:tcPr>
            <w:tcW w:w="1080" w:type="dxa"/>
          </w:tcPr>
          <w:p w14:paraId="3425CC22" w14:textId="77777777" w:rsidR="00200A70" w:rsidRDefault="00200A70" w:rsidP="00991583">
            <w:pPr>
              <w:pStyle w:val="BodyText"/>
              <w:spacing w:before="0" w:after="0"/>
              <w:jc w:val="center"/>
              <w:rPr>
                <w:rFonts w:ascii="Arial" w:hAnsi="Arial" w:cs="Arial"/>
                <w:szCs w:val="20"/>
                <w:lang w:val="en-GB"/>
              </w:rPr>
            </w:pPr>
            <w:r>
              <w:rPr>
                <w:rFonts w:ascii="Arial" w:hAnsi="Arial" w:cs="Arial"/>
                <w:szCs w:val="20"/>
                <w:lang w:val="en-GB"/>
              </w:rPr>
              <w:t>X</w:t>
            </w:r>
          </w:p>
        </w:tc>
      </w:tr>
      <w:tr w:rsidR="00200A70" w:rsidRPr="001B645F" w14:paraId="1C35719C" w14:textId="77777777" w:rsidTr="00991583">
        <w:trPr>
          <w:cantSplit/>
        </w:trPr>
        <w:tc>
          <w:tcPr>
            <w:tcW w:w="450" w:type="dxa"/>
          </w:tcPr>
          <w:p w14:paraId="272D46B7" w14:textId="77777777" w:rsidR="00200A70" w:rsidRDefault="00200A70" w:rsidP="00991583">
            <w:pPr>
              <w:pStyle w:val="BodyText"/>
              <w:spacing w:before="0" w:after="0"/>
              <w:jc w:val="center"/>
              <w:rPr>
                <w:rFonts w:ascii="Arial" w:hAnsi="Arial" w:cs="Arial"/>
                <w:szCs w:val="20"/>
                <w:lang w:val="en-GB"/>
              </w:rPr>
            </w:pPr>
            <w:r>
              <w:rPr>
                <w:rFonts w:ascii="Arial" w:hAnsi="Arial" w:cs="Arial"/>
                <w:szCs w:val="20"/>
                <w:lang w:val="en-GB"/>
              </w:rPr>
              <w:t>21</w:t>
            </w:r>
          </w:p>
        </w:tc>
        <w:tc>
          <w:tcPr>
            <w:tcW w:w="5760" w:type="dxa"/>
          </w:tcPr>
          <w:p w14:paraId="0EFEB479" w14:textId="77777777" w:rsidR="00200A70" w:rsidRDefault="00200A70" w:rsidP="00991583">
            <w:pPr>
              <w:pStyle w:val="BodyText"/>
              <w:spacing w:before="0" w:after="0"/>
              <w:jc w:val="left"/>
              <w:rPr>
                <w:rFonts w:ascii="Arial" w:hAnsi="Arial" w:cs="Arial"/>
                <w:szCs w:val="20"/>
                <w:lang w:val="en-GB"/>
              </w:rPr>
            </w:pPr>
            <w:r>
              <w:rPr>
                <w:rFonts w:ascii="Arial" w:hAnsi="Arial" w:cs="Arial"/>
                <w:szCs w:val="20"/>
                <w:lang w:val="en-GB"/>
              </w:rPr>
              <w:t>Consistency with peers appropriate</w:t>
            </w:r>
          </w:p>
        </w:tc>
        <w:tc>
          <w:tcPr>
            <w:tcW w:w="1350" w:type="dxa"/>
          </w:tcPr>
          <w:p w14:paraId="5C5E3F33" w14:textId="77777777" w:rsidR="00200A70" w:rsidRDefault="00200A70" w:rsidP="00991583">
            <w:pPr>
              <w:pStyle w:val="BodyText"/>
              <w:spacing w:before="0" w:after="0"/>
              <w:jc w:val="center"/>
              <w:rPr>
                <w:rFonts w:ascii="Arial" w:hAnsi="Arial" w:cs="Arial"/>
                <w:szCs w:val="20"/>
                <w:lang w:val="en-GB"/>
              </w:rPr>
            </w:pPr>
          </w:p>
        </w:tc>
        <w:tc>
          <w:tcPr>
            <w:tcW w:w="1080" w:type="dxa"/>
          </w:tcPr>
          <w:p w14:paraId="26AB7F0A" w14:textId="77777777" w:rsidR="00200A70" w:rsidRDefault="00200A70" w:rsidP="00991583">
            <w:pPr>
              <w:pStyle w:val="BodyText"/>
              <w:spacing w:before="0" w:after="0"/>
              <w:jc w:val="center"/>
              <w:rPr>
                <w:rFonts w:ascii="Arial" w:hAnsi="Arial" w:cs="Arial"/>
                <w:szCs w:val="20"/>
                <w:lang w:val="en-GB"/>
              </w:rPr>
            </w:pPr>
            <w:r>
              <w:rPr>
                <w:rFonts w:ascii="Arial" w:hAnsi="Arial" w:cs="Arial"/>
                <w:szCs w:val="20"/>
                <w:lang w:val="en-GB"/>
              </w:rPr>
              <w:t>X</w:t>
            </w:r>
          </w:p>
        </w:tc>
      </w:tr>
      <w:tr w:rsidR="00200A70" w:rsidRPr="001B645F" w14:paraId="139B2798" w14:textId="77777777" w:rsidTr="00991583">
        <w:trPr>
          <w:cantSplit/>
        </w:trPr>
        <w:tc>
          <w:tcPr>
            <w:tcW w:w="450" w:type="dxa"/>
          </w:tcPr>
          <w:p w14:paraId="49543262" w14:textId="77777777" w:rsidR="00200A70" w:rsidRDefault="00200A70" w:rsidP="00991583">
            <w:pPr>
              <w:pStyle w:val="BodyText"/>
              <w:spacing w:before="0" w:after="0"/>
              <w:jc w:val="center"/>
              <w:rPr>
                <w:rFonts w:ascii="Arial" w:hAnsi="Arial" w:cs="Arial"/>
                <w:szCs w:val="20"/>
                <w:lang w:val="en-GB"/>
              </w:rPr>
            </w:pPr>
            <w:r>
              <w:rPr>
                <w:rFonts w:ascii="Arial" w:hAnsi="Arial" w:cs="Arial"/>
                <w:szCs w:val="20"/>
                <w:lang w:val="en-GB"/>
              </w:rPr>
              <w:t>22</w:t>
            </w:r>
          </w:p>
        </w:tc>
        <w:tc>
          <w:tcPr>
            <w:tcW w:w="5760" w:type="dxa"/>
          </w:tcPr>
          <w:p w14:paraId="3E1DA2BB" w14:textId="77777777" w:rsidR="00200A70" w:rsidRDefault="00200A70" w:rsidP="00991583">
            <w:pPr>
              <w:pStyle w:val="BodyText"/>
              <w:spacing w:before="0" w:after="0"/>
              <w:jc w:val="left"/>
              <w:rPr>
                <w:rFonts w:ascii="Arial" w:hAnsi="Arial" w:cs="Arial"/>
                <w:szCs w:val="20"/>
                <w:lang w:val="en-GB"/>
              </w:rPr>
            </w:pPr>
            <w:r>
              <w:rPr>
                <w:rFonts w:ascii="Arial" w:hAnsi="Arial" w:cs="Arial"/>
                <w:szCs w:val="20"/>
                <w:lang w:val="en-GB"/>
              </w:rPr>
              <w:t>Consistency with prior periods appropriate</w:t>
            </w:r>
          </w:p>
        </w:tc>
        <w:tc>
          <w:tcPr>
            <w:tcW w:w="1350" w:type="dxa"/>
          </w:tcPr>
          <w:p w14:paraId="11F8C491" w14:textId="77777777" w:rsidR="00200A70" w:rsidRDefault="00200A70" w:rsidP="00991583">
            <w:pPr>
              <w:pStyle w:val="BodyText"/>
              <w:spacing w:before="0" w:after="0"/>
              <w:jc w:val="center"/>
              <w:rPr>
                <w:rFonts w:ascii="Arial" w:hAnsi="Arial" w:cs="Arial"/>
                <w:szCs w:val="20"/>
                <w:lang w:val="en-GB"/>
              </w:rPr>
            </w:pPr>
          </w:p>
        </w:tc>
        <w:tc>
          <w:tcPr>
            <w:tcW w:w="1080" w:type="dxa"/>
          </w:tcPr>
          <w:p w14:paraId="0F999FFB" w14:textId="77777777" w:rsidR="00200A70" w:rsidRDefault="00200A70" w:rsidP="00991583">
            <w:pPr>
              <w:pStyle w:val="BodyText"/>
              <w:spacing w:before="0" w:after="0"/>
              <w:jc w:val="center"/>
              <w:rPr>
                <w:rFonts w:ascii="Arial" w:hAnsi="Arial" w:cs="Arial"/>
                <w:szCs w:val="20"/>
                <w:lang w:val="en-GB"/>
              </w:rPr>
            </w:pPr>
            <w:r>
              <w:rPr>
                <w:rFonts w:ascii="Arial" w:hAnsi="Arial" w:cs="Arial"/>
                <w:szCs w:val="20"/>
                <w:lang w:val="en-GB"/>
              </w:rPr>
              <w:t>X</w:t>
            </w:r>
          </w:p>
        </w:tc>
      </w:tr>
      <w:tr w:rsidR="00200A70" w:rsidRPr="001B645F" w14:paraId="667CC9A6" w14:textId="77777777" w:rsidTr="00991583">
        <w:trPr>
          <w:cantSplit/>
        </w:trPr>
        <w:tc>
          <w:tcPr>
            <w:tcW w:w="450" w:type="dxa"/>
          </w:tcPr>
          <w:p w14:paraId="424AA9AA" w14:textId="77777777" w:rsidR="00200A70" w:rsidRDefault="00200A70" w:rsidP="00991583">
            <w:pPr>
              <w:pStyle w:val="BodyText"/>
              <w:spacing w:before="0" w:after="0"/>
              <w:jc w:val="center"/>
              <w:rPr>
                <w:rFonts w:ascii="Arial" w:hAnsi="Arial" w:cs="Arial"/>
                <w:szCs w:val="20"/>
                <w:lang w:val="en-GB"/>
              </w:rPr>
            </w:pPr>
            <w:r>
              <w:rPr>
                <w:rFonts w:ascii="Arial" w:hAnsi="Arial" w:cs="Arial"/>
                <w:szCs w:val="20"/>
                <w:lang w:val="en-GB"/>
              </w:rPr>
              <w:t>23</w:t>
            </w:r>
          </w:p>
        </w:tc>
        <w:tc>
          <w:tcPr>
            <w:tcW w:w="5760" w:type="dxa"/>
          </w:tcPr>
          <w:p w14:paraId="455BC87B" w14:textId="77777777" w:rsidR="00200A70" w:rsidRDefault="00200A70" w:rsidP="00991583">
            <w:pPr>
              <w:pStyle w:val="BodyText"/>
              <w:spacing w:before="0" w:after="0"/>
              <w:jc w:val="left"/>
              <w:rPr>
                <w:rFonts w:ascii="Arial" w:hAnsi="Arial" w:cs="Arial"/>
                <w:szCs w:val="20"/>
                <w:lang w:val="en-GB"/>
              </w:rPr>
            </w:pPr>
            <w:r>
              <w:rPr>
                <w:rFonts w:ascii="Arial" w:hAnsi="Arial" w:cs="Arial"/>
                <w:szCs w:val="20"/>
                <w:lang w:val="en-GB"/>
              </w:rPr>
              <w:t>True and fair representation of financial information of economic entity</w:t>
            </w:r>
          </w:p>
        </w:tc>
        <w:tc>
          <w:tcPr>
            <w:tcW w:w="1350" w:type="dxa"/>
          </w:tcPr>
          <w:p w14:paraId="6D26FBD6" w14:textId="77777777" w:rsidR="00200A70" w:rsidRDefault="00200A70" w:rsidP="00991583">
            <w:pPr>
              <w:pStyle w:val="BodyText"/>
              <w:spacing w:before="0" w:after="0"/>
              <w:jc w:val="center"/>
              <w:rPr>
                <w:rFonts w:ascii="Arial" w:hAnsi="Arial" w:cs="Arial"/>
                <w:szCs w:val="20"/>
                <w:lang w:val="en-GB"/>
              </w:rPr>
            </w:pPr>
          </w:p>
        </w:tc>
        <w:tc>
          <w:tcPr>
            <w:tcW w:w="1080" w:type="dxa"/>
          </w:tcPr>
          <w:p w14:paraId="0B9822D4" w14:textId="77777777" w:rsidR="00200A70" w:rsidRDefault="00200A70" w:rsidP="00991583">
            <w:pPr>
              <w:pStyle w:val="BodyText"/>
              <w:spacing w:before="0" w:after="0"/>
              <w:jc w:val="center"/>
              <w:rPr>
                <w:rFonts w:ascii="Arial" w:hAnsi="Arial" w:cs="Arial"/>
                <w:szCs w:val="20"/>
                <w:lang w:val="en-GB"/>
              </w:rPr>
            </w:pPr>
            <w:r>
              <w:rPr>
                <w:rFonts w:ascii="Arial" w:hAnsi="Arial" w:cs="Arial"/>
                <w:szCs w:val="20"/>
                <w:lang w:val="en-GB"/>
              </w:rPr>
              <w:t>X</w:t>
            </w:r>
          </w:p>
        </w:tc>
      </w:tr>
    </w:tbl>
    <w:p w14:paraId="5C50CCB4" w14:textId="77777777" w:rsidR="00200A70" w:rsidRDefault="00200A70" w:rsidP="002C62B9">
      <w:pPr>
        <w:pStyle w:val="BodyText"/>
      </w:pPr>
      <w:r>
        <w:t>The following is a more detailed explanation of verification tasks which must be performed and organized in a different manner:</w:t>
      </w:r>
    </w:p>
    <w:p w14:paraId="22CA08B5" w14:textId="77777777" w:rsidR="00200A70" w:rsidRPr="00F754B0" w:rsidRDefault="00200A70" w:rsidP="00200A70">
      <w:pPr>
        <w:pStyle w:val="BodyText"/>
        <w:numPr>
          <w:ilvl w:val="0"/>
          <w:numId w:val="2"/>
        </w:numPr>
        <w:spacing w:before="0" w:after="0"/>
      </w:pPr>
      <w:r>
        <w:rPr>
          <w:b/>
        </w:rPr>
        <w:t>Comply with US GAAP</w:t>
      </w:r>
      <w:r w:rsidRPr="00F754B0">
        <w:t>:</w:t>
      </w:r>
      <w:r>
        <w:t xml:space="preserve"> Clearly a financial report must comply with the rules of US GAAP including SEC rules, industry/activity practices, other common practices, and reporting entity choices where they have such choices.</w:t>
      </w:r>
    </w:p>
    <w:p w14:paraId="3BBCD023" w14:textId="77777777" w:rsidR="00200A70" w:rsidRPr="00F754B0" w:rsidRDefault="00200A70" w:rsidP="00200A70">
      <w:pPr>
        <w:pStyle w:val="BodyText"/>
        <w:numPr>
          <w:ilvl w:val="0"/>
          <w:numId w:val="2"/>
        </w:numPr>
        <w:spacing w:before="0" w:after="0"/>
      </w:pPr>
      <w:r w:rsidRPr="00F754B0">
        <w:rPr>
          <w:b/>
        </w:rPr>
        <w:lastRenderedPageBreak/>
        <w:t>Full inclusion/false inclusion</w:t>
      </w:r>
      <w:r>
        <w:t>:  Everything which should be disclosed has been disclosed as deemed appropriate by US GAAP, SEC, industry/activity practices, common practices, and reporting entity choices.</w:t>
      </w:r>
    </w:p>
    <w:p w14:paraId="55899406" w14:textId="77777777" w:rsidR="00200A70" w:rsidRDefault="00200A70" w:rsidP="00200A70">
      <w:pPr>
        <w:pStyle w:val="BodyText"/>
        <w:numPr>
          <w:ilvl w:val="0"/>
          <w:numId w:val="2"/>
        </w:numPr>
        <w:spacing w:before="0" w:after="0"/>
      </w:pPr>
      <w:r>
        <w:rPr>
          <w:b/>
        </w:rPr>
        <w:t>Foots, cross casts, ticks and ties</w:t>
      </w:r>
      <w:r>
        <w:t xml:space="preserve">: A financial report foots, cross casts, and otherwise “ticks and ties”.  All mathematical relations must be intact.  As accountants we understand this and many times this fact disappears into our unconsciousness because it is so ingrained into what we do and how we do it.  </w:t>
      </w:r>
      <w:proofErr w:type="gramStart"/>
      <w:r>
        <w:t>Of course</w:t>
      </w:r>
      <w:proofErr w:type="gramEnd"/>
      <w:r>
        <w:t xml:space="preserve"> things foot and cross cast; of course the pieces tie together.</w:t>
      </w:r>
    </w:p>
    <w:p w14:paraId="1A0084B2" w14:textId="77777777" w:rsidR="00200A70" w:rsidRDefault="00200A70" w:rsidP="00200A70">
      <w:pPr>
        <w:pStyle w:val="BodyText"/>
        <w:numPr>
          <w:ilvl w:val="0"/>
          <w:numId w:val="2"/>
        </w:numPr>
        <w:spacing w:before="0" w:after="0"/>
      </w:pPr>
      <w:r w:rsidRPr="00CE2633">
        <w:rPr>
          <w:b/>
        </w:rPr>
        <w:t>All financial report formats convey the same message</w:t>
      </w:r>
      <w:r>
        <w:t>: A financial report can be articulated using paper and pencil, Microsoft Word, PDF, HTML, XBRL, RDF/OWL, or some other computer readable or computer readable formats. While the format may change, the message communicated, the story you tell, should not change.  Each format should communicate the same message, regardless of the medium used to convey your message.</w:t>
      </w:r>
    </w:p>
    <w:p w14:paraId="20EF6454" w14:textId="77777777" w:rsidR="00200A70" w:rsidRDefault="00200A70" w:rsidP="00200A70">
      <w:pPr>
        <w:pStyle w:val="BodyText"/>
        <w:numPr>
          <w:ilvl w:val="0"/>
          <w:numId w:val="2"/>
        </w:numPr>
        <w:spacing w:before="0" w:after="0"/>
      </w:pPr>
      <w:r w:rsidRPr="00CE2633">
        <w:rPr>
          <w:b/>
        </w:rPr>
        <w:t>Justifiable/defensible report characteristics</w:t>
      </w:r>
      <w:r>
        <w:t>: Facts reported and the characteristics which describe those reported facts should be both justifiable and defensible by the reporting entity.</w:t>
      </w:r>
    </w:p>
    <w:p w14:paraId="1AE89ED1" w14:textId="77777777" w:rsidR="00200A70" w:rsidRDefault="00200A70" w:rsidP="00200A70">
      <w:pPr>
        <w:pStyle w:val="BodyText"/>
        <w:numPr>
          <w:ilvl w:val="0"/>
          <w:numId w:val="2"/>
        </w:numPr>
        <w:spacing w:before="0" w:after="0"/>
      </w:pPr>
      <w:r w:rsidRPr="00CE2633">
        <w:rPr>
          <w:b/>
        </w:rPr>
        <w:t>Consistency between periods</w:t>
      </w:r>
      <w:r>
        <w:t>: Financial information expressed within one reporting period should be consistent with the financial information expressed within subsequent reporting periods, where appropriate.  Clearly new information will be added and information which becomes irrelevant will be removed from a financial report.  Changes between report elements which existed in both periods should be justifiable and defensible as opposed to arbitrary and random.</w:t>
      </w:r>
    </w:p>
    <w:p w14:paraId="69218985" w14:textId="77777777" w:rsidR="00200A70" w:rsidRDefault="00200A70" w:rsidP="00200A70">
      <w:pPr>
        <w:pStyle w:val="BodyText"/>
        <w:numPr>
          <w:ilvl w:val="0"/>
          <w:numId w:val="2"/>
        </w:numPr>
        <w:spacing w:before="0" w:after="0"/>
      </w:pPr>
      <w:r w:rsidRPr="00CE2633">
        <w:rPr>
          <w:b/>
        </w:rPr>
        <w:t>Consistency with peer group</w:t>
      </w:r>
      <w:r>
        <w:t>: If a reporting entity chooses one approach/report element and a peer chooses a different approach/report element; clearly some good, explainable reason should exist for such difference.  The judgment of an accountant can determine if the difference is appropriate or not.  Differences of opinion can also exist.  However, some sort of rational will likely exist for differences or similarities. Because of ambiguity, different conclusions can be reached and each be reasonable and appropriate.</w:t>
      </w:r>
    </w:p>
    <w:p w14:paraId="46A5AC1A" w14:textId="77777777" w:rsidR="00200A70" w:rsidRDefault="00200A70" w:rsidP="00200A70">
      <w:pPr>
        <w:pStyle w:val="BodyText"/>
        <w:numPr>
          <w:ilvl w:val="0"/>
          <w:numId w:val="2"/>
        </w:numPr>
        <w:spacing w:before="0" w:after="0"/>
      </w:pPr>
      <w:r>
        <w:rPr>
          <w:b/>
        </w:rPr>
        <w:t xml:space="preserve">Logical representations indicated by understandable </w:t>
      </w:r>
      <w:r w:rsidRPr="00CE2633">
        <w:rPr>
          <w:b/>
        </w:rPr>
        <w:t>renderings</w:t>
      </w:r>
      <w:r>
        <w:t xml:space="preserve">: Renderings of facts; characteristics describe facts; parenthetical explanations which further describe such facts; and other such model structures should make sense and be both consistent with other similar logical structures and logical from the perspective of the technical syntax used to articulate that information. While there may be differences of opinion as to how to format or present such information; there should be significantly less or no dispute about the logic.  Disclosures are informational, they relate to information without regard to formatting or other presentational artifacts.  Notes relate to organizing disclosures and are presentational in nature. Someone creating a financial report has far more latitude and </w:t>
      </w:r>
      <w:r w:rsidRPr="00734903">
        <w:t xml:space="preserve">discretion </w:t>
      </w:r>
      <w:r>
        <w:t>as to how to organize disclosures into notes than they do as to what must be disclosed.</w:t>
      </w:r>
    </w:p>
    <w:p w14:paraId="5CC833CA" w14:textId="77777777" w:rsidR="00200A70" w:rsidRDefault="00200A70" w:rsidP="00200A70">
      <w:pPr>
        <w:pStyle w:val="BodyText"/>
        <w:numPr>
          <w:ilvl w:val="0"/>
          <w:numId w:val="2"/>
        </w:numPr>
        <w:spacing w:before="0" w:after="0"/>
      </w:pPr>
      <w:r>
        <w:rPr>
          <w:b/>
        </w:rPr>
        <w:t xml:space="preserve">Unambiguous </w:t>
      </w:r>
      <w:r w:rsidRPr="00CE2633">
        <w:rPr>
          <w:b/>
        </w:rPr>
        <w:t>business meaning</w:t>
      </w:r>
      <w:r>
        <w:t>: A financial report should be unambiguous to an informed reader.  The business meaning of a financial report should be clear/</w:t>
      </w:r>
      <w:r w:rsidRPr="00106A08">
        <w:t>unambiguous</w:t>
      </w:r>
      <w:r>
        <w:t xml:space="preserve"> to the creator of the financial report and likewise clear/</w:t>
      </w:r>
      <w:r w:rsidRPr="00106A08">
        <w:t>unambiguous</w:t>
      </w:r>
      <w:r>
        <w:t xml:space="preserve"> to the users of that financial report.  Both the creator and users should walk away with the same message or story. A financial report should be usable by regulators, financial institutions, analysts, investors, economists, researchers, and others who desire to make use of the information the report contains.</w:t>
      </w:r>
    </w:p>
    <w:p w14:paraId="0777BE21" w14:textId="77777777" w:rsidR="00200A70" w:rsidRDefault="00200A70" w:rsidP="002C62B9">
      <w:pPr>
        <w:pStyle w:val="BodyText"/>
      </w:pPr>
      <w:r>
        <w:lastRenderedPageBreak/>
        <w:t>The following is a set of criteria which is verified using 100% automated processes and the results obtained from the 6,644 XBRL-based financial filings verified by the processes</w:t>
      </w:r>
      <w:r>
        <w:rPr>
          <w:rStyle w:val="FootnoteReference"/>
        </w:rPr>
        <w:footnoteReference w:id="24"/>
      </w:r>
      <w:r>
        <w:t>:</w:t>
      </w:r>
    </w:p>
    <w:p w14:paraId="17C5A120" w14:textId="77777777" w:rsidR="00200A70" w:rsidRDefault="00200A70" w:rsidP="007C1A71">
      <w:pPr>
        <w:pStyle w:val="BodyText"/>
        <w:jc w:val="center"/>
      </w:pPr>
      <w:r>
        <w:rPr>
          <w:noProof/>
        </w:rPr>
        <w:drawing>
          <wp:inline distT="0" distB="0" distL="0" distR="0" wp14:anchorId="326437B4" wp14:editId="49B9CBC2">
            <wp:extent cx="5537606" cy="4249666"/>
            <wp:effectExtent l="0" t="0" r="6350" b="0"/>
            <wp:docPr id="1073741861" name="Picture 10737418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
                    <a:stretch>
                      <a:fillRect/>
                    </a:stretch>
                  </pic:blipFill>
                  <pic:spPr>
                    <a:xfrm>
                      <a:off x="0" y="0"/>
                      <a:ext cx="5539165" cy="4250863"/>
                    </a:xfrm>
                    <a:prstGeom prst="rect">
                      <a:avLst/>
                    </a:prstGeom>
                  </pic:spPr>
                </pic:pic>
              </a:graphicData>
            </a:graphic>
          </wp:inline>
        </w:drawing>
      </w:r>
    </w:p>
    <w:p w14:paraId="13C317C1" w14:textId="77777777" w:rsidR="00200A70" w:rsidRDefault="00200A70" w:rsidP="002C62B9">
      <w:pPr>
        <w:pStyle w:val="Heading2"/>
      </w:pPr>
      <w:bookmarkStart w:id="24" w:name="_Toc456627601"/>
      <w:r>
        <w:t>Recognize that concepts cannot be moved between accounting concept categories or classes</w:t>
      </w:r>
      <w:bookmarkEnd w:id="24"/>
    </w:p>
    <w:p w14:paraId="3E72F365" w14:textId="77777777" w:rsidR="00200A70" w:rsidRDefault="00200A70" w:rsidP="002C62B9">
      <w:pPr>
        <w:pStyle w:val="BodyText"/>
      </w:pPr>
      <w:r>
        <w:t xml:space="preserve">Concepts defined as being one class of financial reporting concept by the US GAAP Financial Reporting XBRL Taxonomy cannot be redefined to be within some other class of financial reporting concept.  For example, a “nonoperating income (expense)” concept cannot be used as an </w:t>
      </w:r>
      <w:proofErr w:type="gramStart"/>
      <w:r>
        <w:t>“revenues”</w:t>
      </w:r>
      <w:proofErr w:type="gramEnd"/>
      <w:r>
        <w:t>.</w:t>
      </w:r>
    </w:p>
    <w:p w14:paraId="5AF050F1" w14:textId="77777777" w:rsidR="00200A70" w:rsidRDefault="00200A70" w:rsidP="002C62B9">
      <w:pPr>
        <w:pStyle w:val="BodyText"/>
      </w:pPr>
      <w:r>
        <w:t>While the US GAAP XBRL Taxonomy does not explicitly or formally “map” each taxonomy concept to a basic concept (i.e. define class-subclass relations), the relations are implicit.  Both the presentation relations, but more likely the calculation relations that exist in the taxonomy implicitly articulate this information.</w:t>
      </w:r>
    </w:p>
    <w:p w14:paraId="505E12EE" w14:textId="77777777" w:rsidR="00200A70" w:rsidRPr="0027213E" w:rsidRDefault="00200A70" w:rsidP="002C62B9">
      <w:pPr>
        <w:pStyle w:val="BodyText"/>
        <w:ind w:left="504"/>
        <w:rPr>
          <w:lang w:val="en-GB"/>
        </w:rPr>
      </w:pPr>
      <w:r>
        <w:rPr>
          <w:highlight w:val="lightGray"/>
          <w:lang w:val="en-GB"/>
        </w:rPr>
        <w:t>HINT</w:t>
      </w:r>
      <w:r w:rsidRPr="00A22A83">
        <w:rPr>
          <w:highlight w:val="lightGray"/>
          <w:lang w:val="en-GB"/>
        </w:rPr>
        <w:t xml:space="preserve">: </w:t>
      </w:r>
      <w:proofErr w:type="gramStart"/>
      <w:r>
        <w:rPr>
          <w:highlight w:val="lightGray"/>
          <w:lang w:val="en-GB"/>
        </w:rPr>
        <w:t>Generally</w:t>
      </w:r>
      <w:proofErr w:type="gramEnd"/>
      <w:r>
        <w:rPr>
          <w:highlight w:val="lightGray"/>
          <w:lang w:val="en-GB"/>
        </w:rPr>
        <w:t xml:space="preserve"> when a reporting entity moves the concept </w:t>
      </w:r>
      <w:r w:rsidRPr="0027213E">
        <w:rPr>
          <w:i/>
          <w:highlight w:val="lightGray"/>
          <w:lang w:val="en-GB"/>
        </w:rPr>
        <w:t>Interest and Debt Expense</w:t>
      </w:r>
      <w:r>
        <w:rPr>
          <w:highlight w:val="lightGray"/>
          <w:lang w:val="en-GB"/>
        </w:rPr>
        <w:t xml:space="preserve"> to be included within </w:t>
      </w:r>
      <w:r w:rsidRPr="0027213E">
        <w:rPr>
          <w:i/>
          <w:highlight w:val="lightGray"/>
          <w:lang w:val="en-GB"/>
        </w:rPr>
        <w:t>Nonoperating Income (Loss)</w:t>
      </w:r>
      <w:r>
        <w:rPr>
          <w:highlight w:val="lightGray"/>
          <w:lang w:val="en-GB"/>
        </w:rPr>
        <w:t xml:space="preserve"> the reason is because there is a concept missing from the US GAAP XBRL Taxonomy.  The missing concept is essentially </w:t>
      </w:r>
      <w:r w:rsidRPr="0027213E">
        <w:rPr>
          <w:i/>
          <w:highlight w:val="lightGray"/>
          <w:lang w:val="en-GB"/>
        </w:rPr>
        <w:t>Nonoperating Income (Loss) Including Interest and Debt Expense</w:t>
      </w:r>
      <w:r>
        <w:rPr>
          <w:highlight w:val="lightGray"/>
          <w:lang w:val="en-GB"/>
        </w:rPr>
        <w:t xml:space="preserve"> which combines the two concepts.</w:t>
      </w:r>
    </w:p>
    <w:p w14:paraId="44090515" w14:textId="77777777" w:rsidR="00200A70" w:rsidRDefault="00200A70" w:rsidP="002C62B9">
      <w:pPr>
        <w:pStyle w:val="BodyText"/>
      </w:pPr>
      <w:r>
        <w:lastRenderedPageBreak/>
        <w:t>Each concept created within a reporting entity taxonomy should be associated with some basic accounting concept. For example, all concepts defined which are an asset should be specifically defined as such using perhaps a “class-subclass” type relation or the existing “general-special” relation defined by XBRL.</w:t>
      </w:r>
    </w:p>
    <w:p w14:paraId="2914E18E" w14:textId="77777777" w:rsidR="00200A70" w:rsidRDefault="00200A70" w:rsidP="002C62B9">
      <w:pPr>
        <w:pStyle w:val="BodyText"/>
      </w:pPr>
      <w:r>
        <w:t>This can be achieved using the XBRL definition linkbase.</w:t>
      </w:r>
    </w:p>
    <w:p w14:paraId="211DBFC8" w14:textId="77777777" w:rsidR="00200A70" w:rsidRDefault="00200A70" w:rsidP="002C62B9">
      <w:pPr>
        <w:pStyle w:val="BodyText"/>
      </w:pPr>
      <w:r>
        <w:t>Here is an example of a violation of the use of a fundamental accounting concept. The summary of the situation is that Procter &amp; Gamble uses the concept “us-gaap:LiabilitiesNoncurrent” to express not the total of noncurrent liabilities like 99.9% of SEC filers do who provide that balance sheet line item and not like the US GAAP XBRL Taxonomy clearly specifies that item; rather Procter &amp; Gamble uses that concept to express what they have labeled in their filing “Other Non-Current Liabilities”.  They do provide “Total Liabilities, Noncurrent” using the concept “</w:t>
      </w:r>
      <w:r w:rsidRPr="006925A9">
        <w:t>us-</w:t>
      </w:r>
      <w:proofErr w:type="gramStart"/>
      <w:r w:rsidRPr="006925A9">
        <w:t>gaap:OtherLiabilitiesNoncurrent</w:t>
      </w:r>
      <w:proofErr w:type="gramEnd"/>
      <w:r>
        <w:t>”; however, that concept also uses an incorrect concept.  This line item also is not on the balance sheet.</w:t>
      </w:r>
    </w:p>
    <w:p w14:paraId="0D53222B" w14:textId="77777777" w:rsidR="00200A70" w:rsidRDefault="00200A70" w:rsidP="002C62B9">
      <w:pPr>
        <w:pStyle w:val="BodyText"/>
        <w:jc w:val="left"/>
      </w:pPr>
      <w:r>
        <w:t>This is the Procter &amp; Gamble XBRL submission:</w:t>
      </w:r>
      <w:r w:rsidRPr="00F920E1">
        <w:t xml:space="preserve"> </w:t>
      </w:r>
      <w:hyperlink r:id="rId41" w:history="1">
        <w:r w:rsidRPr="00B63E69">
          <w:rPr>
            <w:rStyle w:val="Hyperlink"/>
            <w:sz w:val="18"/>
          </w:rPr>
          <w:t>https://www.sec.gov/Archives/edgar/data/80424/000008042413000063/pg-20130630.xml</w:t>
        </w:r>
      </w:hyperlink>
      <w:r w:rsidRPr="00B63E69">
        <w:rPr>
          <w:sz w:val="18"/>
        </w:rPr>
        <w:t xml:space="preserve"> </w:t>
      </w:r>
    </w:p>
    <w:p w14:paraId="49527C2D" w14:textId="77777777" w:rsidR="00200A70" w:rsidRDefault="00200A70" w:rsidP="002C62B9">
      <w:pPr>
        <w:pStyle w:val="BodyText"/>
        <w:jc w:val="left"/>
      </w:pPr>
      <w:r>
        <w:t xml:space="preserve">This will let you look at the submission using the XBRL Cloud Viewer: </w:t>
      </w:r>
      <w:hyperlink r:id="rId42" w:history="1">
        <w:r w:rsidRPr="000D11FF">
          <w:rPr>
            <w:rStyle w:val="Hyperlink"/>
          </w:rPr>
          <w:t>http://goo.gl/A9fo9u</w:t>
        </w:r>
      </w:hyperlink>
      <w:r>
        <w:t xml:space="preserve"> </w:t>
      </w:r>
    </w:p>
    <w:p w14:paraId="7C7298CB" w14:textId="77777777" w:rsidR="00200A70" w:rsidRDefault="00200A70" w:rsidP="002C62B9">
      <w:pPr>
        <w:pStyle w:val="BodyText"/>
        <w:jc w:val="left"/>
      </w:pPr>
      <w:r>
        <w:t>US GAAP XBRL Taxonomy shows relations for “us-</w:t>
      </w:r>
      <w:proofErr w:type="gramStart"/>
      <w:r>
        <w:t>gaap:LiabilitiesNoncurrent</w:t>
      </w:r>
      <w:proofErr w:type="gramEnd"/>
      <w:r>
        <w:t>” as being part of “us-gaap:Liabilities” (i.e. Current liabilities + Noncurrent liabilities = Total liabilities)</w:t>
      </w:r>
    </w:p>
    <w:p w14:paraId="535CAAC4" w14:textId="77777777" w:rsidR="00200A70" w:rsidRDefault="00200A70" w:rsidP="002C62B9">
      <w:pPr>
        <w:pStyle w:val="BodyText"/>
        <w:jc w:val="left"/>
      </w:pPr>
      <w:r>
        <w:rPr>
          <w:noProof/>
        </w:rPr>
        <w:drawing>
          <wp:inline distT="0" distB="0" distL="0" distR="0" wp14:anchorId="77CAA35F" wp14:editId="33EA61CF">
            <wp:extent cx="5486400" cy="904652"/>
            <wp:effectExtent l="0" t="0" r="0" b="0"/>
            <wp:docPr id="1073741862" name="Picture 10737418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3"/>
                    <a:stretch>
                      <a:fillRect/>
                    </a:stretch>
                  </pic:blipFill>
                  <pic:spPr>
                    <a:xfrm>
                      <a:off x="0" y="0"/>
                      <a:ext cx="5486400" cy="904652"/>
                    </a:xfrm>
                    <a:prstGeom prst="rect">
                      <a:avLst/>
                    </a:prstGeom>
                  </pic:spPr>
                </pic:pic>
              </a:graphicData>
            </a:graphic>
          </wp:inline>
        </w:drawing>
      </w:r>
    </w:p>
    <w:p w14:paraId="25100755" w14:textId="77777777" w:rsidR="00200A70" w:rsidRDefault="00200A70" w:rsidP="00B63E69">
      <w:pPr>
        <w:pStyle w:val="BodyText"/>
        <w:jc w:val="left"/>
      </w:pPr>
      <w:r>
        <w:t>Yet, Proctor &amp; Gamble is using that concept as PART of the line item “Total Liabilities, Noncurrent” in their detailed breakdown of other liabilities:</w:t>
      </w:r>
    </w:p>
    <w:p w14:paraId="72F61175" w14:textId="77777777" w:rsidR="00200A70" w:rsidRDefault="00200A70" w:rsidP="00434D9F">
      <w:pPr>
        <w:pStyle w:val="BodyText"/>
        <w:jc w:val="center"/>
      </w:pPr>
      <w:r>
        <w:rPr>
          <w:noProof/>
        </w:rPr>
        <w:drawing>
          <wp:inline distT="0" distB="0" distL="0" distR="0" wp14:anchorId="41B70410" wp14:editId="2523A6B1">
            <wp:extent cx="3116275" cy="2765694"/>
            <wp:effectExtent l="0" t="0" r="8255" b="0"/>
            <wp:docPr id="1073741863" name="Picture 10737418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4"/>
                    <a:stretch>
                      <a:fillRect/>
                    </a:stretch>
                  </pic:blipFill>
                  <pic:spPr>
                    <a:xfrm>
                      <a:off x="0" y="0"/>
                      <a:ext cx="3116895" cy="2766244"/>
                    </a:xfrm>
                    <a:prstGeom prst="rect">
                      <a:avLst/>
                    </a:prstGeom>
                  </pic:spPr>
                </pic:pic>
              </a:graphicData>
            </a:graphic>
          </wp:inline>
        </w:drawing>
      </w:r>
    </w:p>
    <w:p w14:paraId="65089D94" w14:textId="77777777" w:rsidR="00200A70" w:rsidRDefault="00200A70" w:rsidP="002C62B9">
      <w:pPr>
        <w:pStyle w:val="BodyText"/>
        <w:jc w:val="center"/>
      </w:pPr>
    </w:p>
    <w:p w14:paraId="16921C25" w14:textId="77777777" w:rsidR="00200A70" w:rsidRPr="00496A02" w:rsidRDefault="00200A70" w:rsidP="002C62B9">
      <w:pPr>
        <w:pStyle w:val="BodyText"/>
        <w:rPr>
          <w:i/>
        </w:rPr>
      </w:pPr>
      <w:r>
        <w:rPr>
          <w:i/>
        </w:rPr>
        <w:lastRenderedPageBreak/>
        <w:t>Total Liabilities, Noncurrent:</w:t>
      </w:r>
    </w:p>
    <w:p w14:paraId="7E4E8810" w14:textId="77777777" w:rsidR="00200A70" w:rsidRDefault="00200A70" w:rsidP="002C62B9">
      <w:pPr>
        <w:pStyle w:val="BodyText"/>
        <w:jc w:val="center"/>
      </w:pPr>
      <w:r>
        <w:rPr>
          <w:noProof/>
        </w:rPr>
        <w:drawing>
          <wp:inline distT="0" distB="0" distL="0" distR="0" wp14:anchorId="63BE95B6" wp14:editId="218256EA">
            <wp:extent cx="5486400" cy="2278541"/>
            <wp:effectExtent l="0" t="0" r="0" b="0"/>
            <wp:docPr id="1073741864" name="Picture 1073741864" descr="C:\Users\Charlie\AppData\Local\Temp\SNAGHTML309a12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Charlie\AppData\Local\Temp\SNAGHTML309a12e.PNG"/>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486400" cy="2278541"/>
                    </a:xfrm>
                    <a:prstGeom prst="rect">
                      <a:avLst/>
                    </a:prstGeom>
                    <a:noFill/>
                    <a:ln>
                      <a:noFill/>
                    </a:ln>
                  </pic:spPr>
                </pic:pic>
              </a:graphicData>
            </a:graphic>
          </wp:inline>
        </w:drawing>
      </w:r>
    </w:p>
    <w:p w14:paraId="25C6B8BD" w14:textId="77777777" w:rsidR="00200A70" w:rsidRPr="00496A02" w:rsidRDefault="00200A70" w:rsidP="002C62B9">
      <w:pPr>
        <w:pStyle w:val="BodyText"/>
        <w:rPr>
          <w:i/>
        </w:rPr>
      </w:pPr>
      <w:r w:rsidRPr="00496A02">
        <w:rPr>
          <w:i/>
        </w:rPr>
        <w:t>XBRL Cloud Viewer showing balance sheet:</w:t>
      </w:r>
    </w:p>
    <w:p w14:paraId="53A9E5ED" w14:textId="77777777" w:rsidR="00200A70" w:rsidRDefault="00200A70" w:rsidP="002C62B9">
      <w:pPr>
        <w:pStyle w:val="BodyText"/>
        <w:jc w:val="center"/>
      </w:pPr>
      <w:r>
        <w:rPr>
          <w:noProof/>
        </w:rPr>
        <w:drawing>
          <wp:inline distT="0" distB="0" distL="0" distR="0" wp14:anchorId="204D02C9" wp14:editId="4570A034">
            <wp:extent cx="5398618" cy="4484307"/>
            <wp:effectExtent l="0" t="0" r="0" b="0"/>
            <wp:docPr id="1073741865" name="Picture 1073741865" descr="C:\Users\Charlie\AppData\Local\Temp\SNAGHTML34ae01f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Charlie\AppData\Local\Temp\SNAGHTML34ae01f7.PNG"/>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404391" cy="4489102"/>
                    </a:xfrm>
                    <a:prstGeom prst="rect">
                      <a:avLst/>
                    </a:prstGeom>
                    <a:noFill/>
                    <a:ln>
                      <a:noFill/>
                    </a:ln>
                  </pic:spPr>
                </pic:pic>
              </a:graphicData>
            </a:graphic>
          </wp:inline>
        </w:drawing>
      </w:r>
    </w:p>
    <w:p w14:paraId="37E6A8F0" w14:textId="77777777" w:rsidR="00200A70" w:rsidRDefault="00200A70" w:rsidP="002C62B9">
      <w:pPr>
        <w:pStyle w:val="BodyText"/>
      </w:pPr>
      <w:r>
        <w:t>Fundamental accounting concept validation shows that 99.9% of SEC XBRL filers use the concept “us-</w:t>
      </w:r>
      <w:proofErr w:type="gramStart"/>
      <w:r>
        <w:t>gaap:LiabilitiesNoncurrent</w:t>
      </w:r>
      <w:proofErr w:type="gramEnd"/>
      <w:r>
        <w:t>” to represent “Total noncurrent liabilities”, not a detailed component within total noncurrent liabilities (as Procter &amp; Gamble did):</w:t>
      </w:r>
    </w:p>
    <w:p w14:paraId="26EBD1FC" w14:textId="77777777" w:rsidR="00200A70" w:rsidRDefault="00200A70" w:rsidP="002C62B9">
      <w:pPr>
        <w:rPr>
          <w:rFonts w:ascii="Arial" w:hAnsi="Arial" w:cs="Arial"/>
          <w:b/>
          <w:bCs/>
          <w:i/>
          <w:iCs/>
          <w:sz w:val="28"/>
          <w:szCs w:val="28"/>
        </w:rPr>
      </w:pPr>
      <w:r>
        <w:rPr>
          <w:noProof/>
        </w:rPr>
        <w:lastRenderedPageBreak/>
        <w:drawing>
          <wp:inline distT="0" distB="0" distL="0" distR="0" wp14:anchorId="0CBEB3CD" wp14:editId="0B0468D6">
            <wp:extent cx="5486400" cy="963321"/>
            <wp:effectExtent l="0" t="0" r="0" b="0"/>
            <wp:docPr id="1073741866" name="Picture 1073741866" descr="C:\Users\Charlie\AppData\Local\Temp\SNAGHTML34b39fc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Charlie\AppData\Local\Temp\SNAGHTML34b39fcc.PNG"/>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486400" cy="963321"/>
                    </a:xfrm>
                    <a:prstGeom prst="rect">
                      <a:avLst/>
                    </a:prstGeom>
                    <a:noFill/>
                    <a:ln>
                      <a:noFill/>
                    </a:ln>
                  </pic:spPr>
                </pic:pic>
              </a:graphicData>
            </a:graphic>
          </wp:inline>
        </w:drawing>
      </w:r>
    </w:p>
    <w:p w14:paraId="3FE37F5F" w14:textId="77777777" w:rsidR="00200A70" w:rsidRDefault="00200A70" w:rsidP="002C62B9">
      <w:pPr>
        <w:pStyle w:val="Heading2"/>
      </w:pPr>
      <w:bookmarkStart w:id="25" w:name="_Toc456627602"/>
      <w:r>
        <w:t>Recognize that c</w:t>
      </w:r>
      <w:r w:rsidRPr="007E159E">
        <w:t>oncepts reported within a financial report can be grouped into useful sets or classes</w:t>
      </w:r>
      <w:bookmarkEnd w:id="25"/>
    </w:p>
    <w:p w14:paraId="159A3CA7" w14:textId="77777777" w:rsidR="00200A70" w:rsidRDefault="00200A70" w:rsidP="002C62B9">
      <w:pPr>
        <w:pStyle w:val="BodyText"/>
      </w:pPr>
      <w:r>
        <w:t>SFAC 6 breaks a financial statement into groups of 10 elements: assets, liabilities, equity, investments by owners, distributions to owners, comprehensive income, revenues, expenses, gains, losses. These elements are 'the building blocks' with which financial statements are constructed - the classes of items that financial statements comprise. (Elements of Financial Statements. Statement of Financial Accounting Concepts No. 6 (Stamford, Conn.: FASB, 1985, par. 5.)</w:t>
      </w:r>
    </w:p>
    <w:p w14:paraId="59157DAD" w14:textId="77777777" w:rsidR="00200A70" w:rsidRDefault="00200A70" w:rsidP="002C62B9">
      <w:pPr>
        <w:pStyle w:val="BodyText"/>
      </w:pPr>
      <w:r w:rsidRPr="007E159E">
        <w:t>A classification scheme is an arrangement of types or sets of things into useful groups</w:t>
      </w:r>
      <w:r>
        <w:rPr>
          <w:rStyle w:val="FootnoteReference"/>
        </w:rPr>
        <w:footnoteReference w:id="25"/>
      </w:r>
      <w:r w:rsidRPr="007E159E">
        <w:t xml:space="preserve">. SFAC 6 elements are an example of such groups.  'Assets' is one group.  'Revenues' is another group.  Something cannot be both an asset and revenue. </w:t>
      </w:r>
      <w:r>
        <w:t xml:space="preserve">While these 10 elements defined by the FASB are not the appropriate set of elements for defining an entire digital financial report, they do serve as a very useful starting point.  Consider the fundamental accounting concepts as a useful expansion of the 10 elements defined by the FASB. So, rather than just </w:t>
      </w:r>
      <w:r w:rsidRPr="007E159E">
        <w:rPr>
          <w:i/>
        </w:rPr>
        <w:t>assets</w:t>
      </w:r>
      <w:r>
        <w:t xml:space="preserve">, we now have </w:t>
      </w:r>
      <w:r w:rsidRPr="007E159E">
        <w:rPr>
          <w:i/>
        </w:rPr>
        <w:t>current assets</w:t>
      </w:r>
      <w:r>
        <w:t xml:space="preserve"> and </w:t>
      </w:r>
      <w:r w:rsidRPr="007E159E">
        <w:rPr>
          <w:i/>
        </w:rPr>
        <w:t>noncurrent assets</w:t>
      </w:r>
      <w:r>
        <w:t>.  The point is, I am not trying to articulate the list of classes; I am simply pointing out the notion of class by providing a list of things that certainly appear to be useful classes.</w:t>
      </w:r>
    </w:p>
    <w:p w14:paraId="288339BB" w14:textId="77777777" w:rsidR="00200A70" w:rsidRDefault="00200A70" w:rsidP="002C62B9">
      <w:pPr>
        <w:pStyle w:val="BodyText"/>
      </w:pPr>
      <w:r>
        <w:t xml:space="preserve">In observing the </w:t>
      </w:r>
      <w:proofErr w:type="gramStart"/>
      <w:r>
        <w:t>concepts</w:t>
      </w:r>
      <w:proofErr w:type="gramEnd"/>
      <w:r>
        <w:t xml:space="preserve"> you start to see some important differences between the sets of concepts</w:t>
      </w:r>
      <w:r>
        <w:rPr>
          <w:rStyle w:val="FootnoteReference"/>
        </w:rPr>
        <w:footnoteReference w:id="26"/>
      </w:r>
      <w:r>
        <w:t>.  The sets seem to have four important properties and different sets have different properties:</w:t>
      </w:r>
    </w:p>
    <w:p w14:paraId="4D4A7347" w14:textId="77777777" w:rsidR="00200A70" w:rsidRPr="00AE062A" w:rsidRDefault="00200A70" w:rsidP="00200A70">
      <w:pPr>
        <w:pStyle w:val="BodyText"/>
        <w:numPr>
          <w:ilvl w:val="0"/>
          <w:numId w:val="2"/>
        </w:numPr>
        <w:spacing w:before="0" w:after="0"/>
      </w:pPr>
      <w:r w:rsidRPr="00AE062A">
        <w:t>Concept is required to be reported</w:t>
      </w:r>
    </w:p>
    <w:p w14:paraId="3C355B69" w14:textId="77777777" w:rsidR="00200A70" w:rsidRPr="00AE062A" w:rsidRDefault="00200A70" w:rsidP="00200A70">
      <w:pPr>
        <w:pStyle w:val="BodyText"/>
        <w:numPr>
          <w:ilvl w:val="0"/>
          <w:numId w:val="2"/>
        </w:numPr>
        <w:spacing w:before="0" w:after="0"/>
      </w:pPr>
      <w:r w:rsidRPr="00AE062A">
        <w:t>Concept may redefine or replace</w:t>
      </w:r>
    </w:p>
    <w:p w14:paraId="6600A535" w14:textId="77777777" w:rsidR="00200A70" w:rsidRPr="00AE062A" w:rsidRDefault="00200A70" w:rsidP="00200A70">
      <w:pPr>
        <w:pStyle w:val="BodyText"/>
        <w:numPr>
          <w:ilvl w:val="0"/>
          <w:numId w:val="2"/>
        </w:numPr>
        <w:spacing w:before="0" w:after="0"/>
      </w:pPr>
      <w:r w:rsidRPr="00AE062A">
        <w:t>New concept may be created</w:t>
      </w:r>
    </w:p>
    <w:p w14:paraId="41CEC8D5" w14:textId="77777777" w:rsidR="00200A70" w:rsidRPr="00AE062A" w:rsidRDefault="00200A70" w:rsidP="00200A70">
      <w:pPr>
        <w:pStyle w:val="BodyText"/>
        <w:numPr>
          <w:ilvl w:val="0"/>
          <w:numId w:val="2"/>
        </w:numPr>
        <w:spacing w:before="0" w:after="0"/>
      </w:pPr>
      <w:r w:rsidRPr="00AE062A">
        <w:t>New subclasses may be created for concept</w:t>
      </w:r>
    </w:p>
    <w:p w14:paraId="34FB6068" w14:textId="77777777" w:rsidR="00200A70" w:rsidRDefault="00200A70" w:rsidP="002C62B9">
      <w:pPr>
        <w:pStyle w:val="BodyText"/>
      </w:pPr>
      <w:r>
        <w:t xml:space="preserve">For example, consider the concept </w:t>
      </w:r>
      <w:r w:rsidRPr="00AE062A">
        <w:rPr>
          <w:i/>
        </w:rPr>
        <w:t>Operating Income (Loss)</w:t>
      </w:r>
      <w:r>
        <w:t>.  Is that concept required to be reported? NO, reporting operating income (loss) is not required; proof of that is that many filers do NOT report operating income (loss).  May a filer redefine or replace the concept operating income (loss)? NO; observing public company financial reports shows this to be true.  May a filer create a new concept to replace the existing concept?  NO; why would they do that? Can a filer add a subclass? NO; there is no real subclass of that concept.  Consider these same questions for other fundamental accounting concepts.  Consider these concepts for example:</w:t>
      </w:r>
    </w:p>
    <w:tbl>
      <w:tblPr>
        <w:tblW w:w="9015" w:type="dxa"/>
        <w:tblCellSpacing w:w="0" w:type="dxa"/>
        <w:tblInd w:w="15" w:type="dxa"/>
        <w:tblBorders>
          <w:top w:val="outset" w:sz="6" w:space="0" w:color="auto"/>
          <w:left w:val="outset" w:sz="6" w:space="0" w:color="auto"/>
          <w:bottom w:val="outset" w:sz="6" w:space="0" w:color="auto"/>
          <w:right w:val="outset" w:sz="6" w:space="0" w:color="auto"/>
        </w:tblBorders>
        <w:shd w:val="clear" w:color="auto" w:fill="FFFFFF"/>
        <w:tblCellMar>
          <w:top w:w="15" w:type="dxa"/>
          <w:left w:w="15" w:type="dxa"/>
          <w:bottom w:w="15" w:type="dxa"/>
          <w:right w:w="15" w:type="dxa"/>
        </w:tblCellMar>
        <w:tblLook w:val="04A0" w:firstRow="1" w:lastRow="0" w:firstColumn="1" w:lastColumn="0" w:noHBand="0" w:noVBand="1"/>
      </w:tblPr>
      <w:tblGrid>
        <w:gridCol w:w="1514"/>
        <w:gridCol w:w="4531"/>
        <w:gridCol w:w="720"/>
        <w:gridCol w:w="810"/>
        <w:gridCol w:w="630"/>
        <w:gridCol w:w="810"/>
      </w:tblGrid>
      <w:tr w:rsidR="00200A70" w:rsidRPr="00AE062A" w14:paraId="655D0C95" w14:textId="77777777" w:rsidTr="00991583">
        <w:trPr>
          <w:tblHeader/>
          <w:tblCellSpacing w:w="0" w:type="dxa"/>
        </w:trPr>
        <w:tc>
          <w:tcPr>
            <w:tcW w:w="0" w:type="auto"/>
            <w:tcBorders>
              <w:top w:val="outset" w:sz="6" w:space="0" w:color="000000"/>
              <w:left w:val="outset" w:sz="6" w:space="0" w:color="000000"/>
              <w:bottom w:val="outset" w:sz="6" w:space="0" w:color="000000"/>
              <w:right w:val="outset" w:sz="6" w:space="0" w:color="000000"/>
            </w:tcBorders>
            <w:shd w:val="clear" w:color="auto" w:fill="C0C0C0"/>
            <w:vAlign w:val="center"/>
            <w:hideMark/>
          </w:tcPr>
          <w:p w14:paraId="2AAE4522" w14:textId="77777777" w:rsidR="00200A70" w:rsidRPr="00AE062A" w:rsidRDefault="00200A70" w:rsidP="00991583">
            <w:pPr>
              <w:jc w:val="center"/>
              <w:rPr>
                <w:rFonts w:ascii="Arial" w:hAnsi="Arial" w:cs="Arial"/>
                <w:b/>
                <w:bCs/>
                <w:sz w:val="14"/>
                <w:szCs w:val="14"/>
              </w:rPr>
            </w:pPr>
            <w:r>
              <w:rPr>
                <w:rFonts w:ascii="Arial" w:hAnsi="Arial" w:cs="Arial"/>
                <w:b/>
                <w:bCs/>
                <w:color w:val="000000"/>
                <w:sz w:val="14"/>
                <w:szCs w:val="14"/>
              </w:rPr>
              <w:t>Financial statement l</w:t>
            </w:r>
            <w:r w:rsidRPr="00AE062A">
              <w:rPr>
                <w:rFonts w:ascii="Arial" w:hAnsi="Arial" w:cs="Arial"/>
                <w:b/>
                <w:bCs/>
                <w:color w:val="000000"/>
                <w:sz w:val="14"/>
                <w:szCs w:val="14"/>
              </w:rPr>
              <w:t>ocation</w:t>
            </w:r>
          </w:p>
        </w:tc>
        <w:tc>
          <w:tcPr>
            <w:tcW w:w="4531" w:type="dxa"/>
            <w:tcBorders>
              <w:top w:val="outset" w:sz="6" w:space="0" w:color="000000"/>
              <w:left w:val="outset" w:sz="6" w:space="0" w:color="000000"/>
              <w:bottom w:val="outset" w:sz="6" w:space="0" w:color="000000"/>
              <w:right w:val="outset" w:sz="6" w:space="0" w:color="000000"/>
            </w:tcBorders>
            <w:shd w:val="clear" w:color="auto" w:fill="C0C0C0"/>
            <w:vAlign w:val="center"/>
            <w:hideMark/>
          </w:tcPr>
          <w:p w14:paraId="7A9EEA89" w14:textId="77777777" w:rsidR="00200A70" w:rsidRDefault="00200A70" w:rsidP="00991583">
            <w:pPr>
              <w:jc w:val="center"/>
              <w:rPr>
                <w:rFonts w:ascii="Arial" w:hAnsi="Arial" w:cs="Arial"/>
                <w:b/>
                <w:bCs/>
                <w:color w:val="000000"/>
                <w:sz w:val="14"/>
                <w:szCs w:val="14"/>
              </w:rPr>
            </w:pPr>
          </w:p>
          <w:p w14:paraId="3D988B05" w14:textId="77777777" w:rsidR="00200A70" w:rsidRPr="00AE062A" w:rsidRDefault="00200A70" w:rsidP="00991583">
            <w:pPr>
              <w:jc w:val="center"/>
              <w:rPr>
                <w:rFonts w:ascii="Arial" w:hAnsi="Arial" w:cs="Arial"/>
                <w:b/>
                <w:bCs/>
                <w:sz w:val="14"/>
                <w:szCs w:val="14"/>
              </w:rPr>
            </w:pPr>
            <w:r w:rsidRPr="00AE062A">
              <w:rPr>
                <w:rFonts w:ascii="Arial" w:hAnsi="Arial" w:cs="Arial"/>
                <w:b/>
                <w:bCs/>
                <w:color w:val="000000"/>
                <w:sz w:val="14"/>
                <w:szCs w:val="14"/>
              </w:rPr>
              <w:t>Concept</w:t>
            </w:r>
          </w:p>
        </w:tc>
        <w:tc>
          <w:tcPr>
            <w:tcW w:w="720" w:type="dxa"/>
            <w:tcBorders>
              <w:top w:val="outset" w:sz="6" w:space="0" w:color="000000"/>
              <w:left w:val="outset" w:sz="6" w:space="0" w:color="000000"/>
              <w:bottom w:val="outset" w:sz="6" w:space="0" w:color="000000"/>
              <w:right w:val="outset" w:sz="6" w:space="0" w:color="000000"/>
            </w:tcBorders>
            <w:shd w:val="clear" w:color="auto" w:fill="C0C0C0"/>
            <w:vAlign w:val="center"/>
            <w:hideMark/>
          </w:tcPr>
          <w:p w14:paraId="201A2565" w14:textId="77777777" w:rsidR="00200A70" w:rsidRPr="00AE062A" w:rsidRDefault="00200A70" w:rsidP="00991583">
            <w:pPr>
              <w:jc w:val="center"/>
              <w:rPr>
                <w:rFonts w:ascii="Arial" w:hAnsi="Arial" w:cs="Arial"/>
                <w:b/>
                <w:bCs/>
                <w:sz w:val="14"/>
                <w:szCs w:val="14"/>
              </w:rPr>
            </w:pPr>
            <w:r w:rsidRPr="00AE062A">
              <w:rPr>
                <w:rFonts w:ascii="Arial" w:hAnsi="Arial" w:cs="Arial"/>
                <w:b/>
                <w:bCs/>
                <w:color w:val="000000"/>
                <w:sz w:val="14"/>
                <w:szCs w:val="14"/>
              </w:rPr>
              <w:t>Required</w:t>
            </w:r>
            <w:r>
              <w:rPr>
                <w:rFonts w:ascii="Arial" w:hAnsi="Arial" w:cs="Arial"/>
                <w:b/>
                <w:bCs/>
                <w:color w:val="000000"/>
                <w:sz w:val="14"/>
                <w:szCs w:val="14"/>
              </w:rPr>
              <w:t xml:space="preserve"> to report</w:t>
            </w:r>
          </w:p>
        </w:tc>
        <w:tc>
          <w:tcPr>
            <w:tcW w:w="810" w:type="dxa"/>
            <w:tcBorders>
              <w:top w:val="outset" w:sz="6" w:space="0" w:color="000000"/>
              <w:left w:val="outset" w:sz="6" w:space="0" w:color="000000"/>
              <w:bottom w:val="outset" w:sz="6" w:space="0" w:color="000000"/>
              <w:right w:val="outset" w:sz="6" w:space="0" w:color="000000"/>
            </w:tcBorders>
            <w:shd w:val="clear" w:color="auto" w:fill="C0C0C0"/>
            <w:vAlign w:val="center"/>
            <w:hideMark/>
          </w:tcPr>
          <w:p w14:paraId="261960B8" w14:textId="77777777" w:rsidR="00200A70" w:rsidRPr="00AE062A" w:rsidRDefault="00200A70" w:rsidP="00991583">
            <w:pPr>
              <w:jc w:val="center"/>
              <w:rPr>
                <w:rFonts w:ascii="Arial" w:hAnsi="Arial" w:cs="Arial"/>
                <w:b/>
                <w:bCs/>
                <w:sz w:val="14"/>
                <w:szCs w:val="14"/>
              </w:rPr>
            </w:pPr>
            <w:r>
              <w:rPr>
                <w:rFonts w:ascii="Arial" w:hAnsi="Arial" w:cs="Arial"/>
                <w:b/>
                <w:bCs/>
                <w:color w:val="000000"/>
                <w:sz w:val="14"/>
                <w:szCs w:val="14"/>
              </w:rPr>
              <w:t>May redefine or replace</w:t>
            </w:r>
          </w:p>
        </w:tc>
        <w:tc>
          <w:tcPr>
            <w:tcW w:w="630" w:type="dxa"/>
            <w:tcBorders>
              <w:top w:val="outset" w:sz="6" w:space="0" w:color="000000"/>
              <w:left w:val="outset" w:sz="6" w:space="0" w:color="000000"/>
              <w:bottom w:val="outset" w:sz="6" w:space="0" w:color="000000"/>
              <w:right w:val="outset" w:sz="6" w:space="0" w:color="000000"/>
            </w:tcBorders>
            <w:shd w:val="clear" w:color="auto" w:fill="C0C0C0"/>
            <w:vAlign w:val="center"/>
            <w:hideMark/>
          </w:tcPr>
          <w:p w14:paraId="36A04232" w14:textId="77777777" w:rsidR="00200A70" w:rsidRPr="00AE062A" w:rsidRDefault="00200A70" w:rsidP="00991583">
            <w:pPr>
              <w:jc w:val="center"/>
              <w:rPr>
                <w:rFonts w:ascii="Arial" w:hAnsi="Arial" w:cs="Arial"/>
                <w:b/>
                <w:bCs/>
                <w:sz w:val="14"/>
                <w:szCs w:val="14"/>
              </w:rPr>
            </w:pPr>
            <w:r>
              <w:rPr>
                <w:rFonts w:ascii="Arial" w:hAnsi="Arial" w:cs="Arial"/>
                <w:b/>
                <w:bCs/>
                <w:color w:val="000000"/>
                <w:sz w:val="14"/>
                <w:szCs w:val="14"/>
              </w:rPr>
              <w:t>May create new</w:t>
            </w:r>
          </w:p>
        </w:tc>
        <w:tc>
          <w:tcPr>
            <w:tcW w:w="810" w:type="dxa"/>
            <w:tcBorders>
              <w:top w:val="outset" w:sz="6" w:space="0" w:color="000000"/>
              <w:left w:val="outset" w:sz="6" w:space="0" w:color="000000"/>
              <w:bottom w:val="outset" w:sz="6" w:space="0" w:color="000000"/>
              <w:right w:val="outset" w:sz="6" w:space="0" w:color="000000"/>
            </w:tcBorders>
            <w:shd w:val="clear" w:color="auto" w:fill="C0C0C0"/>
            <w:vAlign w:val="center"/>
            <w:hideMark/>
          </w:tcPr>
          <w:p w14:paraId="3D18395A" w14:textId="77777777" w:rsidR="00200A70" w:rsidRPr="00AE062A" w:rsidRDefault="00200A70" w:rsidP="00991583">
            <w:pPr>
              <w:jc w:val="center"/>
              <w:rPr>
                <w:rFonts w:ascii="Arial" w:hAnsi="Arial" w:cs="Arial"/>
                <w:b/>
                <w:bCs/>
                <w:sz w:val="14"/>
                <w:szCs w:val="14"/>
              </w:rPr>
            </w:pPr>
            <w:r>
              <w:rPr>
                <w:rFonts w:ascii="Arial" w:hAnsi="Arial" w:cs="Arial"/>
                <w:b/>
                <w:bCs/>
                <w:color w:val="000000"/>
                <w:sz w:val="14"/>
                <w:szCs w:val="14"/>
              </w:rPr>
              <w:t>May add new subclass</w:t>
            </w:r>
          </w:p>
        </w:tc>
      </w:tr>
      <w:tr w:rsidR="00200A70" w:rsidRPr="00AE062A" w14:paraId="38157BF9" w14:textId="77777777" w:rsidTr="00991583">
        <w:trPr>
          <w:tblCellSpacing w:w="0" w:type="dxa"/>
        </w:trPr>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3DB896A2" w14:textId="77777777" w:rsidR="00200A70" w:rsidRPr="00AE062A" w:rsidRDefault="00200A70" w:rsidP="00991583">
            <w:pPr>
              <w:rPr>
                <w:rFonts w:ascii="Arial" w:hAnsi="Arial" w:cs="Arial"/>
                <w:sz w:val="16"/>
                <w:szCs w:val="16"/>
              </w:rPr>
            </w:pPr>
            <w:r w:rsidRPr="00AE062A">
              <w:rPr>
                <w:rFonts w:ascii="Arial" w:hAnsi="Arial" w:cs="Arial"/>
                <w:color w:val="000000"/>
                <w:sz w:val="16"/>
                <w:szCs w:val="16"/>
              </w:rPr>
              <w:t>Balance sheet</w:t>
            </w:r>
          </w:p>
        </w:tc>
        <w:tc>
          <w:tcPr>
            <w:tcW w:w="4531" w:type="dxa"/>
            <w:tcBorders>
              <w:top w:val="outset" w:sz="6" w:space="0" w:color="D0D7E5"/>
              <w:left w:val="outset" w:sz="6" w:space="0" w:color="D0D7E5"/>
              <w:bottom w:val="outset" w:sz="6" w:space="0" w:color="D0D7E5"/>
              <w:right w:val="outset" w:sz="6" w:space="0" w:color="D0D7E5"/>
            </w:tcBorders>
            <w:shd w:val="clear" w:color="auto" w:fill="FFFFFF"/>
            <w:hideMark/>
          </w:tcPr>
          <w:p w14:paraId="6D778AE8" w14:textId="77777777" w:rsidR="00200A70" w:rsidRPr="00AE062A" w:rsidRDefault="00200A70" w:rsidP="00991583">
            <w:pPr>
              <w:rPr>
                <w:rFonts w:ascii="Arial" w:hAnsi="Arial" w:cs="Arial"/>
                <w:sz w:val="16"/>
                <w:szCs w:val="16"/>
              </w:rPr>
            </w:pPr>
            <w:r w:rsidRPr="00AE062A">
              <w:rPr>
                <w:rFonts w:ascii="Arial" w:hAnsi="Arial" w:cs="Arial"/>
                <w:color w:val="000000"/>
                <w:sz w:val="16"/>
                <w:szCs w:val="16"/>
              </w:rPr>
              <w:t>Assets</w:t>
            </w:r>
          </w:p>
        </w:tc>
        <w:tc>
          <w:tcPr>
            <w:tcW w:w="720" w:type="dxa"/>
            <w:tcBorders>
              <w:top w:val="outset" w:sz="6" w:space="0" w:color="D0D7E5"/>
              <w:left w:val="outset" w:sz="6" w:space="0" w:color="D0D7E5"/>
              <w:bottom w:val="outset" w:sz="6" w:space="0" w:color="D0D7E5"/>
              <w:right w:val="outset" w:sz="6" w:space="0" w:color="D0D7E5"/>
            </w:tcBorders>
            <w:shd w:val="clear" w:color="auto" w:fill="FFFFFF"/>
            <w:hideMark/>
          </w:tcPr>
          <w:p w14:paraId="1E18E01E" w14:textId="77777777" w:rsidR="00200A70" w:rsidRPr="00AE062A" w:rsidRDefault="00200A70" w:rsidP="00991583">
            <w:pPr>
              <w:jc w:val="center"/>
              <w:rPr>
                <w:rFonts w:ascii="Arial" w:hAnsi="Arial" w:cs="Arial"/>
                <w:sz w:val="16"/>
                <w:szCs w:val="16"/>
              </w:rPr>
            </w:pPr>
            <w:r w:rsidRPr="00AE062A">
              <w:rPr>
                <w:rFonts w:ascii="Arial" w:hAnsi="Arial" w:cs="Arial"/>
                <w:color w:val="000000"/>
                <w:sz w:val="16"/>
                <w:szCs w:val="16"/>
              </w:rPr>
              <w:t>YES</w:t>
            </w:r>
          </w:p>
        </w:tc>
        <w:tc>
          <w:tcPr>
            <w:tcW w:w="810" w:type="dxa"/>
            <w:tcBorders>
              <w:top w:val="outset" w:sz="6" w:space="0" w:color="D0D7E5"/>
              <w:left w:val="outset" w:sz="6" w:space="0" w:color="D0D7E5"/>
              <w:bottom w:val="outset" w:sz="6" w:space="0" w:color="D0D7E5"/>
              <w:right w:val="outset" w:sz="6" w:space="0" w:color="D0D7E5"/>
            </w:tcBorders>
            <w:shd w:val="clear" w:color="auto" w:fill="FFFFFF"/>
            <w:hideMark/>
          </w:tcPr>
          <w:p w14:paraId="3B5A9FDD" w14:textId="77777777" w:rsidR="00200A70" w:rsidRPr="00AE062A" w:rsidRDefault="00200A70" w:rsidP="00991583">
            <w:pPr>
              <w:jc w:val="center"/>
              <w:rPr>
                <w:rFonts w:ascii="Arial" w:hAnsi="Arial" w:cs="Arial"/>
                <w:sz w:val="16"/>
                <w:szCs w:val="16"/>
              </w:rPr>
            </w:pPr>
            <w:r w:rsidRPr="00AE062A">
              <w:rPr>
                <w:rFonts w:ascii="Arial" w:hAnsi="Arial" w:cs="Arial"/>
                <w:color w:val="000000"/>
                <w:sz w:val="16"/>
                <w:szCs w:val="16"/>
              </w:rPr>
              <w:t>NO</w:t>
            </w:r>
          </w:p>
        </w:tc>
        <w:tc>
          <w:tcPr>
            <w:tcW w:w="630" w:type="dxa"/>
            <w:tcBorders>
              <w:top w:val="outset" w:sz="6" w:space="0" w:color="D0D7E5"/>
              <w:left w:val="outset" w:sz="6" w:space="0" w:color="D0D7E5"/>
              <w:bottom w:val="outset" w:sz="6" w:space="0" w:color="D0D7E5"/>
              <w:right w:val="outset" w:sz="6" w:space="0" w:color="D0D7E5"/>
            </w:tcBorders>
            <w:shd w:val="clear" w:color="auto" w:fill="FFFFFF"/>
            <w:hideMark/>
          </w:tcPr>
          <w:p w14:paraId="1EB3A745" w14:textId="77777777" w:rsidR="00200A70" w:rsidRPr="00AE062A" w:rsidRDefault="00200A70" w:rsidP="00991583">
            <w:pPr>
              <w:jc w:val="center"/>
              <w:rPr>
                <w:rFonts w:ascii="Arial" w:hAnsi="Arial" w:cs="Arial"/>
                <w:sz w:val="16"/>
                <w:szCs w:val="16"/>
              </w:rPr>
            </w:pPr>
            <w:r w:rsidRPr="00AE062A">
              <w:rPr>
                <w:rFonts w:ascii="Arial" w:hAnsi="Arial" w:cs="Arial"/>
                <w:color w:val="000000"/>
                <w:sz w:val="16"/>
                <w:szCs w:val="16"/>
              </w:rPr>
              <w:t>NO</w:t>
            </w:r>
          </w:p>
        </w:tc>
        <w:tc>
          <w:tcPr>
            <w:tcW w:w="810" w:type="dxa"/>
            <w:tcBorders>
              <w:top w:val="outset" w:sz="6" w:space="0" w:color="D0D7E5"/>
              <w:left w:val="outset" w:sz="6" w:space="0" w:color="D0D7E5"/>
              <w:bottom w:val="outset" w:sz="6" w:space="0" w:color="D0D7E5"/>
              <w:right w:val="outset" w:sz="6" w:space="0" w:color="D0D7E5"/>
            </w:tcBorders>
            <w:shd w:val="clear" w:color="auto" w:fill="FFFFFF"/>
            <w:hideMark/>
          </w:tcPr>
          <w:p w14:paraId="6D24CE91" w14:textId="77777777" w:rsidR="00200A70" w:rsidRPr="00AE062A" w:rsidRDefault="00200A70" w:rsidP="00991583">
            <w:pPr>
              <w:jc w:val="center"/>
              <w:rPr>
                <w:rFonts w:ascii="Arial" w:hAnsi="Arial" w:cs="Arial"/>
                <w:sz w:val="16"/>
                <w:szCs w:val="16"/>
              </w:rPr>
            </w:pPr>
            <w:r w:rsidRPr="00AE062A">
              <w:rPr>
                <w:rFonts w:ascii="Arial" w:hAnsi="Arial" w:cs="Arial"/>
                <w:color w:val="000000"/>
                <w:sz w:val="16"/>
                <w:szCs w:val="16"/>
              </w:rPr>
              <w:t>YES</w:t>
            </w:r>
          </w:p>
        </w:tc>
      </w:tr>
      <w:tr w:rsidR="00200A70" w:rsidRPr="00AE062A" w14:paraId="46D52052" w14:textId="77777777" w:rsidTr="00991583">
        <w:trPr>
          <w:tblCellSpacing w:w="0" w:type="dxa"/>
        </w:trPr>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2B41DD7E" w14:textId="77777777" w:rsidR="00200A70" w:rsidRPr="00AE062A" w:rsidRDefault="00200A70" w:rsidP="00991583">
            <w:pPr>
              <w:rPr>
                <w:rFonts w:ascii="Arial" w:hAnsi="Arial" w:cs="Arial"/>
                <w:sz w:val="16"/>
                <w:szCs w:val="16"/>
              </w:rPr>
            </w:pPr>
            <w:r w:rsidRPr="00AE062A">
              <w:rPr>
                <w:rFonts w:ascii="Arial" w:hAnsi="Arial" w:cs="Arial"/>
                <w:color w:val="000000"/>
                <w:sz w:val="16"/>
                <w:szCs w:val="16"/>
              </w:rPr>
              <w:lastRenderedPageBreak/>
              <w:t>Balance sheet</w:t>
            </w:r>
          </w:p>
        </w:tc>
        <w:tc>
          <w:tcPr>
            <w:tcW w:w="4531" w:type="dxa"/>
            <w:tcBorders>
              <w:top w:val="outset" w:sz="6" w:space="0" w:color="D0D7E5"/>
              <w:left w:val="outset" w:sz="6" w:space="0" w:color="D0D7E5"/>
              <w:bottom w:val="outset" w:sz="6" w:space="0" w:color="D0D7E5"/>
              <w:right w:val="outset" w:sz="6" w:space="0" w:color="D0D7E5"/>
            </w:tcBorders>
            <w:shd w:val="clear" w:color="auto" w:fill="FFFFFF"/>
            <w:hideMark/>
          </w:tcPr>
          <w:p w14:paraId="18DB030B" w14:textId="77777777" w:rsidR="00200A70" w:rsidRPr="00AE062A" w:rsidRDefault="00200A70" w:rsidP="00991583">
            <w:pPr>
              <w:rPr>
                <w:rFonts w:ascii="Arial" w:hAnsi="Arial" w:cs="Arial"/>
                <w:sz w:val="16"/>
                <w:szCs w:val="16"/>
              </w:rPr>
            </w:pPr>
            <w:r w:rsidRPr="00AE062A">
              <w:rPr>
                <w:rFonts w:ascii="Arial" w:hAnsi="Arial" w:cs="Arial"/>
                <w:color w:val="000000"/>
                <w:sz w:val="16"/>
                <w:szCs w:val="16"/>
              </w:rPr>
              <w:t xml:space="preserve">Commitments </w:t>
            </w:r>
            <w:proofErr w:type="gramStart"/>
            <w:r w:rsidRPr="00AE062A">
              <w:rPr>
                <w:rFonts w:ascii="Arial" w:hAnsi="Arial" w:cs="Arial"/>
                <w:color w:val="000000"/>
                <w:sz w:val="16"/>
                <w:szCs w:val="16"/>
              </w:rPr>
              <w:t>And</w:t>
            </w:r>
            <w:proofErr w:type="gramEnd"/>
            <w:r w:rsidRPr="00AE062A">
              <w:rPr>
                <w:rFonts w:ascii="Arial" w:hAnsi="Arial" w:cs="Arial"/>
                <w:color w:val="000000"/>
                <w:sz w:val="16"/>
                <w:szCs w:val="16"/>
              </w:rPr>
              <w:t xml:space="preserve"> Contingencies</w:t>
            </w:r>
          </w:p>
        </w:tc>
        <w:tc>
          <w:tcPr>
            <w:tcW w:w="720" w:type="dxa"/>
            <w:tcBorders>
              <w:top w:val="outset" w:sz="6" w:space="0" w:color="D0D7E5"/>
              <w:left w:val="outset" w:sz="6" w:space="0" w:color="D0D7E5"/>
              <w:bottom w:val="outset" w:sz="6" w:space="0" w:color="D0D7E5"/>
              <w:right w:val="outset" w:sz="6" w:space="0" w:color="D0D7E5"/>
            </w:tcBorders>
            <w:shd w:val="clear" w:color="auto" w:fill="FFFFFF"/>
            <w:hideMark/>
          </w:tcPr>
          <w:p w14:paraId="25106F6D" w14:textId="77777777" w:rsidR="00200A70" w:rsidRPr="00AE062A" w:rsidRDefault="00200A70" w:rsidP="00991583">
            <w:pPr>
              <w:jc w:val="center"/>
              <w:rPr>
                <w:rFonts w:ascii="Arial" w:hAnsi="Arial" w:cs="Arial"/>
                <w:sz w:val="16"/>
                <w:szCs w:val="16"/>
              </w:rPr>
            </w:pPr>
            <w:r w:rsidRPr="00AE062A">
              <w:rPr>
                <w:rFonts w:ascii="Arial" w:hAnsi="Arial" w:cs="Arial"/>
                <w:color w:val="000000"/>
                <w:sz w:val="16"/>
                <w:szCs w:val="16"/>
              </w:rPr>
              <w:t>NO</w:t>
            </w:r>
          </w:p>
        </w:tc>
        <w:tc>
          <w:tcPr>
            <w:tcW w:w="810" w:type="dxa"/>
            <w:tcBorders>
              <w:top w:val="outset" w:sz="6" w:space="0" w:color="D0D7E5"/>
              <w:left w:val="outset" w:sz="6" w:space="0" w:color="D0D7E5"/>
              <w:bottom w:val="outset" w:sz="6" w:space="0" w:color="D0D7E5"/>
              <w:right w:val="outset" w:sz="6" w:space="0" w:color="D0D7E5"/>
            </w:tcBorders>
            <w:shd w:val="clear" w:color="auto" w:fill="FFFFFF"/>
            <w:hideMark/>
          </w:tcPr>
          <w:p w14:paraId="028F6572" w14:textId="77777777" w:rsidR="00200A70" w:rsidRPr="00AE062A" w:rsidRDefault="00200A70" w:rsidP="00991583">
            <w:pPr>
              <w:jc w:val="center"/>
              <w:rPr>
                <w:rFonts w:ascii="Arial" w:hAnsi="Arial" w:cs="Arial"/>
                <w:sz w:val="16"/>
                <w:szCs w:val="16"/>
              </w:rPr>
            </w:pPr>
            <w:r w:rsidRPr="00AE062A">
              <w:rPr>
                <w:rFonts w:ascii="Arial" w:hAnsi="Arial" w:cs="Arial"/>
                <w:color w:val="000000"/>
                <w:sz w:val="16"/>
                <w:szCs w:val="16"/>
              </w:rPr>
              <w:t>NO</w:t>
            </w:r>
          </w:p>
        </w:tc>
        <w:tc>
          <w:tcPr>
            <w:tcW w:w="630" w:type="dxa"/>
            <w:tcBorders>
              <w:top w:val="outset" w:sz="6" w:space="0" w:color="D0D7E5"/>
              <w:left w:val="outset" w:sz="6" w:space="0" w:color="D0D7E5"/>
              <w:bottom w:val="outset" w:sz="6" w:space="0" w:color="D0D7E5"/>
              <w:right w:val="outset" w:sz="6" w:space="0" w:color="D0D7E5"/>
            </w:tcBorders>
            <w:shd w:val="clear" w:color="auto" w:fill="FFFFFF"/>
            <w:hideMark/>
          </w:tcPr>
          <w:p w14:paraId="52336668" w14:textId="77777777" w:rsidR="00200A70" w:rsidRPr="00AE062A" w:rsidRDefault="00200A70" w:rsidP="00991583">
            <w:pPr>
              <w:jc w:val="center"/>
              <w:rPr>
                <w:rFonts w:ascii="Arial" w:hAnsi="Arial" w:cs="Arial"/>
                <w:sz w:val="16"/>
                <w:szCs w:val="16"/>
              </w:rPr>
            </w:pPr>
            <w:r w:rsidRPr="00AE062A">
              <w:rPr>
                <w:rFonts w:ascii="Arial" w:hAnsi="Arial" w:cs="Arial"/>
                <w:color w:val="000000"/>
                <w:sz w:val="16"/>
                <w:szCs w:val="16"/>
              </w:rPr>
              <w:t>NO</w:t>
            </w:r>
          </w:p>
        </w:tc>
        <w:tc>
          <w:tcPr>
            <w:tcW w:w="810" w:type="dxa"/>
            <w:tcBorders>
              <w:top w:val="outset" w:sz="6" w:space="0" w:color="D0D7E5"/>
              <w:left w:val="outset" w:sz="6" w:space="0" w:color="D0D7E5"/>
              <w:bottom w:val="outset" w:sz="6" w:space="0" w:color="D0D7E5"/>
              <w:right w:val="outset" w:sz="6" w:space="0" w:color="D0D7E5"/>
            </w:tcBorders>
            <w:shd w:val="clear" w:color="auto" w:fill="FFFFFF"/>
            <w:hideMark/>
          </w:tcPr>
          <w:p w14:paraId="18EC9321" w14:textId="77777777" w:rsidR="00200A70" w:rsidRPr="00AE062A" w:rsidRDefault="00200A70" w:rsidP="00991583">
            <w:pPr>
              <w:jc w:val="center"/>
              <w:rPr>
                <w:rFonts w:ascii="Arial" w:hAnsi="Arial" w:cs="Arial"/>
                <w:sz w:val="16"/>
                <w:szCs w:val="16"/>
              </w:rPr>
            </w:pPr>
            <w:r w:rsidRPr="00AE062A">
              <w:rPr>
                <w:rFonts w:ascii="Arial" w:hAnsi="Arial" w:cs="Arial"/>
                <w:color w:val="000000"/>
                <w:sz w:val="16"/>
                <w:szCs w:val="16"/>
              </w:rPr>
              <w:t>NO</w:t>
            </w:r>
          </w:p>
        </w:tc>
      </w:tr>
      <w:tr w:rsidR="00200A70" w:rsidRPr="00AE062A" w14:paraId="4FCE4F2E" w14:textId="77777777" w:rsidTr="00991583">
        <w:trPr>
          <w:tblCellSpacing w:w="0" w:type="dxa"/>
        </w:trPr>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7945C0A1" w14:textId="77777777" w:rsidR="00200A70" w:rsidRPr="00AE062A" w:rsidRDefault="00200A70" w:rsidP="00991583">
            <w:pPr>
              <w:rPr>
                <w:rFonts w:ascii="Arial" w:hAnsi="Arial" w:cs="Arial"/>
                <w:sz w:val="16"/>
                <w:szCs w:val="16"/>
              </w:rPr>
            </w:pPr>
            <w:r w:rsidRPr="00AE062A">
              <w:rPr>
                <w:rFonts w:ascii="Arial" w:hAnsi="Arial" w:cs="Arial"/>
                <w:color w:val="000000"/>
                <w:sz w:val="16"/>
                <w:szCs w:val="16"/>
              </w:rPr>
              <w:t>Balance sheet</w:t>
            </w:r>
          </w:p>
        </w:tc>
        <w:tc>
          <w:tcPr>
            <w:tcW w:w="4531" w:type="dxa"/>
            <w:tcBorders>
              <w:top w:val="outset" w:sz="6" w:space="0" w:color="D0D7E5"/>
              <w:left w:val="outset" w:sz="6" w:space="0" w:color="D0D7E5"/>
              <w:bottom w:val="outset" w:sz="6" w:space="0" w:color="D0D7E5"/>
              <w:right w:val="outset" w:sz="6" w:space="0" w:color="D0D7E5"/>
            </w:tcBorders>
            <w:shd w:val="clear" w:color="auto" w:fill="FFFFFF"/>
            <w:hideMark/>
          </w:tcPr>
          <w:p w14:paraId="03FBCE56" w14:textId="77777777" w:rsidR="00200A70" w:rsidRPr="00AE062A" w:rsidRDefault="00200A70" w:rsidP="00991583">
            <w:pPr>
              <w:rPr>
                <w:rFonts w:ascii="Arial" w:hAnsi="Arial" w:cs="Arial"/>
                <w:sz w:val="16"/>
                <w:szCs w:val="16"/>
              </w:rPr>
            </w:pPr>
            <w:r w:rsidRPr="00AE062A">
              <w:rPr>
                <w:rFonts w:ascii="Arial" w:hAnsi="Arial" w:cs="Arial"/>
                <w:color w:val="000000"/>
                <w:sz w:val="16"/>
                <w:szCs w:val="16"/>
              </w:rPr>
              <w:t>Current Assets</w:t>
            </w:r>
          </w:p>
        </w:tc>
        <w:tc>
          <w:tcPr>
            <w:tcW w:w="720" w:type="dxa"/>
            <w:tcBorders>
              <w:top w:val="outset" w:sz="6" w:space="0" w:color="D0D7E5"/>
              <w:left w:val="outset" w:sz="6" w:space="0" w:color="D0D7E5"/>
              <w:bottom w:val="outset" w:sz="6" w:space="0" w:color="D0D7E5"/>
              <w:right w:val="outset" w:sz="6" w:space="0" w:color="D0D7E5"/>
            </w:tcBorders>
            <w:shd w:val="clear" w:color="auto" w:fill="FFFFFF"/>
            <w:hideMark/>
          </w:tcPr>
          <w:p w14:paraId="6E2777CE" w14:textId="77777777" w:rsidR="00200A70" w:rsidRPr="00AE062A" w:rsidRDefault="00200A70" w:rsidP="00991583">
            <w:pPr>
              <w:jc w:val="center"/>
              <w:rPr>
                <w:rFonts w:ascii="Arial" w:hAnsi="Arial" w:cs="Arial"/>
                <w:sz w:val="16"/>
                <w:szCs w:val="16"/>
              </w:rPr>
            </w:pPr>
            <w:r w:rsidRPr="00AE062A">
              <w:rPr>
                <w:rFonts w:ascii="Arial" w:hAnsi="Arial" w:cs="Arial"/>
                <w:color w:val="000000"/>
                <w:sz w:val="16"/>
                <w:szCs w:val="16"/>
              </w:rPr>
              <w:t>YES</w:t>
            </w:r>
          </w:p>
        </w:tc>
        <w:tc>
          <w:tcPr>
            <w:tcW w:w="810" w:type="dxa"/>
            <w:tcBorders>
              <w:top w:val="outset" w:sz="6" w:space="0" w:color="D0D7E5"/>
              <w:left w:val="outset" w:sz="6" w:space="0" w:color="D0D7E5"/>
              <w:bottom w:val="outset" w:sz="6" w:space="0" w:color="D0D7E5"/>
              <w:right w:val="outset" w:sz="6" w:space="0" w:color="D0D7E5"/>
            </w:tcBorders>
            <w:shd w:val="clear" w:color="auto" w:fill="FFFFFF"/>
            <w:hideMark/>
          </w:tcPr>
          <w:p w14:paraId="7B2C0D5F" w14:textId="77777777" w:rsidR="00200A70" w:rsidRPr="00AE062A" w:rsidRDefault="00200A70" w:rsidP="00991583">
            <w:pPr>
              <w:jc w:val="center"/>
              <w:rPr>
                <w:rFonts w:ascii="Arial" w:hAnsi="Arial" w:cs="Arial"/>
                <w:sz w:val="16"/>
                <w:szCs w:val="16"/>
              </w:rPr>
            </w:pPr>
            <w:r w:rsidRPr="00AE062A">
              <w:rPr>
                <w:rFonts w:ascii="Arial" w:hAnsi="Arial" w:cs="Arial"/>
                <w:color w:val="000000"/>
                <w:sz w:val="16"/>
                <w:szCs w:val="16"/>
              </w:rPr>
              <w:t>NO</w:t>
            </w:r>
          </w:p>
        </w:tc>
        <w:tc>
          <w:tcPr>
            <w:tcW w:w="630" w:type="dxa"/>
            <w:tcBorders>
              <w:top w:val="outset" w:sz="6" w:space="0" w:color="D0D7E5"/>
              <w:left w:val="outset" w:sz="6" w:space="0" w:color="D0D7E5"/>
              <w:bottom w:val="outset" w:sz="6" w:space="0" w:color="D0D7E5"/>
              <w:right w:val="outset" w:sz="6" w:space="0" w:color="D0D7E5"/>
            </w:tcBorders>
            <w:shd w:val="clear" w:color="auto" w:fill="FFFFFF"/>
            <w:hideMark/>
          </w:tcPr>
          <w:p w14:paraId="6409F94F" w14:textId="77777777" w:rsidR="00200A70" w:rsidRPr="00AE062A" w:rsidRDefault="00200A70" w:rsidP="00991583">
            <w:pPr>
              <w:jc w:val="center"/>
              <w:rPr>
                <w:rFonts w:ascii="Arial" w:hAnsi="Arial" w:cs="Arial"/>
                <w:sz w:val="16"/>
                <w:szCs w:val="16"/>
              </w:rPr>
            </w:pPr>
            <w:r w:rsidRPr="00AE062A">
              <w:rPr>
                <w:rFonts w:ascii="Arial" w:hAnsi="Arial" w:cs="Arial"/>
                <w:color w:val="000000"/>
                <w:sz w:val="16"/>
                <w:szCs w:val="16"/>
              </w:rPr>
              <w:t>NO</w:t>
            </w:r>
          </w:p>
        </w:tc>
        <w:tc>
          <w:tcPr>
            <w:tcW w:w="810" w:type="dxa"/>
            <w:tcBorders>
              <w:top w:val="outset" w:sz="6" w:space="0" w:color="D0D7E5"/>
              <w:left w:val="outset" w:sz="6" w:space="0" w:color="D0D7E5"/>
              <w:bottom w:val="outset" w:sz="6" w:space="0" w:color="D0D7E5"/>
              <w:right w:val="outset" w:sz="6" w:space="0" w:color="D0D7E5"/>
            </w:tcBorders>
            <w:shd w:val="clear" w:color="auto" w:fill="FFFFFF"/>
            <w:hideMark/>
          </w:tcPr>
          <w:p w14:paraId="6DAE3904" w14:textId="77777777" w:rsidR="00200A70" w:rsidRPr="00AE062A" w:rsidRDefault="00200A70" w:rsidP="00991583">
            <w:pPr>
              <w:jc w:val="center"/>
              <w:rPr>
                <w:rFonts w:ascii="Arial" w:hAnsi="Arial" w:cs="Arial"/>
                <w:sz w:val="16"/>
                <w:szCs w:val="16"/>
              </w:rPr>
            </w:pPr>
            <w:r w:rsidRPr="00AE062A">
              <w:rPr>
                <w:rFonts w:ascii="Arial" w:hAnsi="Arial" w:cs="Arial"/>
                <w:color w:val="000000"/>
                <w:sz w:val="16"/>
                <w:szCs w:val="16"/>
              </w:rPr>
              <w:t>YES</w:t>
            </w:r>
          </w:p>
        </w:tc>
      </w:tr>
      <w:tr w:rsidR="00200A70" w:rsidRPr="00AE062A" w14:paraId="4FB9B3F5" w14:textId="77777777" w:rsidTr="00991583">
        <w:trPr>
          <w:tblCellSpacing w:w="0" w:type="dxa"/>
        </w:trPr>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38C073F3" w14:textId="77777777" w:rsidR="00200A70" w:rsidRPr="00AE062A" w:rsidRDefault="00200A70" w:rsidP="00991583">
            <w:pPr>
              <w:rPr>
                <w:rFonts w:ascii="Arial" w:hAnsi="Arial" w:cs="Arial"/>
                <w:sz w:val="16"/>
                <w:szCs w:val="16"/>
              </w:rPr>
            </w:pPr>
            <w:r w:rsidRPr="00AE062A">
              <w:rPr>
                <w:rFonts w:ascii="Arial" w:hAnsi="Arial" w:cs="Arial"/>
                <w:color w:val="000000"/>
                <w:sz w:val="16"/>
                <w:szCs w:val="16"/>
              </w:rPr>
              <w:t>Balance sheet</w:t>
            </w:r>
          </w:p>
        </w:tc>
        <w:tc>
          <w:tcPr>
            <w:tcW w:w="4531" w:type="dxa"/>
            <w:tcBorders>
              <w:top w:val="outset" w:sz="6" w:space="0" w:color="D0D7E5"/>
              <w:left w:val="outset" w:sz="6" w:space="0" w:color="D0D7E5"/>
              <w:bottom w:val="outset" w:sz="6" w:space="0" w:color="D0D7E5"/>
              <w:right w:val="outset" w:sz="6" w:space="0" w:color="D0D7E5"/>
            </w:tcBorders>
            <w:shd w:val="clear" w:color="auto" w:fill="FFFFFF"/>
            <w:hideMark/>
          </w:tcPr>
          <w:p w14:paraId="4A2CFBC1" w14:textId="77777777" w:rsidR="00200A70" w:rsidRPr="00AE062A" w:rsidRDefault="00200A70" w:rsidP="00991583">
            <w:pPr>
              <w:rPr>
                <w:rFonts w:ascii="Arial" w:hAnsi="Arial" w:cs="Arial"/>
                <w:sz w:val="16"/>
                <w:szCs w:val="16"/>
              </w:rPr>
            </w:pPr>
            <w:r w:rsidRPr="00AE062A">
              <w:rPr>
                <w:rFonts w:ascii="Arial" w:hAnsi="Arial" w:cs="Arial"/>
                <w:color w:val="000000"/>
                <w:sz w:val="16"/>
                <w:szCs w:val="16"/>
              </w:rPr>
              <w:t>Current Liabilities</w:t>
            </w:r>
          </w:p>
        </w:tc>
        <w:tc>
          <w:tcPr>
            <w:tcW w:w="720" w:type="dxa"/>
            <w:tcBorders>
              <w:top w:val="outset" w:sz="6" w:space="0" w:color="D0D7E5"/>
              <w:left w:val="outset" w:sz="6" w:space="0" w:color="D0D7E5"/>
              <w:bottom w:val="outset" w:sz="6" w:space="0" w:color="D0D7E5"/>
              <w:right w:val="outset" w:sz="6" w:space="0" w:color="D0D7E5"/>
            </w:tcBorders>
            <w:shd w:val="clear" w:color="auto" w:fill="FFFFFF"/>
            <w:hideMark/>
          </w:tcPr>
          <w:p w14:paraId="3AC30A15" w14:textId="77777777" w:rsidR="00200A70" w:rsidRPr="00AE062A" w:rsidRDefault="00200A70" w:rsidP="00991583">
            <w:pPr>
              <w:jc w:val="center"/>
              <w:rPr>
                <w:rFonts w:ascii="Arial" w:hAnsi="Arial" w:cs="Arial"/>
                <w:sz w:val="16"/>
                <w:szCs w:val="16"/>
              </w:rPr>
            </w:pPr>
            <w:r w:rsidRPr="00AE062A">
              <w:rPr>
                <w:rFonts w:ascii="Arial" w:hAnsi="Arial" w:cs="Arial"/>
                <w:color w:val="000000"/>
                <w:sz w:val="16"/>
                <w:szCs w:val="16"/>
              </w:rPr>
              <w:t>YES</w:t>
            </w:r>
          </w:p>
        </w:tc>
        <w:tc>
          <w:tcPr>
            <w:tcW w:w="810" w:type="dxa"/>
            <w:tcBorders>
              <w:top w:val="outset" w:sz="6" w:space="0" w:color="D0D7E5"/>
              <w:left w:val="outset" w:sz="6" w:space="0" w:color="D0D7E5"/>
              <w:bottom w:val="outset" w:sz="6" w:space="0" w:color="D0D7E5"/>
              <w:right w:val="outset" w:sz="6" w:space="0" w:color="D0D7E5"/>
            </w:tcBorders>
            <w:shd w:val="clear" w:color="auto" w:fill="FFFFFF"/>
            <w:hideMark/>
          </w:tcPr>
          <w:p w14:paraId="6766A1D7" w14:textId="77777777" w:rsidR="00200A70" w:rsidRPr="00AE062A" w:rsidRDefault="00200A70" w:rsidP="00991583">
            <w:pPr>
              <w:jc w:val="center"/>
              <w:rPr>
                <w:rFonts w:ascii="Arial" w:hAnsi="Arial" w:cs="Arial"/>
                <w:sz w:val="16"/>
                <w:szCs w:val="16"/>
              </w:rPr>
            </w:pPr>
            <w:r w:rsidRPr="00AE062A">
              <w:rPr>
                <w:rFonts w:ascii="Arial" w:hAnsi="Arial" w:cs="Arial"/>
                <w:color w:val="000000"/>
                <w:sz w:val="16"/>
                <w:szCs w:val="16"/>
              </w:rPr>
              <w:t>NO</w:t>
            </w:r>
          </w:p>
        </w:tc>
        <w:tc>
          <w:tcPr>
            <w:tcW w:w="630" w:type="dxa"/>
            <w:tcBorders>
              <w:top w:val="outset" w:sz="6" w:space="0" w:color="D0D7E5"/>
              <w:left w:val="outset" w:sz="6" w:space="0" w:color="D0D7E5"/>
              <w:bottom w:val="outset" w:sz="6" w:space="0" w:color="D0D7E5"/>
              <w:right w:val="outset" w:sz="6" w:space="0" w:color="D0D7E5"/>
            </w:tcBorders>
            <w:shd w:val="clear" w:color="auto" w:fill="FFFFFF"/>
            <w:hideMark/>
          </w:tcPr>
          <w:p w14:paraId="675BA99E" w14:textId="77777777" w:rsidR="00200A70" w:rsidRPr="00AE062A" w:rsidRDefault="00200A70" w:rsidP="00991583">
            <w:pPr>
              <w:jc w:val="center"/>
              <w:rPr>
                <w:rFonts w:ascii="Arial" w:hAnsi="Arial" w:cs="Arial"/>
                <w:sz w:val="16"/>
                <w:szCs w:val="16"/>
              </w:rPr>
            </w:pPr>
            <w:r w:rsidRPr="00AE062A">
              <w:rPr>
                <w:rFonts w:ascii="Arial" w:hAnsi="Arial" w:cs="Arial"/>
                <w:color w:val="000000"/>
                <w:sz w:val="16"/>
                <w:szCs w:val="16"/>
              </w:rPr>
              <w:t>NO</w:t>
            </w:r>
          </w:p>
        </w:tc>
        <w:tc>
          <w:tcPr>
            <w:tcW w:w="810" w:type="dxa"/>
            <w:tcBorders>
              <w:top w:val="outset" w:sz="6" w:space="0" w:color="D0D7E5"/>
              <w:left w:val="outset" w:sz="6" w:space="0" w:color="D0D7E5"/>
              <w:bottom w:val="outset" w:sz="6" w:space="0" w:color="D0D7E5"/>
              <w:right w:val="outset" w:sz="6" w:space="0" w:color="D0D7E5"/>
            </w:tcBorders>
            <w:shd w:val="clear" w:color="auto" w:fill="FFFFFF"/>
            <w:hideMark/>
          </w:tcPr>
          <w:p w14:paraId="4286FD8C" w14:textId="77777777" w:rsidR="00200A70" w:rsidRPr="00AE062A" w:rsidRDefault="00200A70" w:rsidP="00991583">
            <w:pPr>
              <w:jc w:val="center"/>
              <w:rPr>
                <w:rFonts w:ascii="Arial" w:hAnsi="Arial" w:cs="Arial"/>
                <w:sz w:val="16"/>
                <w:szCs w:val="16"/>
              </w:rPr>
            </w:pPr>
            <w:r w:rsidRPr="00AE062A">
              <w:rPr>
                <w:rFonts w:ascii="Arial" w:hAnsi="Arial" w:cs="Arial"/>
                <w:color w:val="000000"/>
                <w:sz w:val="16"/>
                <w:szCs w:val="16"/>
              </w:rPr>
              <w:t>YES</w:t>
            </w:r>
          </w:p>
        </w:tc>
      </w:tr>
      <w:tr w:rsidR="00200A70" w:rsidRPr="00AE062A" w14:paraId="1C412A17" w14:textId="77777777" w:rsidTr="00991583">
        <w:trPr>
          <w:tblCellSpacing w:w="0" w:type="dxa"/>
        </w:trPr>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22399E84" w14:textId="77777777" w:rsidR="00200A70" w:rsidRPr="00AE062A" w:rsidRDefault="00200A70" w:rsidP="00991583">
            <w:pPr>
              <w:rPr>
                <w:rFonts w:ascii="Arial" w:hAnsi="Arial" w:cs="Arial"/>
                <w:sz w:val="16"/>
                <w:szCs w:val="16"/>
              </w:rPr>
            </w:pPr>
            <w:r w:rsidRPr="00AE062A">
              <w:rPr>
                <w:rFonts w:ascii="Arial" w:hAnsi="Arial" w:cs="Arial"/>
                <w:color w:val="000000"/>
                <w:sz w:val="16"/>
                <w:szCs w:val="16"/>
              </w:rPr>
              <w:t>Balance sheet</w:t>
            </w:r>
          </w:p>
        </w:tc>
        <w:tc>
          <w:tcPr>
            <w:tcW w:w="4531" w:type="dxa"/>
            <w:tcBorders>
              <w:top w:val="outset" w:sz="6" w:space="0" w:color="D0D7E5"/>
              <w:left w:val="outset" w:sz="6" w:space="0" w:color="D0D7E5"/>
              <w:bottom w:val="outset" w:sz="6" w:space="0" w:color="D0D7E5"/>
              <w:right w:val="outset" w:sz="6" w:space="0" w:color="D0D7E5"/>
            </w:tcBorders>
            <w:shd w:val="clear" w:color="auto" w:fill="FFFFFF"/>
            <w:hideMark/>
          </w:tcPr>
          <w:p w14:paraId="1782DFA2" w14:textId="77777777" w:rsidR="00200A70" w:rsidRPr="00AE062A" w:rsidRDefault="00200A70" w:rsidP="00991583">
            <w:pPr>
              <w:rPr>
                <w:rFonts w:ascii="Arial" w:hAnsi="Arial" w:cs="Arial"/>
                <w:sz w:val="16"/>
                <w:szCs w:val="16"/>
              </w:rPr>
            </w:pPr>
            <w:r w:rsidRPr="00AE062A">
              <w:rPr>
                <w:rFonts w:ascii="Arial" w:hAnsi="Arial" w:cs="Arial"/>
                <w:color w:val="000000"/>
                <w:sz w:val="16"/>
                <w:szCs w:val="16"/>
              </w:rPr>
              <w:t>Equity</w:t>
            </w:r>
          </w:p>
        </w:tc>
        <w:tc>
          <w:tcPr>
            <w:tcW w:w="720" w:type="dxa"/>
            <w:tcBorders>
              <w:top w:val="outset" w:sz="6" w:space="0" w:color="D0D7E5"/>
              <w:left w:val="outset" w:sz="6" w:space="0" w:color="D0D7E5"/>
              <w:bottom w:val="outset" w:sz="6" w:space="0" w:color="D0D7E5"/>
              <w:right w:val="outset" w:sz="6" w:space="0" w:color="D0D7E5"/>
            </w:tcBorders>
            <w:shd w:val="clear" w:color="auto" w:fill="FFFFFF"/>
            <w:hideMark/>
          </w:tcPr>
          <w:p w14:paraId="12CA0DBD" w14:textId="77777777" w:rsidR="00200A70" w:rsidRPr="00AE062A" w:rsidRDefault="00200A70" w:rsidP="00991583">
            <w:pPr>
              <w:jc w:val="center"/>
              <w:rPr>
                <w:rFonts w:ascii="Arial" w:hAnsi="Arial" w:cs="Arial"/>
                <w:sz w:val="16"/>
                <w:szCs w:val="16"/>
              </w:rPr>
            </w:pPr>
            <w:r w:rsidRPr="00AE062A">
              <w:rPr>
                <w:rFonts w:ascii="Arial" w:hAnsi="Arial" w:cs="Arial"/>
                <w:color w:val="000000"/>
                <w:sz w:val="16"/>
                <w:szCs w:val="16"/>
              </w:rPr>
              <w:t>YES</w:t>
            </w:r>
          </w:p>
        </w:tc>
        <w:tc>
          <w:tcPr>
            <w:tcW w:w="810" w:type="dxa"/>
            <w:tcBorders>
              <w:top w:val="outset" w:sz="6" w:space="0" w:color="D0D7E5"/>
              <w:left w:val="outset" w:sz="6" w:space="0" w:color="D0D7E5"/>
              <w:bottom w:val="outset" w:sz="6" w:space="0" w:color="D0D7E5"/>
              <w:right w:val="outset" w:sz="6" w:space="0" w:color="D0D7E5"/>
            </w:tcBorders>
            <w:shd w:val="clear" w:color="auto" w:fill="FFFFFF"/>
            <w:hideMark/>
          </w:tcPr>
          <w:p w14:paraId="6C7DD4DD" w14:textId="77777777" w:rsidR="00200A70" w:rsidRPr="00AE062A" w:rsidRDefault="00200A70" w:rsidP="00991583">
            <w:pPr>
              <w:jc w:val="center"/>
              <w:rPr>
                <w:rFonts w:ascii="Arial" w:hAnsi="Arial" w:cs="Arial"/>
                <w:sz w:val="16"/>
                <w:szCs w:val="16"/>
              </w:rPr>
            </w:pPr>
            <w:r w:rsidRPr="00AE062A">
              <w:rPr>
                <w:rFonts w:ascii="Arial" w:hAnsi="Arial" w:cs="Arial"/>
                <w:color w:val="000000"/>
                <w:sz w:val="16"/>
                <w:szCs w:val="16"/>
              </w:rPr>
              <w:t>NO</w:t>
            </w:r>
          </w:p>
        </w:tc>
        <w:tc>
          <w:tcPr>
            <w:tcW w:w="630" w:type="dxa"/>
            <w:tcBorders>
              <w:top w:val="outset" w:sz="6" w:space="0" w:color="D0D7E5"/>
              <w:left w:val="outset" w:sz="6" w:space="0" w:color="D0D7E5"/>
              <w:bottom w:val="outset" w:sz="6" w:space="0" w:color="D0D7E5"/>
              <w:right w:val="outset" w:sz="6" w:space="0" w:color="D0D7E5"/>
            </w:tcBorders>
            <w:shd w:val="clear" w:color="auto" w:fill="FFFFFF"/>
            <w:hideMark/>
          </w:tcPr>
          <w:p w14:paraId="325C0DE2" w14:textId="77777777" w:rsidR="00200A70" w:rsidRPr="00AE062A" w:rsidRDefault="00200A70" w:rsidP="00991583">
            <w:pPr>
              <w:jc w:val="center"/>
              <w:rPr>
                <w:rFonts w:ascii="Arial" w:hAnsi="Arial" w:cs="Arial"/>
                <w:sz w:val="16"/>
                <w:szCs w:val="16"/>
              </w:rPr>
            </w:pPr>
            <w:r w:rsidRPr="00AE062A">
              <w:rPr>
                <w:rFonts w:ascii="Arial" w:hAnsi="Arial" w:cs="Arial"/>
                <w:color w:val="000000"/>
                <w:sz w:val="16"/>
                <w:szCs w:val="16"/>
              </w:rPr>
              <w:t>NO</w:t>
            </w:r>
          </w:p>
        </w:tc>
        <w:tc>
          <w:tcPr>
            <w:tcW w:w="810" w:type="dxa"/>
            <w:tcBorders>
              <w:top w:val="outset" w:sz="6" w:space="0" w:color="D0D7E5"/>
              <w:left w:val="outset" w:sz="6" w:space="0" w:color="D0D7E5"/>
              <w:bottom w:val="outset" w:sz="6" w:space="0" w:color="D0D7E5"/>
              <w:right w:val="outset" w:sz="6" w:space="0" w:color="D0D7E5"/>
            </w:tcBorders>
            <w:shd w:val="clear" w:color="auto" w:fill="FFFFFF"/>
            <w:hideMark/>
          </w:tcPr>
          <w:p w14:paraId="108D6AA6" w14:textId="77777777" w:rsidR="00200A70" w:rsidRPr="00AE062A" w:rsidRDefault="00200A70" w:rsidP="00991583">
            <w:pPr>
              <w:jc w:val="center"/>
              <w:rPr>
                <w:rFonts w:ascii="Arial" w:hAnsi="Arial" w:cs="Arial"/>
                <w:sz w:val="16"/>
                <w:szCs w:val="16"/>
              </w:rPr>
            </w:pPr>
            <w:r w:rsidRPr="00AE062A">
              <w:rPr>
                <w:rFonts w:ascii="Arial" w:hAnsi="Arial" w:cs="Arial"/>
                <w:color w:val="000000"/>
                <w:sz w:val="16"/>
                <w:szCs w:val="16"/>
              </w:rPr>
              <w:t>NO</w:t>
            </w:r>
          </w:p>
        </w:tc>
      </w:tr>
      <w:tr w:rsidR="00200A70" w:rsidRPr="00AE062A" w14:paraId="25E40D2E" w14:textId="77777777" w:rsidTr="00991583">
        <w:trPr>
          <w:tblCellSpacing w:w="0" w:type="dxa"/>
        </w:trPr>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0AF86849" w14:textId="77777777" w:rsidR="00200A70" w:rsidRPr="00AE062A" w:rsidRDefault="00200A70" w:rsidP="00991583">
            <w:pPr>
              <w:rPr>
                <w:rFonts w:ascii="Arial" w:hAnsi="Arial" w:cs="Arial"/>
                <w:sz w:val="16"/>
                <w:szCs w:val="16"/>
              </w:rPr>
            </w:pPr>
            <w:r w:rsidRPr="00AE062A">
              <w:rPr>
                <w:rFonts w:ascii="Arial" w:hAnsi="Arial" w:cs="Arial"/>
                <w:color w:val="000000"/>
                <w:sz w:val="16"/>
                <w:szCs w:val="16"/>
              </w:rPr>
              <w:t>Balance sheet</w:t>
            </w:r>
          </w:p>
        </w:tc>
        <w:tc>
          <w:tcPr>
            <w:tcW w:w="4531" w:type="dxa"/>
            <w:tcBorders>
              <w:top w:val="outset" w:sz="6" w:space="0" w:color="D0D7E5"/>
              <w:left w:val="outset" w:sz="6" w:space="0" w:color="D0D7E5"/>
              <w:bottom w:val="outset" w:sz="6" w:space="0" w:color="D0D7E5"/>
              <w:right w:val="outset" w:sz="6" w:space="0" w:color="D0D7E5"/>
            </w:tcBorders>
            <w:shd w:val="clear" w:color="auto" w:fill="FFFFFF"/>
            <w:hideMark/>
          </w:tcPr>
          <w:p w14:paraId="76C56746" w14:textId="77777777" w:rsidR="00200A70" w:rsidRPr="00AE062A" w:rsidRDefault="00200A70" w:rsidP="00991583">
            <w:pPr>
              <w:rPr>
                <w:rFonts w:ascii="Arial" w:hAnsi="Arial" w:cs="Arial"/>
                <w:sz w:val="16"/>
                <w:szCs w:val="16"/>
              </w:rPr>
            </w:pPr>
            <w:r w:rsidRPr="00AE062A">
              <w:rPr>
                <w:rFonts w:ascii="Arial" w:hAnsi="Arial" w:cs="Arial"/>
                <w:color w:val="000000"/>
                <w:sz w:val="16"/>
                <w:szCs w:val="16"/>
              </w:rPr>
              <w:t xml:space="preserve">Equity Attributable </w:t>
            </w:r>
            <w:proofErr w:type="gramStart"/>
            <w:r w:rsidRPr="00AE062A">
              <w:rPr>
                <w:rFonts w:ascii="Arial" w:hAnsi="Arial" w:cs="Arial"/>
                <w:color w:val="000000"/>
                <w:sz w:val="16"/>
                <w:szCs w:val="16"/>
              </w:rPr>
              <w:t>To</w:t>
            </w:r>
            <w:proofErr w:type="gramEnd"/>
            <w:r w:rsidRPr="00AE062A">
              <w:rPr>
                <w:rFonts w:ascii="Arial" w:hAnsi="Arial" w:cs="Arial"/>
                <w:color w:val="000000"/>
                <w:sz w:val="16"/>
                <w:szCs w:val="16"/>
              </w:rPr>
              <w:t xml:space="preserve"> Noncontrolling Interest</w:t>
            </w:r>
          </w:p>
        </w:tc>
        <w:tc>
          <w:tcPr>
            <w:tcW w:w="720" w:type="dxa"/>
            <w:tcBorders>
              <w:top w:val="outset" w:sz="6" w:space="0" w:color="D0D7E5"/>
              <w:left w:val="outset" w:sz="6" w:space="0" w:color="D0D7E5"/>
              <w:bottom w:val="outset" w:sz="6" w:space="0" w:color="D0D7E5"/>
              <w:right w:val="outset" w:sz="6" w:space="0" w:color="D0D7E5"/>
            </w:tcBorders>
            <w:shd w:val="clear" w:color="auto" w:fill="FFFFFF"/>
            <w:hideMark/>
          </w:tcPr>
          <w:p w14:paraId="0E17CF76" w14:textId="77777777" w:rsidR="00200A70" w:rsidRPr="00AE062A" w:rsidRDefault="00200A70" w:rsidP="00991583">
            <w:pPr>
              <w:jc w:val="center"/>
              <w:rPr>
                <w:rFonts w:ascii="Arial" w:hAnsi="Arial" w:cs="Arial"/>
                <w:sz w:val="16"/>
                <w:szCs w:val="16"/>
              </w:rPr>
            </w:pPr>
            <w:r w:rsidRPr="00AE062A">
              <w:rPr>
                <w:rFonts w:ascii="Arial" w:hAnsi="Arial" w:cs="Arial"/>
                <w:color w:val="000000"/>
                <w:sz w:val="16"/>
                <w:szCs w:val="16"/>
              </w:rPr>
              <w:t>NO</w:t>
            </w:r>
          </w:p>
        </w:tc>
        <w:tc>
          <w:tcPr>
            <w:tcW w:w="810" w:type="dxa"/>
            <w:tcBorders>
              <w:top w:val="outset" w:sz="6" w:space="0" w:color="D0D7E5"/>
              <w:left w:val="outset" w:sz="6" w:space="0" w:color="D0D7E5"/>
              <w:bottom w:val="outset" w:sz="6" w:space="0" w:color="D0D7E5"/>
              <w:right w:val="outset" w:sz="6" w:space="0" w:color="D0D7E5"/>
            </w:tcBorders>
            <w:shd w:val="clear" w:color="auto" w:fill="FFFFFF"/>
            <w:hideMark/>
          </w:tcPr>
          <w:p w14:paraId="427E8C0D" w14:textId="77777777" w:rsidR="00200A70" w:rsidRPr="00AE062A" w:rsidRDefault="00200A70" w:rsidP="00991583">
            <w:pPr>
              <w:jc w:val="center"/>
              <w:rPr>
                <w:rFonts w:ascii="Arial" w:hAnsi="Arial" w:cs="Arial"/>
                <w:sz w:val="16"/>
                <w:szCs w:val="16"/>
              </w:rPr>
            </w:pPr>
            <w:r w:rsidRPr="00AE062A">
              <w:rPr>
                <w:rFonts w:ascii="Arial" w:hAnsi="Arial" w:cs="Arial"/>
                <w:color w:val="000000"/>
                <w:sz w:val="16"/>
                <w:szCs w:val="16"/>
              </w:rPr>
              <w:t>NO</w:t>
            </w:r>
          </w:p>
        </w:tc>
        <w:tc>
          <w:tcPr>
            <w:tcW w:w="630" w:type="dxa"/>
            <w:tcBorders>
              <w:top w:val="outset" w:sz="6" w:space="0" w:color="D0D7E5"/>
              <w:left w:val="outset" w:sz="6" w:space="0" w:color="D0D7E5"/>
              <w:bottom w:val="outset" w:sz="6" w:space="0" w:color="D0D7E5"/>
              <w:right w:val="outset" w:sz="6" w:space="0" w:color="D0D7E5"/>
            </w:tcBorders>
            <w:shd w:val="clear" w:color="auto" w:fill="FFFFFF"/>
            <w:hideMark/>
          </w:tcPr>
          <w:p w14:paraId="0BCFB2AE" w14:textId="77777777" w:rsidR="00200A70" w:rsidRPr="00AE062A" w:rsidRDefault="00200A70" w:rsidP="00991583">
            <w:pPr>
              <w:jc w:val="center"/>
              <w:rPr>
                <w:rFonts w:ascii="Arial" w:hAnsi="Arial" w:cs="Arial"/>
                <w:sz w:val="16"/>
                <w:szCs w:val="16"/>
              </w:rPr>
            </w:pPr>
            <w:r w:rsidRPr="00AE062A">
              <w:rPr>
                <w:rFonts w:ascii="Arial" w:hAnsi="Arial" w:cs="Arial"/>
                <w:color w:val="000000"/>
                <w:sz w:val="16"/>
                <w:szCs w:val="16"/>
              </w:rPr>
              <w:t>NO</w:t>
            </w:r>
          </w:p>
        </w:tc>
        <w:tc>
          <w:tcPr>
            <w:tcW w:w="810" w:type="dxa"/>
            <w:tcBorders>
              <w:top w:val="outset" w:sz="6" w:space="0" w:color="D0D7E5"/>
              <w:left w:val="outset" w:sz="6" w:space="0" w:color="D0D7E5"/>
              <w:bottom w:val="outset" w:sz="6" w:space="0" w:color="D0D7E5"/>
              <w:right w:val="outset" w:sz="6" w:space="0" w:color="D0D7E5"/>
            </w:tcBorders>
            <w:shd w:val="clear" w:color="auto" w:fill="FFFFFF"/>
            <w:hideMark/>
          </w:tcPr>
          <w:p w14:paraId="3A067C87" w14:textId="77777777" w:rsidR="00200A70" w:rsidRPr="00AE062A" w:rsidRDefault="00200A70" w:rsidP="00991583">
            <w:pPr>
              <w:jc w:val="center"/>
              <w:rPr>
                <w:rFonts w:ascii="Arial" w:hAnsi="Arial" w:cs="Arial"/>
                <w:sz w:val="16"/>
                <w:szCs w:val="16"/>
              </w:rPr>
            </w:pPr>
            <w:r w:rsidRPr="00AE062A">
              <w:rPr>
                <w:rFonts w:ascii="Arial" w:hAnsi="Arial" w:cs="Arial"/>
                <w:color w:val="000000"/>
                <w:sz w:val="16"/>
                <w:szCs w:val="16"/>
              </w:rPr>
              <w:t>YES</w:t>
            </w:r>
          </w:p>
        </w:tc>
      </w:tr>
      <w:tr w:rsidR="00200A70" w:rsidRPr="00AE062A" w14:paraId="61B1F72B" w14:textId="77777777" w:rsidTr="00991583">
        <w:trPr>
          <w:tblCellSpacing w:w="0" w:type="dxa"/>
        </w:trPr>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38DA51C9" w14:textId="77777777" w:rsidR="00200A70" w:rsidRPr="00AE062A" w:rsidRDefault="00200A70" w:rsidP="00991583">
            <w:pPr>
              <w:rPr>
                <w:rFonts w:ascii="Arial" w:hAnsi="Arial" w:cs="Arial"/>
                <w:sz w:val="16"/>
                <w:szCs w:val="16"/>
              </w:rPr>
            </w:pPr>
            <w:r w:rsidRPr="00AE062A">
              <w:rPr>
                <w:rFonts w:ascii="Arial" w:hAnsi="Arial" w:cs="Arial"/>
                <w:color w:val="000000"/>
                <w:sz w:val="16"/>
                <w:szCs w:val="16"/>
              </w:rPr>
              <w:t>Balance sheet</w:t>
            </w:r>
          </w:p>
        </w:tc>
        <w:tc>
          <w:tcPr>
            <w:tcW w:w="4531" w:type="dxa"/>
            <w:tcBorders>
              <w:top w:val="outset" w:sz="6" w:space="0" w:color="D0D7E5"/>
              <w:left w:val="outset" w:sz="6" w:space="0" w:color="D0D7E5"/>
              <w:bottom w:val="outset" w:sz="6" w:space="0" w:color="D0D7E5"/>
              <w:right w:val="outset" w:sz="6" w:space="0" w:color="D0D7E5"/>
            </w:tcBorders>
            <w:shd w:val="clear" w:color="auto" w:fill="FFFFFF"/>
            <w:hideMark/>
          </w:tcPr>
          <w:p w14:paraId="2A806F14" w14:textId="77777777" w:rsidR="00200A70" w:rsidRPr="00AE062A" w:rsidRDefault="00200A70" w:rsidP="00991583">
            <w:pPr>
              <w:rPr>
                <w:rFonts w:ascii="Arial" w:hAnsi="Arial" w:cs="Arial"/>
                <w:sz w:val="16"/>
                <w:szCs w:val="16"/>
              </w:rPr>
            </w:pPr>
            <w:r w:rsidRPr="00AE062A">
              <w:rPr>
                <w:rFonts w:ascii="Arial" w:hAnsi="Arial" w:cs="Arial"/>
                <w:color w:val="000000"/>
                <w:sz w:val="16"/>
                <w:szCs w:val="16"/>
              </w:rPr>
              <w:t xml:space="preserve">Equity Attributable </w:t>
            </w:r>
            <w:proofErr w:type="gramStart"/>
            <w:r w:rsidRPr="00AE062A">
              <w:rPr>
                <w:rFonts w:ascii="Arial" w:hAnsi="Arial" w:cs="Arial"/>
                <w:color w:val="000000"/>
                <w:sz w:val="16"/>
                <w:szCs w:val="16"/>
              </w:rPr>
              <w:t>To</w:t>
            </w:r>
            <w:proofErr w:type="gramEnd"/>
            <w:r w:rsidRPr="00AE062A">
              <w:rPr>
                <w:rFonts w:ascii="Arial" w:hAnsi="Arial" w:cs="Arial"/>
                <w:color w:val="000000"/>
                <w:sz w:val="16"/>
                <w:szCs w:val="16"/>
              </w:rPr>
              <w:t xml:space="preserve"> Parent</w:t>
            </w:r>
          </w:p>
        </w:tc>
        <w:tc>
          <w:tcPr>
            <w:tcW w:w="720" w:type="dxa"/>
            <w:tcBorders>
              <w:top w:val="outset" w:sz="6" w:space="0" w:color="D0D7E5"/>
              <w:left w:val="outset" w:sz="6" w:space="0" w:color="D0D7E5"/>
              <w:bottom w:val="outset" w:sz="6" w:space="0" w:color="D0D7E5"/>
              <w:right w:val="outset" w:sz="6" w:space="0" w:color="D0D7E5"/>
            </w:tcBorders>
            <w:shd w:val="clear" w:color="auto" w:fill="FFFFFF"/>
            <w:hideMark/>
          </w:tcPr>
          <w:p w14:paraId="1C320AB0" w14:textId="77777777" w:rsidR="00200A70" w:rsidRPr="00AE062A" w:rsidRDefault="00200A70" w:rsidP="00991583">
            <w:pPr>
              <w:jc w:val="center"/>
              <w:rPr>
                <w:rFonts w:ascii="Arial" w:hAnsi="Arial" w:cs="Arial"/>
                <w:sz w:val="16"/>
                <w:szCs w:val="16"/>
              </w:rPr>
            </w:pPr>
            <w:r w:rsidRPr="00AE062A">
              <w:rPr>
                <w:rFonts w:ascii="Arial" w:hAnsi="Arial" w:cs="Arial"/>
                <w:color w:val="000000"/>
                <w:sz w:val="16"/>
                <w:szCs w:val="16"/>
              </w:rPr>
              <w:t>NO</w:t>
            </w:r>
          </w:p>
        </w:tc>
        <w:tc>
          <w:tcPr>
            <w:tcW w:w="810" w:type="dxa"/>
            <w:tcBorders>
              <w:top w:val="outset" w:sz="6" w:space="0" w:color="D0D7E5"/>
              <w:left w:val="outset" w:sz="6" w:space="0" w:color="D0D7E5"/>
              <w:bottom w:val="outset" w:sz="6" w:space="0" w:color="D0D7E5"/>
              <w:right w:val="outset" w:sz="6" w:space="0" w:color="D0D7E5"/>
            </w:tcBorders>
            <w:shd w:val="clear" w:color="auto" w:fill="FFFFFF"/>
            <w:hideMark/>
          </w:tcPr>
          <w:p w14:paraId="46D0D329" w14:textId="77777777" w:rsidR="00200A70" w:rsidRPr="00AE062A" w:rsidRDefault="00200A70" w:rsidP="00991583">
            <w:pPr>
              <w:jc w:val="center"/>
              <w:rPr>
                <w:rFonts w:ascii="Arial" w:hAnsi="Arial" w:cs="Arial"/>
                <w:sz w:val="16"/>
                <w:szCs w:val="16"/>
              </w:rPr>
            </w:pPr>
            <w:r w:rsidRPr="00AE062A">
              <w:rPr>
                <w:rFonts w:ascii="Arial" w:hAnsi="Arial" w:cs="Arial"/>
                <w:color w:val="000000"/>
                <w:sz w:val="16"/>
                <w:szCs w:val="16"/>
              </w:rPr>
              <w:t>NO</w:t>
            </w:r>
          </w:p>
        </w:tc>
        <w:tc>
          <w:tcPr>
            <w:tcW w:w="630" w:type="dxa"/>
            <w:tcBorders>
              <w:top w:val="outset" w:sz="6" w:space="0" w:color="D0D7E5"/>
              <w:left w:val="outset" w:sz="6" w:space="0" w:color="D0D7E5"/>
              <w:bottom w:val="outset" w:sz="6" w:space="0" w:color="D0D7E5"/>
              <w:right w:val="outset" w:sz="6" w:space="0" w:color="D0D7E5"/>
            </w:tcBorders>
            <w:shd w:val="clear" w:color="auto" w:fill="FFFFFF"/>
            <w:hideMark/>
          </w:tcPr>
          <w:p w14:paraId="5441A1D6" w14:textId="77777777" w:rsidR="00200A70" w:rsidRPr="00AE062A" w:rsidRDefault="00200A70" w:rsidP="00991583">
            <w:pPr>
              <w:jc w:val="center"/>
              <w:rPr>
                <w:rFonts w:ascii="Arial" w:hAnsi="Arial" w:cs="Arial"/>
                <w:sz w:val="16"/>
                <w:szCs w:val="16"/>
              </w:rPr>
            </w:pPr>
            <w:r w:rsidRPr="00AE062A">
              <w:rPr>
                <w:rFonts w:ascii="Arial" w:hAnsi="Arial" w:cs="Arial"/>
                <w:color w:val="000000"/>
                <w:sz w:val="16"/>
                <w:szCs w:val="16"/>
              </w:rPr>
              <w:t>NO</w:t>
            </w:r>
          </w:p>
        </w:tc>
        <w:tc>
          <w:tcPr>
            <w:tcW w:w="810" w:type="dxa"/>
            <w:tcBorders>
              <w:top w:val="outset" w:sz="6" w:space="0" w:color="D0D7E5"/>
              <w:left w:val="outset" w:sz="6" w:space="0" w:color="D0D7E5"/>
              <w:bottom w:val="outset" w:sz="6" w:space="0" w:color="D0D7E5"/>
              <w:right w:val="outset" w:sz="6" w:space="0" w:color="D0D7E5"/>
            </w:tcBorders>
            <w:shd w:val="clear" w:color="auto" w:fill="FFFFFF"/>
            <w:hideMark/>
          </w:tcPr>
          <w:p w14:paraId="74EA75B1" w14:textId="77777777" w:rsidR="00200A70" w:rsidRPr="00AE062A" w:rsidRDefault="00200A70" w:rsidP="00991583">
            <w:pPr>
              <w:jc w:val="center"/>
              <w:rPr>
                <w:rFonts w:ascii="Arial" w:hAnsi="Arial" w:cs="Arial"/>
                <w:sz w:val="16"/>
                <w:szCs w:val="16"/>
              </w:rPr>
            </w:pPr>
            <w:r w:rsidRPr="00AE062A">
              <w:rPr>
                <w:rFonts w:ascii="Arial" w:hAnsi="Arial" w:cs="Arial"/>
                <w:color w:val="000000"/>
                <w:sz w:val="16"/>
                <w:szCs w:val="16"/>
              </w:rPr>
              <w:t>YES</w:t>
            </w:r>
          </w:p>
        </w:tc>
      </w:tr>
      <w:tr w:rsidR="00200A70" w:rsidRPr="00AE062A" w14:paraId="471718E8" w14:textId="77777777" w:rsidTr="00991583">
        <w:trPr>
          <w:tblCellSpacing w:w="0" w:type="dxa"/>
        </w:trPr>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03640DCF" w14:textId="77777777" w:rsidR="00200A70" w:rsidRPr="00AE062A" w:rsidRDefault="00200A70" w:rsidP="00991583">
            <w:pPr>
              <w:rPr>
                <w:rFonts w:ascii="Arial" w:hAnsi="Arial" w:cs="Arial"/>
                <w:sz w:val="16"/>
                <w:szCs w:val="16"/>
              </w:rPr>
            </w:pPr>
            <w:r w:rsidRPr="00AE062A">
              <w:rPr>
                <w:rFonts w:ascii="Arial" w:hAnsi="Arial" w:cs="Arial"/>
                <w:color w:val="000000"/>
                <w:sz w:val="16"/>
                <w:szCs w:val="16"/>
              </w:rPr>
              <w:t>Balance sheet</w:t>
            </w:r>
          </w:p>
        </w:tc>
        <w:tc>
          <w:tcPr>
            <w:tcW w:w="4531" w:type="dxa"/>
            <w:tcBorders>
              <w:top w:val="outset" w:sz="6" w:space="0" w:color="D0D7E5"/>
              <w:left w:val="outset" w:sz="6" w:space="0" w:color="D0D7E5"/>
              <w:bottom w:val="outset" w:sz="6" w:space="0" w:color="D0D7E5"/>
              <w:right w:val="outset" w:sz="6" w:space="0" w:color="D0D7E5"/>
            </w:tcBorders>
            <w:shd w:val="clear" w:color="auto" w:fill="FFFFFF"/>
            <w:hideMark/>
          </w:tcPr>
          <w:p w14:paraId="307261DE" w14:textId="77777777" w:rsidR="00200A70" w:rsidRPr="00AE062A" w:rsidRDefault="00200A70" w:rsidP="00991583">
            <w:pPr>
              <w:rPr>
                <w:rFonts w:ascii="Arial" w:hAnsi="Arial" w:cs="Arial"/>
                <w:sz w:val="16"/>
                <w:szCs w:val="16"/>
              </w:rPr>
            </w:pPr>
            <w:r w:rsidRPr="00AE062A">
              <w:rPr>
                <w:rFonts w:ascii="Arial" w:hAnsi="Arial" w:cs="Arial"/>
                <w:color w:val="000000"/>
                <w:sz w:val="16"/>
                <w:szCs w:val="16"/>
              </w:rPr>
              <w:t>Liabilities</w:t>
            </w:r>
          </w:p>
        </w:tc>
        <w:tc>
          <w:tcPr>
            <w:tcW w:w="720" w:type="dxa"/>
            <w:tcBorders>
              <w:top w:val="outset" w:sz="6" w:space="0" w:color="D0D7E5"/>
              <w:left w:val="outset" w:sz="6" w:space="0" w:color="D0D7E5"/>
              <w:bottom w:val="outset" w:sz="6" w:space="0" w:color="D0D7E5"/>
              <w:right w:val="outset" w:sz="6" w:space="0" w:color="D0D7E5"/>
            </w:tcBorders>
            <w:shd w:val="clear" w:color="auto" w:fill="FFFFFF"/>
            <w:hideMark/>
          </w:tcPr>
          <w:p w14:paraId="2F2146CF" w14:textId="77777777" w:rsidR="00200A70" w:rsidRPr="00AE062A" w:rsidRDefault="00200A70" w:rsidP="00991583">
            <w:pPr>
              <w:jc w:val="center"/>
              <w:rPr>
                <w:rFonts w:ascii="Arial" w:hAnsi="Arial" w:cs="Arial"/>
                <w:sz w:val="16"/>
                <w:szCs w:val="16"/>
              </w:rPr>
            </w:pPr>
            <w:r w:rsidRPr="00AE062A">
              <w:rPr>
                <w:rFonts w:ascii="Arial" w:hAnsi="Arial" w:cs="Arial"/>
                <w:color w:val="000000"/>
                <w:sz w:val="16"/>
                <w:szCs w:val="16"/>
              </w:rPr>
              <w:t>NO</w:t>
            </w:r>
          </w:p>
        </w:tc>
        <w:tc>
          <w:tcPr>
            <w:tcW w:w="810" w:type="dxa"/>
            <w:tcBorders>
              <w:top w:val="outset" w:sz="6" w:space="0" w:color="D0D7E5"/>
              <w:left w:val="outset" w:sz="6" w:space="0" w:color="D0D7E5"/>
              <w:bottom w:val="outset" w:sz="6" w:space="0" w:color="D0D7E5"/>
              <w:right w:val="outset" w:sz="6" w:space="0" w:color="D0D7E5"/>
            </w:tcBorders>
            <w:shd w:val="clear" w:color="auto" w:fill="FFFFFF"/>
            <w:hideMark/>
          </w:tcPr>
          <w:p w14:paraId="2AA63FC7" w14:textId="77777777" w:rsidR="00200A70" w:rsidRPr="00AE062A" w:rsidRDefault="00200A70" w:rsidP="00991583">
            <w:pPr>
              <w:jc w:val="center"/>
              <w:rPr>
                <w:rFonts w:ascii="Arial" w:hAnsi="Arial" w:cs="Arial"/>
                <w:sz w:val="16"/>
                <w:szCs w:val="16"/>
              </w:rPr>
            </w:pPr>
            <w:r w:rsidRPr="00AE062A">
              <w:rPr>
                <w:rFonts w:ascii="Arial" w:hAnsi="Arial" w:cs="Arial"/>
                <w:color w:val="000000"/>
                <w:sz w:val="16"/>
                <w:szCs w:val="16"/>
              </w:rPr>
              <w:t>NO</w:t>
            </w:r>
          </w:p>
        </w:tc>
        <w:tc>
          <w:tcPr>
            <w:tcW w:w="630" w:type="dxa"/>
            <w:tcBorders>
              <w:top w:val="outset" w:sz="6" w:space="0" w:color="D0D7E5"/>
              <w:left w:val="outset" w:sz="6" w:space="0" w:color="D0D7E5"/>
              <w:bottom w:val="outset" w:sz="6" w:space="0" w:color="D0D7E5"/>
              <w:right w:val="outset" w:sz="6" w:space="0" w:color="D0D7E5"/>
            </w:tcBorders>
            <w:shd w:val="clear" w:color="auto" w:fill="FFFFFF"/>
            <w:hideMark/>
          </w:tcPr>
          <w:p w14:paraId="46E98132" w14:textId="77777777" w:rsidR="00200A70" w:rsidRPr="00AE062A" w:rsidRDefault="00200A70" w:rsidP="00991583">
            <w:pPr>
              <w:jc w:val="center"/>
              <w:rPr>
                <w:rFonts w:ascii="Arial" w:hAnsi="Arial" w:cs="Arial"/>
                <w:sz w:val="16"/>
                <w:szCs w:val="16"/>
              </w:rPr>
            </w:pPr>
            <w:r w:rsidRPr="00AE062A">
              <w:rPr>
                <w:rFonts w:ascii="Arial" w:hAnsi="Arial" w:cs="Arial"/>
                <w:color w:val="000000"/>
                <w:sz w:val="16"/>
                <w:szCs w:val="16"/>
              </w:rPr>
              <w:t>NO</w:t>
            </w:r>
          </w:p>
        </w:tc>
        <w:tc>
          <w:tcPr>
            <w:tcW w:w="810" w:type="dxa"/>
            <w:tcBorders>
              <w:top w:val="outset" w:sz="6" w:space="0" w:color="D0D7E5"/>
              <w:left w:val="outset" w:sz="6" w:space="0" w:color="D0D7E5"/>
              <w:bottom w:val="outset" w:sz="6" w:space="0" w:color="D0D7E5"/>
              <w:right w:val="outset" w:sz="6" w:space="0" w:color="D0D7E5"/>
            </w:tcBorders>
            <w:shd w:val="clear" w:color="auto" w:fill="FFFFFF"/>
            <w:hideMark/>
          </w:tcPr>
          <w:p w14:paraId="070E3515" w14:textId="77777777" w:rsidR="00200A70" w:rsidRPr="00AE062A" w:rsidRDefault="00200A70" w:rsidP="00991583">
            <w:pPr>
              <w:jc w:val="center"/>
              <w:rPr>
                <w:rFonts w:ascii="Arial" w:hAnsi="Arial" w:cs="Arial"/>
                <w:sz w:val="16"/>
                <w:szCs w:val="16"/>
              </w:rPr>
            </w:pPr>
            <w:r w:rsidRPr="00AE062A">
              <w:rPr>
                <w:rFonts w:ascii="Arial" w:hAnsi="Arial" w:cs="Arial"/>
                <w:color w:val="000000"/>
                <w:sz w:val="16"/>
                <w:szCs w:val="16"/>
              </w:rPr>
              <w:t>NO</w:t>
            </w:r>
          </w:p>
        </w:tc>
      </w:tr>
      <w:tr w:rsidR="00200A70" w:rsidRPr="00AE062A" w14:paraId="7F68D7D9" w14:textId="77777777" w:rsidTr="00991583">
        <w:trPr>
          <w:tblCellSpacing w:w="0" w:type="dxa"/>
        </w:trPr>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5C23518C" w14:textId="77777777" w:rsidR="00200A70" w:rsidRPr="00AE062A" w:rsidRDefault="00200A70" w:rsidP="00991583">
            <w:pPr>
              <w:rPr>
                <w:rFonts w:ascii="Arial" w:hAnsi="Arial" w:cs="Arial"/>
                <w:sz w:val="16"/>
                <w:szCs w:val="16"/>
              </w:rPr>
            </w:pPr>
            <w:r w:rsidRPr="00AE062A">
              <w:rPr>
                <w:rFonts w:ascii="Arial" w:hAnsi="Arial" w:cs="Arial"/>
                <w:color w:val="000000"/>
                <w:sz w:val="16"/>
                <w:szCs w:val="16"/>
              </w:rPr>
              <w:t>Balance sheet</w:t>
            </w:r>
          </w:p>
        </w:tc>
        <w:tc>
          <w:tcPr>
            <w:tcW w:w="4531" w:type="dxa"/>
            <w:tcBorders>
              <w:top w:val="outset" w:sz="6" w:space="0" w:color="D0D7E5"/>
              <w:left w:val="outset" w:sz="6" w:space="0" w:color="D0D7E5"/>
              <w:bottom w:val="outset" w:sz="6" w:space="0" w:color="D0D7E5"/>
              <w:right w:val="outset" w:sz="6" w:space="0" w:color="D0D7E5"/>
            </w:tcBorders>
            <w:shd w:val="clear" w:color="auto" w:fill="FFFFFF"/>
            <w:hideMark/>
          </w:tcPr>
          <w:p w14:paraId="51FC5CD2" w14:textId="77777777" w:rsidR="00200A70" w:rsidRPr="00AE062A" w:rsidRDefault="00200A70" w:rsidP="00991583">
            <w:pPr>
              <w:rPr>
                <w:rFonts w:ascii="Arial" w:hAnsi="Arial" w:cs="Arial"/>
                <w:sz w:val="16"/>
                <w:szCs w:val="16"/>
              </w:rPr>
            </w:pPr>
            <w:r w:rsidRPr="00AE062A">
              <w:rPr>
                <w:rFonts w:ascii="Arial" w:hAnsi="Arial" w:cs="Arial"/>
                <w:color w:val="000000"/>
                <w:sz w:val="16"/>
                <w:szCs w:val="16"/>
              </w:rPr>
              <w:t xml:space="preserve">Liabilities </w:t>
            </w:r>
            <w:proofErr w:type="gramStart"/>
            <w:r w:rsidRPr="00AE062A">
              <w:rPr>
                <w:rFonts w:ascii="Arial" w:hAnsi="Arial" w:cs="Arial"/>
                <w:color w:val="000000"/>
                <w:sz w:val="16"/>
                <w:szCs w:val="16"/>
              </w:rPr>
              <w:t>And</w:t>
            </w:r>
            <w:proofErr w:type="gramEnd"/>
            <w:r w:rsidRPr="00AE062A">
              <w:rPr>
                <w:rFonts w:ascii="Arial" w:hAnsi="Arial" w:cs="Arial"/>
                <w:color w:val="000000"/>
                <w:sz w:val="16"/>
                <w:szCs w:val="16"/>
              </w:rPr>
              <w:t xml:space="preserve"> Equity</w:t>
            </w:r>
          </w:p>
        </w:tc>
        <w:tc>
          <w:tcPr>
            <w:tcW w:w="720" w:type="dxa"/>
            <w:tcBorders>
              <w:top w:val="outset" w:sz="6" w:space="0" w:color="D0D7E5"/>
              <w:left w:val="outset" w:sz="6" w:space="0" w:color="D0D7E5"/>
              <w:bottom w:val="outset" w:sz="6" w:space="0" w:color="D0D7E5"/>
              <w:right w:val="outset" w:sz="6" w:space="0" w:color="D0D7E5"/>
            </w:tcBorders>
            <w:shd w:val="clear" w:color="auto" w:fill="FFFFFF"/>
            <w:hideMark/>
          </w:tcPr>
          <w:p w14:paraId="5981D2E2" w14:textId="77777777" w:rsidR="00200A70" w:rsidRPr="00AE062A" w:rsidRDefault="00200A70" w:rsidP="00991583">
            <w:pPr>
              <w:jc w:val="center"/>
              <w:rPr>
                <w:rFonts w:ascii="Arial" w:hAnsi="Arial" w:cs="Arial"/>
                <w:sz w:val="16"/>
                <w:szCs w:val="16"/>
              </w:rPr>
            </w:pPr>
            <w:r w:rsidRPr="00AE062A">
              <w:rPr>
                <w:rFonts w:ascii="Arial" w:hAnsi="Arial" w:cs="Arial"/>
                <w:color w:val="000000"/>
                <w:sz w:val="16"/>
                <w:szCs w:val="16"/>
              </w:rPr>
              <w:t>YES</w:t>
            </w:r>
          </w:p>
        </w:tc>
        <w:tc>
          <w:tcPr>
            <w:tcW w:w="810" w:type="dxa"/>
            <w:tcBorders>
              <w:top w:val="outset" w:sz="6" w:space="0" w:color="D0D7E5"/>
              <w:left w:val="outset" w:sz="6" w:space="0" w:color="D0D7E5"/>
              <w:bottom w:val="outset" w:sz="6" w:space="0" w:color="D0D7E5"/>
              <w:right w:val="outset" w:sz="6" w:space="0" w:color="D0D7E5"/>
            </w:tcBorders>
            <w:shd w:val="clear" w:color="auto" w:fill="FFFFFF"/>
            <w:hideMark/>
          </w:tcPr>
          <w:p w14:paraId="648405D6" w14:textId="77777777" w:rsidR="00200A70" w:rsidRPr="00AE062A" w:rsidRDefault="00200A70" w:rsidP="00991583">
            <w:pPr>
              <w:jc w:val="center"/>
              <w:rPr>
                <w:rFonts w:ascii="Arial" w:hAnsi="Arial" w:cs="Arial"/>
                <w:sz w:val="16"/>
                <w:szCs w:val="16"/>
              </w:rPr>
            </w:pPr>
            <w:r w:rsidRPr="00AE062A">
              <w:rPr>
                <w:rFonts w:ascii="Arial" w:hAnsi="Arial" w:cs="Arial"/>
                <w:color w:val="000000"/>
                <w:sz w:val="16"/>
                <w:szCs w:val="16"/>
              </w:rPr>
              <w:t>NO</w:t>
            </w:r>
          </w:p>
        </w:tc>
        <w:tc>
          <w:tcPr>
            <w:tcW w:w="630" w:type="dxa"/>
            <w:tcBorders>
              <w:top w:val="outset" w:sz="6" w:space="0" w:color="D0D7E5"/>
              <w:left w:val="outset" w:sz="6" w:space="0" w:color="D0D7E5"/>
              <w:bottom w:val="outset" w:sz="6" w:space="0" w:color="D0D7E5"/>
              <w:right w:val="outset" w:sz="6" w:space="0" w:color="D0D7E5"/>
            </w:tcBorders>
            <w:shd w:val="clear" w:color="auto" w:fill="FFFFFF"/>
            <w:hideMark/>
          </w:tcPr>
          <w:p w14:paraId="37E0C580" w14:textId="77777777" w:rsidR="00200A70" w:rsidRPr="00AE062A" w:rsidRDefault="00200A70" w:rsidP="00991583">
            <w:pPr>
              <w:jc w:val="center"/>
              <w:rPr>
                <w:rFonts w:ascii="Arial" w:hAnsi="Arial" w:cs="Arial"/>
                <w:sz w:val="16"/>
                <w:szCs w:val="16"/>
              </w:rPr>
            </w:pPr>
            <w:r w:rsidRPr="00AE062A">
              <w:rPr>
                <w:rFonts w:ascii="Arial" w:hAnsi="Arial" w:cs="Arial"/>
                <w:color w:val="000000"/>
                <w:sz w:val="16"/>
                <w:szCs w:val="16"/>
              </w:rPr>
              <w:t>NO</w:t>
            </w:r>
          </w:p>
        </w:tc>
        <w:tc>
          <w:tcPr>
            <w:tcW w:w="810" w:type="dxa"/>
            <w:tcBorders>
              <w:top w:val="outset" w:sz="6" w:space="0" w:color="D0D7E5"/>
              <w:left w:val="outset" w:sz="6" w:space="0" w:color="D0D7E5"/>
              <w:bottom w:val="outset" w:sz="6" w:space="0" w:color="D0D7E5"/>
              <w:right w:val="outset" w:sz="6" w:space="0" w:color="D0D7E5"/>
            </w:tcBorders>
            <w:shd w:val="clear" w:color="auto" w:fill="FFFFFF"/>
            <w:hideMark/>
          </w:tcPr>
          <w:p w14:paraId="45058269" w14:textId="77777777" w:rsidR="00200A70" w:rsidRPr="00AE062A" w:rsidRDefault="00200A70" w:rsidP="00991583">
            <w:pPr>
              <w:jc w:val="center"/>
              <w:rPr>
                <w:rFonts w:ascii="Arial" w:hAnsi="Arial" w:cs="Arial"/>
                <w:sz w:val="16"/>
                <w:szCs w:val="16"/>
              </w:rPr>
            </w:pPr>
            <w:r w:rsidRPr="00AE062A">
              <w:rPr>
                <w:rFonts w:ascii="Arial" w:hAnsi="Arial" w:cs="Arial"/>
                <w:color w:val="000000"/>
                <w:sz w:val="16"/>
                <w:szCs w:val="16"/>
              </w:rPr>
              <w:t>NO</w:t>
            </w:r>
          </w:p>
        </w:tc>
      </w:tr>
      <w:tr w:rsidR="00200A70" w:rsidRPr="00AE062A" w14:paraId="182D0848" w14:textId="77777777" w:rsidTr="00991583">
        <w:trPr>
          <w:tblCellSpacing w:w="0" w:type="dxa"/>
        </w:trPr>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742D9AA3" w14:textId="77777777" w:rsidR="00200A70" w:rsidRPr="00AE062A" w:rsidRDefault="00200A70" w:rsidP="00991583">
            <w:pPr>
              <w:rPr>
                <w:rFonts w:ascii="Arial" w:hAnsi="Arial" w:cs="Arial"/>
                <w:sz w:val="16"/>
                <w:szCs w:val="16"/>
              </w:rPr>
            </w:pPr>
            <w:r w:rsidRPr="00AE062A">
              <w:rPr>
                <w:rFonts w:ascii="Arial" w:hAnsi="Arial" w:cs="Arial"/>
                <w:color w:val="000000"/>
                <w:sz w:val="16"/>
                <w:szCs w:val="16"/>
              </w:rPr>
              <w:t>Balance sheet</w:t>
            </w:r>
          </w:p>
        </w:tc>
        <w:tc>
          <w:tcPr>
            <w:tcW w:w="4531" w:type="dxa"/>
            <w:tcBorders>
              <w:top w:val="outset" w:sz="6" w:space="0" w:color="D0D7E5"/>
              <w:left w:val="outset" w:sz="6" w:space="0" w:color="D0D7E5"/>
              <w:bottom w:val="outset" w:sz="6" w:space="0" w:color="D0D7E5"/>
              <w:right w:val="outset" w:sz="6" w:space="0" w:color="D0D7E5"/>
            </w:tcBorders>
            <w:shd w:val="clear" w:color="auto" w:fill="FFFFFF"/>
            <w:hideMark/>
          </w:tcPr>
          <w:p w14:paraId="14925455" w14:textId="77777777" w:rsidR="00200A70" w:rsidRPr="00AE062A" w:rsidRDefault="00200A70" w:rsidP="00991583">
            <w:pPr>
              <w:rPr>
                <w:rFonts w:ascii="Arial" w:hAnsi="Arial" w:cs="Arial"/>
                <w:sz w:val="16"/>
                <w:szCs w:val="16"/>
              </w:rPr>
            </w:pPr>
            <w:r w:rsidRPr="00AE062A">
              <w:rPr>
                <w:rFonts w:ascii="Arial" w:hAnsi="Arial" w:cs="Arial"/>
                <w:color w:val="000000"/>
                <w:sz w:val="16"/>
                <w:szCs w:val="16"/>
              </w:rPr>
              <w:t>Noncurrent Assets</w:t>
            </w:r>
          </w:p>
        </w:tc>
        <w:tc>
          <w:tcPr>
            <w:tcW w:w="720" w:type="dxa"/>
            <w:tcBorders>
              <w:top w:val="outset" w:sz="6" w:space="0" w:color="D0D7E5"/>
              <w:left w:val="outset" w:sz="6" w:space="0" w:color="D0D7E5"/>
              <w:bottom w:val="outset" w:sz="6" w:space="0" w:color="D0D7E5"/>
              <w:right w:val="outset" w:sz="6" w:space="0" w:color="D0D7E5"/>
            </w:tcBorders>
            <w:shd w:val="clear" w:color="auto" w:fill="FFFFFF"/>
            <w:hideMark/>
          </w:tcPr>
          <w:p w14:paraId="4CB9F0C2" w14:textId="77777777" w:rsidR="00200A70" w:rsidRPr="00AE062A" w:rsidRDefault="00200A70" w:rsidP="00991583">
            <w:pPr>
              <w:jc w:val="center"/>
              <w:rPr>
                <w:rFonts w:ascii="Arial" w:hAnsi="Arial" w:cs="Arial"/>
                <w:sz w:val="16"/>
                <w:szCs w:val="16"/>
              </w:rPr>
            </w:pPr>
            <w:r w:rsidRPr="00AE062A">
              <w:rPr>
                <w:rFonts w:ascii="Arial" w:hAnsi="Arial" w:cs="Arial"/>
                <w:color w:val="000000"/>
                <w:sz w:val="16"/>
                <w:szCs w:val="16"/>
              </w:rPr>
              <w:t>NO</w:t>
            </w:r>
          </w:p>
        </w:tc>
        <w:tc>
          <w:tcPr>
            <w:tcW w:w="810" w:type="dxa"/>
            <w:tcBorders>
              <w:top w:val="outset" w:sz="6" w:space="0" w:color="D0D7E5"/>
              <w:left w:val="outset" w:sz="6" w:space="0" w:color="D0D7E5"/>
              <w:bottom w:val="outset" w:sz="6" w:space="0" w:color="D0D7E5"/>
              <w:right w:val="outset" w:sz="6" w:space="0" w:color="D0D7E5"/>
            </w:tcBorders>
            <w:shd w:val="clear" w:color="auto" w:fill="FFFFFF"/>
            <w:hideMark/>
          </w:tcPr>
          <w:p w14:paraId="14561EF1" w14:textId="77777777" w:rsidR="00200A70" w:rsidRPr="00AE062A" w:rsidRDefault="00200A70" w:rsidP="00991583">
            <w:pPr>
              <w:jc w:val="center"/>
              <w:rPr>
                <w:rFonts w:ascii="Arial" w:hAnsi="Arial" w:cs="Arial"/>
                <w:sz w:val="16"/>
                <w:szCs w:val="16"/>
              </w:rPr>
            </w:pPr>
            <w:r w:rsidRPr="00AE062A">
              <w:rPr>
                <w:rFonts w:ascii="Arial" w:hAnsi="Arial" w:cs="Arial"/>
                <w:color w:val="000000"/>
                <w:sz w:val="16"/>
                <w:szCs w:val="16"/>
              </w:rPr>
              <w:t>NO</w:t>
            </w:r>
          </w:p>
        </w:tc>
        <w:tc>
          <w:tcPr>
            <w:tcW w:w="630" w:type="dxa"/>
            <w:tcBorders>
              <w:top w:val="outset" w:sz="6" w:space="0" w:color="D0D7E5"/>
              <w:left w:val="outset" w:sz="6" w:space="0" w:color="D0D7E5"/>
              <w:bottom w:val="outset" w:sz="6" w:space="0" w:color="D0D7E5"/>
              <w:right w:val="outset" w:sz="6" w:space="0" w:color="D0D7E5"/>
            </w:tcBorders>
            <w:shd w:val="clear" w:color="auto" w:fill="FFFFFF"/>
            <w:hideMark/>
          </w:tcPr>
          <w:p w14:paraId="46EDBC92" w14:textId="77777777" w:rsidR="00200A70" w:rsidRPr="00AE062A" w:rsidRDefault="00200A70" w:rsidP="00991583">
            <w:pPr>
              <w:jc w:val="center"/>
              <w:rPr>
                <w:rFonts w:ascii="Arial" w:hAnsi="Arial" w:cs="Arial"/>
                <w:sz w:val="16"/>
                <w:szCs w:val="16"/>
              </w:rPr>
            </w:pPr>
            <w:r w:rsidRPr="00AE062A">
              <w:rPr>
                <w:rFonts w:ascii="Arial" w:hAnsi="Arial" w:cs="Arial"/>
                <w:color w:val="000000"/>
                <w:sz w:val="16"/>
                <w:szCs w:val="16"/>
              </w:rPr>
              <w:t>NO</w:t>
            </w:r>
          </w:p>
        </w:tc>
        <w:tc>
          <w:tcPr>
            <w:tcW w:w="810" w:type="dxa"/>
            <w:tcBorders>
              <w:top w:val="outset" w:sz="6" w:space="0" w:color="D0D7E5"/>
              <w:left w:val="outset" w:sz="6" w:space="0" w:color="D0D7E5"/>
              <w:bottom w:val="outset" w:sz="6" w:space="0" w:color="D0D7E5"/>
              <w:right w:val="outset" w:sz="6" w:space="0" w:color="D0D7E5"/>
            </w:tcBorders>
            <w:shd w:val="clear" w:color="auto" w:fill="FFFFFF"/>
            <w:hideMark/>
          </w:tcPr>
          <w:p w14:paraId="29680FA5" w14:textId="77777777" w:rsidR="00200A70" w:rsidRPr="00AE062A" w:rsidRDefault="00200A70" w:rsidP="00991583">
            <w:pPr>
              <w:jc w:val="center"/>
              <w:rPr>
                <w:rFonts w:ascii="Arial" w:hAnsi="Arial" w:cs="Arial"/>
                <w:sz w:val="16"/>
                <w:szCs w:val="16"/>
              </w:rPr>
            </w:pPr>
            <w:r w:rsidRPr="00AE062A">
              <w:rPr>
                <w:rFonts w:ascii="Arial" w:hAnsi="Arial" w:cs="Arial"/>
                <w:color w:val="000000"/>
                <w:sz w:val="16"/>
                <w:szCs w:val="16"/>
              </w:rPr>
              <w:t>YES</w:t>
            </w:r>
          </w:p>
        </w:tc>
      </w:tr>
      <w:tr w:rsidR="00200A70" w:rsidRPr="00AE062A" w14:paraId="03F8B605" w14:textId="77777777" w:rsidTr="00991583">
        <w:trPr>
          <w:tblCellSpacing w:w="0" w:type="dxa"/>
        </w:trPr>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12A375BF" w14:textId="77777777" w:rsidR="00200A70" w:rsidRPr="00AE062A" w:rsidRDefault="00200A70" w:rsidP="00991583">
            <w:pPr>
              <w:rPr>
                <w:rFonts w:ascii="Arial" w:hAnsi="Arial" w:cs="Arial"/>
                <w:sz w:val="16"/>
                <w:szCs w:val="16"/>
              </w:rPr>
            </w:pPr>
            <w:r w:rsidRPr="00AE062A">
              <w:rPr>
                <w:rFonts w:ascii="Arial" w:hAnsi="Arial" w:cs="Arial"/>
                <w:color w:val="000000"/>
                <w:sz w:val="16"/>
                <w:szCs w:val="16"/>
              </w:rPr>
              <w:t>Balance sheet</w:t>
            </w:r>
          </w:p>
        </w:tc>
        <w:tc>
          <w:tcPr>
            <w:tcW w:w="4531" w:type="dxa"/>
            <w:tcBorders>
              <w:top w:val="outset" w:sz="6" w:space="0" w:color="D0D7E5"/>
              <w:left w:val="outset" w:sz="6" w:space="0" w:color="D0D7E5"/>
              <w:bottom w:val="outset" w:sz="6" w:space="0" w:color="D0D7E5"/>
              <w:right w:val="outset" w:sz="6" w:space="0" w:color="D0D7E5"/>
            </w:tcBorders>
            <w:shd w:val="clear" w:color="auto" w:fill="FFFFFF"/>
            <w:hideMark/>
          </w:tcPr>
          <w:p w14:paraId="23E8CDB8" w14:textId="77777777" w:rsidR="00200A70" w:rsidRPr="00AE062A" w:rsidRDefault="00200A70" w:rsidP="00991583">
            <w:pPr>
              <w:rPr>
                <w:rFonts w:ascii="Arial" w:hAnsi="Arial" w:cs="Arial"/>
                <w:sz w:val="16"/>
                <w:szCs w:val="16"/>
              </w:rPr>
            </w:pPr>
            <w:r w:rsidRPr="00AE062A">
              <w:rPr>
                <w:rFonts w:ascii="Arial" w:hAnsi="Arial" w:cs="Arial"/>
                <w:color w:val="000000"/>
                <w:sz w:val="16"/>
                <w:szCs w:val="16"/>
              </w:rPr>
              <w:t>Noncurrent Liabilities</w:t>
            </w:r>
          </w:p>
        </w:tc>
        <w:tc>
          <w:tcPr>
            <w:tcW w:w="720" w:type="dxa"/>
            <w:tcBorders>
              <w:top w:val="outset" w:sz="6" w:space="0" w:color="D0D7E5"/>
              <w:left w:val="outset" w:sz="6" w:space="0" w:color="D0D7E5"/>
              <w:bottom w:val="outset" w:sz="6" w:space="0" w:color="D0D7E5"/>
              <w:right w:val="outset" w:sz="6" w:space="0" w:color="D0D7E5"/>
            </w:tcBorders>
            <w:shd w:val="clear" w:color="auto" w:fill="FFFFFF"/>
            <w:hideMark/>
          </w:tcPr>
          <w:p w14:paraId="3528E190" w14:textId="77777777" w:rsidR="00200A70" w:rsidRPr="00AE062A" w:rsidRDefault="00200A70" w:rsidP="00991583">
            <w:pPr>
              <w:jc w:val="center"/>
              <w:rPr>
                <w:rFonts w:ascii="Arial" w:hAnsi="Arial" w:cs="Arial"/>
                <w:sz w:val="16"/>
                <w:szCs w:val="16"/>
              </w:rPr>
            </w:pPr>
            <w:r w:rsidRPr="00AE062A">
              <w:rPr>
                <w:rFonts w:ascii="Arial" w:hAnsi="Arial" w:cs="Arial"/>
                <w:color w:val="000000"/>
                <w:sz w:val="16"/>
                <w:szCs w:val="16"/>
              </w:rPr>
              <w:t>NO</w:t>
            </w:r>
          </w:p>
        </w:tc>
        <w:tc>
          <w:tcPr>
            <w:tcW w:w="810" w:type="dxa"/>
            <w:tcBorders>
              <w:top w:val="outset" w:sz="6" w:space="0" w:color="D0D7E5"/>
              <w:left w:val="outset" w:sz="6" w:space="0" w:color="D0D7E5"/>
              <w:bottom w:val="outset" w:sz="6" w:space="0" w:color="D0D7E5"/>
              <w:right w:val="outset" w:sz="6" w:space="0" w:color="D0D7E5"/>
            </w:tcBorders>
            <w:shd w:val="clear" w:color="auto" w:fill="FFFFFF"/>
            <w:hideMark/>
          </w:tcPr>
          <w:p w14:paraId="7C62235B" w14:textId="77777777" w:rsidR="00200A70" w:rsidRPr="00AE062A" w:rsidRDefault="00200A70" w:rsidP="00991583">
            <w:pPr>
              <w:jc w:val="center"/>
              <w:rPr>
                <w:rFonts w:ascii="Arial" w:hAnsi="Arial" w:cs="Arial"/>
                <w:sz w:val="16"/>
                <w:szCs w:val="16"/>
              </w:rPr>
            </w:pPr>
            <w:r w:rsidRPr="00AE062A">
              <w:rPr>
                <w:rFonts w:ascii="Arial" w:hAnsi="Arial" w:cs="Arial"/>
                <w:color w:val="000000"/>
                <w:sz w:val="16"/>
                <w:szCs w:val="16"/>
              </w:rPr>
              <w:t>NO</w:t>
            </w:r>
          </w:p>
        </w:tc>
        <w:tc>
          <w:tcPr>
            <w:tcW w:w="630" w:type="dxa"/>
            <w:tcBorders>
              <w:top w:val="outset" w:sz="6" w:space="0" w:color="D0D7E5"/>
              <w:left w:val="outset" w:sz="6" w:space="0" w:color="D0D7E5"/>
              <w:bottom w:val="outset" w:sz="6" w:space="0" w:color="D0D7E5"/>
              <w:right w:val="outset" w:sz="6" w:space="0" w:color="D0D7E5"/>
            </w:tcBorders>
            <w:shd w:val="clear" w:color="auto" w:fill="FFFFFF"/>
            <w:hideMark/>
          </w:tcPr>
          <w:p w14:paraId="5BF3564A" w14:textId="77777777" w:rsidR="00200A70" w:rsidRPr="00AE062A" w:rsidRDefault="00200A70" w:rsidP="00991583">
            <w:pPr>
              <w:jc w:val="center"/>
              <w:rPr>
                <w:rFonts w:ascii="Arial" w:hAnsi="Arial" w:cs="Arial"/>
                <w:sz w:val="16"/>
                <w:szCs w:val="16"/>
              </w:rPr>
            </w:pPr>
            <w:r w:rsidRPr="00AE062A">
              <w:rPr>
                <w:rFonts w:ascii="Arial" w:hAnsi="Arial" w:cs="Arial"/>
                <w:color w:val="000000"/>
                <w:sz w:val="16"/>
                <w:szCs w:val="16"/>
              </w:rPr>
              <w:t>NO</w:t>
            </w:r>
          </w:p>
        </w:tc>
        <w:tc>
          <w:tcPr>
            <w:tcW w:w="810" w:type="dxa"/>
            <w:tcBorders>
              <w:top w:val="outset" w:sz="6" w:space="0" w:color="D0D7E5"/>
              <w:left w:val="outset" w:sz="6" w:space="0" w:color="D0D7E5"/>
              <w:bottom w:val="outset" w:sz="6" w:space="0" w:color="D0D7E5"/>
              <w:right w:val="outset" w:sz="6" w:space="0" w:color="D0D7E5"/>
            </w:tcBorders>
            <w:shd w:val="clear" w:color="auto" w:fill="FFFFFF"/>
            <w:hideMark/>
          </w:tcPr>
          <w:p w14:paraId="21423505" w14:textId="77777777" w:rsidR="00200A70" w:rsidRPr="00AE062A" w:rsidRDefault="00200A70" w:rsidP="00991583">
            <w:pPr>
              <w:jc w:val="center"/>
              <w:rPr>
                <w:rFonts w:ascii="Arial" w:hAnsi="Arial" w:cs="Arial"/>
                <w:sz w:val="16"/>
                <w:szCs w:val="16"/>
              </w:rPr>
            </w:pPr>
            <w:r w:rsidRPr="00AE062A">
              <w:rPr>
                <w:rFonts w:ascii="Arial" w:hAnsi="Arial" w:cs="Arial"/>
                <w:color w:val="000000"/>
                <w:sz w:val="16"/>
                <w:szCs w:val="16"/>
              </w:rPr>
              <w:t>YES</w:t>
            </w:r>
          </w:p>
        </w:tc>
      </w:tr>
      <w:tr w:rsidR="00200A70" w:rsidRPr="00AE062A" w14:paraId="572EF5FE" w14:textId="77777777" w:rsidTr="00991583">
        <w:trPr>
          <w:tblCellSpacing w:w="0" w:type="dxa"/>
        </w:trPr>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776B8FF1" w14:textId="77777777" w:rsidR="00200A70" w:rsidRPr="00AE062A" w:rsidRDefault="00200A70" w:rsidP="00991583">
            <w:pPr>
              <w:rPr>
                <w:rFonts w:ascii="Arial" w:hAnsi="Arial" w:cs="Arial"/>
                <w:sz w:val="16"/>
                <w:szCs w:val="16"/>
              </w:rPr>
            </w:pPr>
            <w:r w:rsidRPr="00AE062A">
              <w:rPr>
                <w:rFonts w:ascii="Arial" w:hAnsi="Arial" w:cs="Arial"/>
                <w:color w:val="000000"/>
                <w:sz w:val="16"/>
                <w:szCs w:val="16"/>
              </w:rPr>
              <w:t>Balance sheet</w:t>
            </w:r>
          </w:p>
        </w:tc>
        <w:tc>
          <w:tcPr>
            <w:tcW w:w="4531" w:type="dxa"/>
            <w:tcBorders>
              <w:top w:val="outset" w:sz="6" w:space="0" w:color="D0D7E5"/>
              <w:left w:val="outset" w:sz="6" w:space="0" w:color="D0D7E5"/>
              <w:bottom w:val="outset" w:sz="6" w:space="0" w:color="D0D7E5"/>
              <w:right w:val="outset" w:sz="6" w:space="0" w:color="D0D7E5"/>
            </w:tcBorders>
            <w:shd w:val="clear" w:color="auto" w:fill="FFFFFF"/>
            <w:hideMark/>
          </w:tcPr>
          <w:p w14:paraId="747DFE3E" w14:textId="77777777" w:rsidR="00200A70" w:rsidRPr="00AE062A" w:rsidRDefault="00200A70" w:rsidP="00991583">
            <w:pPr>
              <w:rPr>
                <w:rFonts w:ascii="Arial" w:hAnsi="Arial" w:cs="Arial"/>
                <w:sz w:val="16"/>
                <w:szCs w:val="16"/>
              </w:rPr>
            </w:pPr>
            <w:r w:rsidRPr="00AE062A">
              <w:rPr>
                <w:rFonts w:ascii="Arial" w:hAnsi="Arial" w:cs="Arial"/>
                <w:color w:val="000000"/>
                <w:sz w:val="16"/>
                <w:szCs w:val="16"/>
              </w:rPr>
              <w:t>Temporary Equity</w:t>
            </w:r>
          </w:p>
        </w:tc>
        <w:tc>
          <w:tcPr>
            <w:tcW w:w="720" w:type="dxa"/>
            <w:tcBorders>
              <w:top w:val="outset" w:sz="6" w:space="0" w:color="D0D7E5"/>
              <w:left w:val="outset" w:sz="6" w:space="0" w:color="D0D7E5"/>
              <w:bottom w:val="outset" w:sz="6" w:space="0" w:color="D0D7E5"/>
              <w:right w:val="outset" w:sz="6" w:space="0" w:color="D0D7E5"/>
            </w:tcBorders>
            <w:shd w:val="clear" w:color="auto" w:fill="FFFFFF"/>
            <w:hideMark/>
          </w:tcPr>
          <w:p w14:paraId="208F8DBB" w14:textId="77777777" w:rsidR="00200A70" w:rsidRPr="00AE062A" w:rsidRDefault="00200A70" w:rsidP="00991583">
            <w:pPr>
              <w:jc w:val="center"/>
              <w:rPr>
                <w:rFonts w:ascii="Arial" w:hAnsi="Arial" w:cs="Arial"/>
                <w:sz w:val="16"/>
                <w:szCs w:val="16"/>
              </w:rPr>
            </w:pPr>
            <w:r w:rsidRPr="00AE062A">
              <w:rPr>
                <w:rFonts w:ascii="Arial" w:hAnsi="Arial" w:cs="Arial"/>
                <w:color w:val="000000"/>
                <w:sz w:val="16"/>
                <w:szCs w:val="16"/>
              </w:rPr>
              <w:t>NO</w:t>
            </w:r>
          </w:p>
        </w:tc>
        <w:tc>
          <w:tcPr>
            <w:tcW w:w="810" w:type="dxa"/>
            <w:tcBorders>
              <w:top w:val="outset" w:sz="6" w:space="0" w:color="D0D7E5"/>
              <w:left w:val="outset" w:sz="6" w:space="0" w:color="D0D7E5"/>
              <w:bottom w:val="outset" w:sz="6" w:space="0" w:color="D0D7E5"/>
              <w:right w:val="outset" w:sz="6" w:space="0" w:color="D0D7E5"/>
            </w:tcBorders>
            <w:shd w:val="clear" w:color="auto" w:fill="FFFFFF"/>
            <w:hideMark/>
          </w:tcPr>
          <w:p w14:paraId="3E3D067E" w14:textId="77777777" w:rsidR="00200A70" w:rsidRPr="00AE062A" w:rsidRDefault="00200A70" w:rsidP="00991583">
            <w:pPr>
              <w:jc w:val="center"/>
              <w:rPr>
                <w:rFonts w:ascii="Arial" w:hAnsi="Arial" w:cs="Arial"/>
                <w:sz w:val="16"/>
                <w:szCs w:val="16"/>
              </w:rPr>
            </w:pPr>
            <w:r w:rsidRPr="00AE062A">
              <w:rPr>
                <w:rFonts w:ascii="Arial" w:hAnsi="Arial" w:cs="Arial"/>
                <w:color w:val="000000"/>
                <w:sz w:val="16"/>
                <w:szCs w:val="16"/>
              </w:rPr>
              <w:t>NO</w:t>
            </w:r>
          </w:p>
        </w:tc>
        <w:tc>
          <w:tcPr>
            <w:tcW w:w="630" w:type="dxa"/>
            <w:tcBorders>
              <w:top w:val="outset" w:sz="6" w:space="0" w:color="D0D7E5"/>
              <w:left w:val="outset" w:sz="6" w:space="0" w:color="D0D7E5"/>
              <w:bottom w:val="outset" w:sz="6" w:space="0" w:color="D0D7E5"/>
              <w:right w:val="outset" w:sz="6" w:space="0" w:color="D0D7E5"/>
            </w:tcBorders>
            <w:shd w:val="clear" w:color="auto" w:fill="FFFFFF"/>
            <w:hideMark/>
          </w:tcPr>
          <w:p w14:paraId="462ED528" w14:textId="77777777" w:rsidR="00200A70" w:rsidRPr="00AE062A" w:rsidRDefault="00200A70" w:rsidP="00991583">
            <w:pPr>
              <w:jc w:val="center"/>
              <w:rPr>
                <w:rFonts w:ascii="Arial" w:hAnsi="Arial" w:cs="Arial"/>
                <w:sz w:val="16"/>
                <w:szCs w:val="16"/>
              </w:rPr>
            </w:pPr>
            <w:r w:rsidRPr="00AE062A">
              <w:rPr>
                <w:rFonts w:ascii="Arial" w:hAnsi="Arial" w:cs="Arial"/>
                <w:color w:val="000000"/>
                <w:sz w:val="16"/>
                <w:szCs w:val="16"/>
              </w:rPr>
              <w:t>NO</w:t>
            </w:r>
          </w:p>
        </w:tc>
        <w:tc>
          <w:tcPr>
            <w:tcW w:w="810" w:type="dxa"/>
            <w:tcBorders>
              <w:top w:val="outset" w:sz="6" w:space="0" w:color="D0D7E5"/>
              <w:left w:val="outset" w:sz="6" w:space="0" w:color="D0D7E5"/>
              <w:bottom w:val="outset" w:sz="6" w:space="0" w:color="D0D7E5"/>
              <w:right w:val="outset" w:sz="6" w:space="0" w:color="D0D7E5"/>
            </w:tcBorders>
            <w:shd w:val="clear" w:color="auto" w:fill="FFFFFF"/>
            <w:hideMark/>
          </w:tcPr>
          <w:p w14:paraId="0DB44104" w14:textId="77777777" w:rsidR="00200A70" w:rsidRPr="00AE062A" w:rsidRDefault="00200A70" w:rsidP="00991583">
            <w:pPr>
              <w:jc w:val="center"/>
              <w:rPr>
                <w:rFonts w:ascii="Arial" w:hAnsi="Arial" w:cs="Arial"/>
                <w:sz w:val="16"/>
                <w:szCs w:val="16"/>
              </w:rPr>
            </w:pPr>
            <w:r w:rsidRPr="00AE062A">
              <w:rPr>
                <w:rFonts w:ascii="Arial" w:hAnsi="Arial" w:cs="Arial"/>
                <w:color w:val="000000"/>
                <w:sz w:val="16"/>
                <w:szCs w:val="16"/>
              </w:rPr>
              <w:t>NO</w:t>
            </w:r>
          </w:p>
        </w:tc>
      </w:tr>
      <w:tr w:rsidR="00200A70" w:rsidRPr="00AE062A" w14:paraId="4821E0D4" w14:textId="77777777" w:rsidTr="00991583">
        <w:trPr>
          <w:tblCellSpacing w:w="0" w:type="dxa"/>
        </w:trPr>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3F9FEC50" w14:textId="77777777" w:rsidR="00200A70" w:rsidRPr="00AE062A" w:rsidRDefault="00200A70" w:rsidP="00991583">
            <w:pPr>
              <w:rPr>
                <w:rFonts w:ascii="Arial" w:hAnsi="Arial" w:cs="Arial"/>
                <w:sz w:val="16"/>
                <w:szCs w:val="16"/>
              </w:rPr>
            </w:pPr>
            <w:r w:rsidRPr="00AE062A">
              <w:rPr>
                <w:rFonts w:ascii="Arial" w:hAnsi="Arial" w:cs="Arial"/>
                <w:color w:val="000000"/>
                <w:sz w:val="16"/>
                <w:szCs w:val="16"/>
              </w:rPr>
              <w:t>Cash flow statement</w:t>
            </w:r>
          </w:p>
        </w:tc>
        <w:tc>
          <w:tcPr>
            <w:tcW w:w="4531" w:type="dxa"/>
            <w:tcBorders>
              <w:top w:val="outset" w:sz="6" w:space="0" w:color="D0D7E5"/>
              <w:left w:val="outset" w:sz="6" w:space="0" w:color="D0D7E5"/>
              <w:bottom w:val="outset" w:sz="6" w:space="0" w:color="D0D7E5"/>
              <w:right w:val="outset" w:sz="6" w:space="0" w:color="D0D7E5"/>
            </w:tcBorders>
            <w:shd w:val="clear" w:color="auto" w:fill="FFFFFF"/>
            <w:hideMark/>
          </w:tcPr>
          <w:p w14:paraId="75398723" w14:textId="77777777" w:rsidR="00200A70" w:rsidRPr="00AE062A" w:rsidRDefault="00200A70" w:rsidP="00991583">
            <w:pPr>
              <w:rPr>
                <w:rFonts w:ascii="Arial" w:hAnsi="Arial" w:cs="Arial"/>
                <w:sz w:val="16"/>
                <w:szCs w:val="16"/>
              </w:rPr>
            </w:pPr>
            <w:r w:rsidRPr="00AE062A">
              <w:rPr>
                <w:rFonts w:ascii="Arial" w:hAnsi="Arial" w:cs="Arial"/>
                <w:color w:val="000000"/>
                <w:sz w:val="16"/>
                <w:szCs w:val="16"/>
              </w:rPr>
              <w:t>Exchange Gains (Losses)</w:t>
            </w:r>
          </w:p>
        </w:tc>
        <w:tc>
          <w:tcPr>
            <w:tcW w:w="720" w:type="dxa"/>
            <w:tcBorders>
              <w:top w:val="outset" w:sz="6" w:space="0" w:color="D0D7E5"/>
              <w:left w:val="outset" w:sz="6" w:space="0" w:color="D0D7E5"/>
              <w:bottom w:val="outset" w:sz="6" w:space="0" w:color="D0D7E5"/>
              <w:right w:val="outset" w:sz="6" w:space="0" w:color="D0D7E5"/>
            </w:tcBorders>
            <w:shd w:val="clear" w:color="auto" w:fill="FFFFFF"/>
            <w:hideMark/>
          </w:tcPr>
          <w:p w14:paraId="3B022DE5" w14:textId="77777777" w:rsidR="00200A70" w:rsidRPr="00AE062A" w:rsidRDefault="00200A70" w:rsidP="00991583">
            <w:pPr>
              <w:jc w:val="center"/>
              <w:rPr>
                <w:rFonts w:ascii="Arial" w:hAnsi="Arial" w:cs="Arial"/>
                <w:sz w:val="16"/>
                <w:szCs w:val="16"/>
              </w:rPr>
            </w:pPr>
            <w:r w:rsidRPr="00AE062A">
              <w:rPr>
                <w:rFonts w:ascii="Arial" w:hAnsi="Arial" w:cs="Arial"/>
                <w:color w:val="000000"/>
                <w:sz w:val="16"/>
                <w:szCs w:val="16"/>
              </w:rPr>
              <w:t>NO</w:t>
            </w:r>
          </w:p>
        </w:tc>
        <w:tc>
          <w:tcPr>
            <w:tcW w:w="810" w:type="dxa"/>
            <w:tcBorders>
              <w:top w:val="outset" w:sz="6" w:space="0" w:color="D0D7E5"/>
              <w:left w:val="outset" w:sz="6" w:space="0" w:color="D0D7E5"/>
              <w:bottom w:val="outset" w:sz="6" w:space="0" w:color="D0D7E5"/>
              <w:right w:val="outset" w:sz="6" w:space="0" w:color="D0D7E5"/>
            </w:tcBorders>
            <w:shd w:val="clear" w:color="auto" w:fill="FFFFFF"/>
            <w:hideMark/>
          </w:tcPr>
          <w:p w14:paraId="5DA77E7C" w14:textId="77777777" w:rsidR="00200A70" w:rsidRPr="00AE062A" w:rsidRDefault="00200A70" w:rsidP="00991583">
            <w:pPr>
              <w:jc w:val="center"/>
              <w:rPr>
                <w:rFonts w:ascii="Arial" w:hAnsi="Arial" w:cs="Arial"/>
                <w:sz w:val="16"/>
                <w:szCs w:val="16"/>
              </w:rPr>
            </w:pPr>
            <w:r w:rsidRPr="00AE062A">
              <w:rPr>
                <w:rFonts w:ascii="Arial" w:hAnsi="Arial" w:cs="Arial"/>
                <w:color w:val="000000"/>
                <w:sz w:val="16"/>
                <w:szCs w:val="16"/>
              </w:rPr>
              <w:t>NO</w:t>
            </w:r>
          </w:p>
        </w:tc>
        <w:tc>
          <w:tcPr>
            <w:tcW w:w="630" w:type="dxa"/>
            <w:tcBorders>
              <w:top w:val="outset" w:sz="6" w:space="0" w:color="D0D7E5"/>
              <w:left w:val="outset" w:sz="6" w:space="0" w:color="D0D7E5"/>
              <w:bottom w:val="outset" w:sz="6" w:space="0" w:color="D0D7E5"/>
              <w:right w:val="outset" w:sz="6" w:space="0" w:color="D0D7E5"/>
            </w:tcBorders>
            <w:shd w:val="clear" w:color="auto" w:fill="FFFFFF"/>
            <w:hideMark/>
          </w:tcPr>
          <w:p w14:paraId="7DAC4225" w14:textId="77777777" w:rsidR="00200A70" w:rsidRPr="00AE062A" w:rsidRDefault="00200A70" w:rsidP="00991583">
            <w:pPr>
              <w:jc w:val="center"/>
              <w:rPr>
                <w:rFonts w:ascii="Arial" w:hAnsi="Arial" w:cs="Arial"/>
                <w:sz w:val="16"/>
                <w:szCs w:val="16"/>
              </w:rPr>
            </w:pPr>
            <w:r w:rsidRPr="00AE062A">
              <w:rPr>
                <w:rFonts w:ascii="Arial" w:hAnsi="Arial" w:cs="Arial"/>
                <w:color w:val="000000"/>
                <w:sz w:val="16"/>
                <w:szCs w:val="16"/>
              </w:rPr>
              <w:t>NO</w:t>
            </w:r>
          </w:p>
        </w:tc>
        <w:tc>
          <w:tcPr>
            <w:tcW w:w="810" w:type="dxa"/>
            <w:tcBorders>
              <w:top w:val="outset" w:sz="6" w:space="0" w:color="D0D7E5"/>
              <w:left w:val="outset" w:sz="6" w:space="0" w:color="D0D7E5"/>
              <w:bottom w:val="outset" w:sz="6" w:space="0" w:color="D0D7E5"/>
              <w:right w:val="outset" w:sz="6" w:space="0" w:color="D0D7E5"/>
            </w:tcBorders>
            <w:shd w:val="clear" w:color="auto" w:fill="FFFFFF"/>
            <w:hideMark/>
          </w:tcPr>
          <w:p w14:paraId="5472833F" w14:textId="77777777" w:rsidR="00200A70" w:rsidRPr="00AE062A" w:rsidRDefault="00200A70" w:rsidP="00991583">
            <w:pPr>
              <w:jc w:val="center"/>
              <w:rPr>
                <w:rFonts w:ascii="Arial" w:hAnsi="Arial" w:cs="Arial"/>
                <w:sz w:val="16"/>
                <w:szCs w:val="16"/>
              </w:rPr>
            </w:pPr>
            <w:r w:rsidRPr="00AE062A">
              <w:rPr>
                <w:rFonts w:ascii="Arial" w:hAnsi="Arial" w:cs="Arial"/>
                <w:color w:val="000000"/>
                <w:sz w:val="16"/>
                <w:szCs w:val="16"/>
              </w:rPr>
              <w:t>YES</w:t>
            </w:r>
          </w:p>
        </w:tc>
      </w:tr>
      <w:tr w:rsidR="00200A70" w:rsidRPr="00AE062A" w14:paraId="5BA3FC96" w14:textId="77777777" w:rsidTr="00991583">
        <w:trPr>
          <w:tblCellSpacing w:w="0" w:type="dxa"/>
        </w:trPr>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56BAEFCB" w14:textId="77777777" w:rsidR="00200A70" w:rsidRPr="00AE062A" w:rsidRDefault="00200A70" w:rsidP="00991583">
            <w:pPr>
              <w:rPr>
                <w:rFonts w:ascii="Arial" w:hAnsi="Arial" w:cs="Arial"/>
                <w:sz w:val="16"/>
                <w:szCs w:val="16"/>
              </w:rPr>
            </w:pPr>
            <w:r w:rsidRPr="00AE062A">
              <w:rPr>
                <w:rFonts w:ascii="Arial" w:hAnsi="Arial" w:cs="Arial"/>
                <w:color w:val="000000"/>
                <w:sz w:val="16"/>
                <w:szCs w:val="16"/>
              </w:rPr>
              <w:t>Cash flow statement</w:t>
            </w:r>
          </w:p>
        </w:tc>
        <w:tc>
          <w:tcPr>
            <w:tcW w:w="4531" w:type="dxa"/>
            <w:tcBorders>
              <w:top w:val="outset" w:sz="6" w:space="0" w:color="D0D7E5"/>
              <w:left w:val="outset" w:sz="6" w:space="0" w:color="D0D7E5"/>
              <w:bottom w:val="outset" w:sz="6" w:space="0" w:color="D0D7E5"/>
              <w:right w:val="outset" w:sz="6" w:space="0" w:color="D0D7E5"/>
            </w:tcBorders>
            <w:shd w:val="clear" w:color="auto" w:fill="FFFFFF"/>
            <w:hideMark/>
          </w:tcPr>
          <w:p w14:paraId="5C8E2339" w14:textId="77777777" w:rsidR="00200A70" w:rsidRPr="00AE062A" w:rsidRDefault="00200A70" w:rsidP="00991583">
            <w:pPr>
              <w:rPr>
                <w:rFonts w:ascii="Arial" w:hAnsi="Arial" w:cs="Arial"/>
                <w:sz w:val="16"/>
                <w:szCs w:val="16"/>
              </w:rPr>
            </w:pPr>
            <w:r w:rsidRPr="00AE062A">
              <w:rPr>
                <w:rFonts w:ascii="Arial" w:hAnsi="Arial" w:cs="Arial"/>
                <w:color w:val="000000"/>
                <w:sz w:val="16"/>
                <w:szCs w:val="16"/>
              </w:rPr>
              <w:t>Net Cash Flow</w:t>
            </w:r>
          </w:p>
        </w:tc>
        <w:tc>
          <w:tcPr>
            <w:tcW w:w="720" w:type="dxa"/>
            <w:tcBorders>
              <w:top w:val="outset" w:sz="6" w:space="0" w:color="D0D7E5"/>
              <w:left w:val="outset" w:sz="6" w:space="0" w:color="D0D7E5"/>
              <w:bottom w:val="outset" w:sz="6" w:space="0" w:color="D0D7E5"/>
              <w:right w:val="outset" w:sz="6" w:space="0" w:color="D0D7E5"/>
            </w:tcBorders>
            <w:shd w:val="clear" w:color="auto" w:fill="FFFFFF"/>
            <w:hideMark/>
          </w:tcPr>
          <w:p w14:paraId="53EA31CD" w14:textId="77777777" w:rsidR="00200A70" w:rsidRPr="00AE062A" w:rsidRDefault="00200A70" w:rsidP="00991583">
            <w:pPr>
              <w:jc w:val="center"/>
              <w:rPr>
                <w:rFonts w:ascii="Arial" w:hAnsi="Arial" w:cs="Arial"/>
                <w:sz w:val="16"/>
                <w:szCs w:val="16"/>
              </w:rPr>
            </w:pPr>
            <w:r w:rsidRPr="00AE062A">
              <w:rPr>
                <w:rFonts w:ascii="Arial" w:hAnsi="Arial" w:cs="Arial"/>
                <w:color w:val="000000"/>
                <w:sz w:val="16"/>
                <w:szCs w:val="16"/>
              </w:rPr>
              <w:t>YES</w:t>
            </w:r>
          </w:p>
        </w:tc>
        <w:tc>
          <w:tcPr>
            <w:tcW w:w="810" w:type="dxa"/>
            <w:tcBorders>
              <w:top w:val="outset" w:sz="6" w:space="0" w:color="D0D7E5"/>
              <w:left w:val="outset" w:sz="6" w:space="0" w:color="D0D7E5"/>
              <w:bottom w:val="outset" w:sz="6" w:space="0" w:color="D0D7E5"/>
              <w:right w:val="outset" w:sz="6" w:space="0" w:color="D0D7E5"/>
            </w:tcBorders>
            <w:shd w:val="clear" w:color="auto" w:fill="FFFFFF"/>
            <w:hideMark/>
          </w:tcPr>
          <w:p w14:paraId="5A85551F" w14:textId="77777777" w:rsidR="00200A70" w:rsidRPr="00AE062A" w:rsidRDefault="00200A70" w:rsidP="00991583">
            <w:pPr>
              <w:jc w:val="center"/>
              <w:rPr>
                <w:rFonts w:ascii="Arial" w:hAnsi="Arial" w:cs="Arial"/>
                <w:sz w:val="16"/>
                <w:szCs w:val="16"/>
              </w:rPr>
            </w:pPr>
            <w:r w:rsidRPr="00AE062A">
              <w:rPr>
                <w:rFonts w:ascii="Arial" w:hAnsi="Arial" w:cs="Arial"/>
                <w:color w:val="000000"/>
                <w:sz w:val="16"/>
                <w:szCs w:val="16"/>
              </w:rPr>
              <w:t>NO</w:t>
            </w:r>
          </w:p>
        </w:tc>
        <w:tc>
          <w:tcPr>
            <w:tcW w:w="630" w:type="dxa"/>
            <w:tcBorders>
              <w:top w:val="outset" w:sz="6" w:space="0" w:color="D0D7E5"/>
              <w:left w:val="outset" w:sz="6" w:space="0" w:color="D0D7E5"/>
              <w:bottom w:val="outset" w:sz="6" w:space="0" w:color="D0D7E5"/>
              <w:right w:val="outset" w:sz="6" w:space="0" w:color="D0D7E5"/>
            </w:tcBorders>
            <w:shd w:val="clear" w:color="auto" w:fill="FFFFFF"/>
            <w:hideMark/>
          </w:tcPr>
          <w:p w14:paraId="481F6353" w14:textId="77777777" w:rsidR="00200A70" w:rsidRPr="00AE062A" w:rsidRDefault="00200A70" w:rsidP="00991583">
            <w:pPr>
              <w:jc w:val="center"/>
              <w:rPr>
                <w:rFonts w:ascii="Arial" w:hAnsi="Arial" w:cs="Arial"/>
                <w:sz w:val="16"/>
                <w:szCs w:val="16"/>
              </w:rPr>
            </w:pPr>
            <w:r w:rsidRPr="00AE062A">
              <w:rPr>
                <w:rFonts w:ascii="Arial" w:hAnsi="Arial" w:cs="Arial"/>
                <w:color w:val="000000"/>
                <w:sz w:val="16"/>
                <w:szCs w:val="16"/>
              </w:rPr>
              <w:t>NO</w:t>
            </w:r>
          </w:p>
        </w:tc>
        <w:tc>
          <w:tcPr>
            <w:tcW w:w="810" w:type="dxa"/>
            <w:tcBorders>
              <w:top w:val="outset" w:sz="6" w:space="0" w:color="D0D7E5"/>
              <w:left w:val="outset" w:sz="6" w:space="0" w:color="D0D7E5"/>
              <w:bottom w:val="outset" w:sz="6" w:space="0" w:color="D0D7E5"/>
              <w:right w:val="outset" w:sz="6" w:space="0" w:color="D0D7E5"/>
            </w:tcBorders>
            <w:shd w:val="clear" w:color="auto" w:fill="FFFFFF"/>
            <w:hideMark/>
          </w:tcPr>
          <w:p w14:paraId="7732318E" w14:textId="77777777" w:rsidR="00200A70" w:rsidRPr="00AE062A" w:rsidRDefault="00200A70" w:rsidP="00991583">
            <w:pPr>
              <w:jc w:val="center"/>
              <w:rPr>
                <w:rFonts w:ascii="Arial" w:hAnsi="Arial" w:cs="Arial"/>
                <w:sz w:val="16"/>
                <w:szCs w:val="16"/>
              </w:rPr>
            </w:pPr>
            <w:r w:rsidRPr="00AE062A">
              <w:rPr>
                <w:rFonts w:ascii="Arial" w:hAnsi="Arial" w:cs="Arial"/>
                <w:color w:val="000000"/>
                <w:sz w:val="16"/>
                <w:szCs w:val="16"/>
              </w:rPr>
              <w:t>NO</w:t>
            </w:r>
          </w:p>
        </w:tc>
      </w:tr>
      <w:tr w:rsidR="00200A70" w:rsidRPr="00AE062A" w14:paraId="0B0909D1" w14:textId="77777777" w:rsidTr="00991583">
        <w:trPr>
          <w:tblCellSpacing w:w="0" w:type="dxa"/>
        </w:trPr>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3D1DE4D4" w14:textId="77777777" w:rsidR="00200A70" w:rsidRPr="00AE062A" w:rsidRDefault="00200A70" w:rsidP="00991583">
            <w:pPr>
              <w:rPr>
                <w:rFonts w:ascii="Arial" w:hAnsi="Arial" w:cs="Arial"/>
                <w:sz w:val="16"/>
                <w:szCs w:val="16"/>
              </w:rPr>
            </w:pPr>
            <w:r w:rsidRPr="00AE062A">
              <w:rPr>
                <w:rFonts w:ascii="Arial" w:hAnsi="Arial" w:cs="Arial"/>
                <w:color w:val="000000"/>
                <w:sz w:val="16"/>
                <w:szCs w:val="16"/>
              </w:rPr>
              <w:t>Comprehensive income</w:t>
            </w:r>
          </w:p>
        </w:tc>
        <w:tc>
          <w:tcPr>
            <w:tcW w:w="4531" w:type="dxa"/>
            <w:tcBorders>
              <w:top w:val="outset" w:sz="6" w:space="0" w:color="D0D7E5"/>
              <w:left w:val="outset" w:sz="6" w:space="0" w:color="D0D7E5"/>
              <w:bottom w:val="outset" w:sz="6" w:space="0" w:color="D0D7E5"/>
              <w:right w:val="outset" w:sz="6" w:space="0" w:color="D0D7E5"/>
            </w:tcBorders>
            <w:shd w:val="clear" w:color="auto" w:fill="FFFFFF"/>
            <w:hideMark/>
          </w:tcPr>
          <w:p w14:paraId="3EE066CB" w14:textId="77777777" w:rsidR="00200A70" w:rsidRPr="00AE062A" w:rsidRDefault="00200A70" w:rsidP="00991583">
            <w:pPr>
              <w:rPr>
                <w:rFonts w:ascii="Arial" w:hAnsi="Arial" w:cs="Arial"/>
                <w:sz w:val="16"/>
                <w:szCs w:val="16"/>
              </w:rPr>
            </w:pPr>
            <w:r w:rsidRPr="00AE062A">
              <w:rPr>
                <w:rFonts w:ascii="Arial" w:hAnsi="Arial" w:cs="Arial"/>
                <w:color w:val="000000"/>
                <w:sz w:val="16"/>
                <w:szCs w:val="16"/>
              </w:rPr>
              <w:t>Comprehensive Income (Loss)</w:t>
            </w:r>
          </w:p>
        </w:tc>
        <w:tc>
          <w:tcPr>
            <w:tcW w:w="720" w:type="dxa"/>
            <w:tcBorders>
              <w:top w:val="outset" w:sz="6" w:space="0" w:color="D0D7E5"/>
              <w:left w:val="outset" w:sz="6" w:space="0" w:color="D0D7E5"/>
              <w:bottom w:val="outset" w:sz="6" w:space="0" w:color="D0D7E5"/>
              <w:right w:val="outset" w:sz="6" w:space="0" w:color="D0D7E5"/>
            </w:tcBorders>
            <w:shd w:val="clear" w:color="auto" w:fill="FFFFFF"/>
            <w:hideMark/>
          </w:tcPr>
          <w:p w14:paraId="41D4420D" w14:textId="77777777" w:rsidR="00200A70" w:rsidRPr="00AE062A" w:rsidRDefault="00200A70" w:rsidP="00991583">
            <w:pPr>
              <w:jc w:val="center"/>
              <w:rPr>
                <w:rFonts w:ascii="Arial" w:hAnsi="Arial" w:cs="Arial"/>
                <w:sz w:val="16"/>
                <w:szCs w:val="16"/>
              </w:rPr>
            </w:pPr>
            <w:r w:rsidRPr="00AE062A">
              <w:rPr>
                <w:rFonts w:ascii="Arial" w:hAnsi="Arial" w:cs="Arial"/>
                <w:color w:val="000000"/>
                <w:sz w:val="16"/>
                <w:szCs w:val="16"/>
              </w:rPr>
              <w:t>NO</w:t>
            </w:r>
          </w:p>
        </w:tc>
        <w:tc>
          <w:tcPr>
            <w:tcW w:w="810" w:type="dxa"/>
            <w:tcBorders>
              <w:top w:val="outset" w:sz="6" w:space="0" w:color="D0D7E5"/>
              <w:left w:val="outset" w:sz="6" w:space="0" w:color="D0D7E5"/>
              <w:bottom w:val="outset" w:sz="6" w:space="0" w:color="D0D7E5"/>
              <w:right w:val="outset" w:sz="6" w:space="0" w:color="D0D7E5"/>
            </w:tcBorders>
            <w:shd w:val="clear" w:color="auto" w:fill="FFFFFF"/>
            <w:hideMark/>
          </w:tcPr>
          <w:p w14:paraId="06F6D16E" w14:textId="77777777" w:rsidR="00200A70" w:rsidRPr="00AE062A" w:rsidRDefault="00200A70" w:rsidP="00991583">
            <w:pPr>
              <w:jc w:val="center"/>
              <w:rPr>
                <w:rFonts w:ascii="Arial" w:hAnsi="Arial" w:cs="Arial"/>
                <w:sz w:val="16"/>
                <w:szCs w:val="16"/>
              </w:rPr>
            </w:pPr>
            <w:r w:rsidRPr="00AE062A">
              <w:rPr>
                <w:rFonts w:ascii="Arial" w:hAnsi="Arial" w:cs="Arial"/>
                <w:color w:val="000000"/>
                <w:sz w:val="16"/>
                <w:szCs w:val="16"/>
              </w:rPr>
              <w:t>NO</w:t>
            </w:r>
          </w:p>
        </w:tc>
        <w:tc>
          <w:tcPr>
            <w:tcW w:w="630" w:type="dxa"/>
            <w:tcBorders>
              <w:top w:val="outset" w:sz="6" w:space="0" w:color="D0D7E5"/>
              <w:left w:val="outset" w:sz="6" w:space="0" w:color="D0D7E5"/>
              <w:bottom w:val="outset" w:sz="6" w:space="0" w:color="D0D7E5"/>
              <w:right w:val="outset" w:sz="6" w:space="0" w:color="D0D7E5"/>
            </w:tcBorders>
            <w:shd w:val="clear" w:color="auto" w:fill="FFFFFF"/>
            <w:hideMark/>
          </w:tcPr>
          <w:p w14:paraId="45CD213B" w14:textId="77777777" w:rsidR="00200A70" w:rsidRPr="00AE062A" w:rsidRDefault="00200A70" w:rsidP="00991583">
            <w:pPr>
              <w:jc w:val="center"/>
              <w:rPr>
                <w:rFonts w:ascii="Arial" w:hAnsi="Arial" w:cs="Arial"/>
                <w:sz w:val="16"/>
                <w:szCs w:val="16"/>
              </w:rPr>
            </w:pPr>
            <w:r w:rsidRPr="00AE062A">
              <w:rPr>
                <w:rFonts w:ascii="Arial" w:hAnsi="Arial" w:cs="Arial"/>
                <w:color w:val="000000"/>
                <w:sz w:val="16"/>
                <w:szCs w:val="16"/>
              </w:rPr>
              <w:t>NO</w:t>
            </w:r>
          </w:p>
        </w:tc>
        <w:tc>
          <w:tcPr>
            <w:tcW w:w="810" w:type="dxa"/>
            <w:tcBorders>
              <w:top w:val="outset" w:sz="6" w:space="0" w:color="D0D7E5"/>
              <w:left w:val="outset" w:sz="6" w:space="0" w:color="D0D7E5"/>
              <w:bottom w:val="outset" w:sz="6" w:space="0" w:color="D0D7E5"/>
              <w:right w:val="outset" w:sz="6" w:space="0" w:color="D0D7E5"/>
            </w:tcBorders>
            <w:shd w:val="clear" w:color="auto" w:fill="FFFFFF"/>
            <w:hideMark/>
          </w:tcPr>
          <w:p w14:paraId="6980BE15" w14:textId="77777777" w:rsidR="00200A70" w:rsidRPr="00AE062A" w:rsidRDefault="00200A70" w:rsidP="00991583">
            <w:pPr>
              <w:jc w:val="center"/>
              <w:rPr>
                <w:rFonts w:ascii="Arial" w:hAnsi="Arial" w:cs="Arial"/>
                <w:sz w:val="16"/>
                <w:szCs w:val="16"/>
              </w:rPr>
            </w:pPr>
            <w:r w:rsidRPr="00AE062A">
              <w:rPr>
                <w:rFonts w:ascii="Arial" w:hAnsi="Arial" w:cs="Arial"/>
                <w:color w:val="000000"/>
                <w:sz w:val="16"/>
                <w:szCs w:val="16"/>
              </w:rPr>
              <w:t>NO</w:t>
            </w:r>
          </w:p>
        </w:tc>
      </w:tr>
      <w:tr w:rsidR="00200A70" w:rsidRPr="00AE062A" w14:paraId="631B60CF" w14:textId="77777777" w:rsidTr="00991583">
        <w:trPr>
          <w:tblCellSpacing w:w="0" w:type="dxa"/>
        </w:trPr>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74CA56C3" w14:textId="77777777" w:rsidR="00200A70" w:rsidRPr="00AE062A" w:rsidRDefault="00200A70" w:rsidP="00991583">
            <w:pPr>
              <w:rPr>
                <w:rFonts w:ascii="Arial" w:hAnsi="Arial" w:cs="Arial"/>
                <w:sz w:val="16"/>
                <w:szCs w:val="16"/>
              </w:rPr>
            </w:pPr>
            <w:r w:rsidRPr="00AE062A">
              <w:rPr>
                <w:rFonts w:ascii="Arial" w:hAnsi="Arial" w:cs="Arial"/>
                <w:color w:val="000000"/>
                <w:sz w:val="16"/>
                <w:szCs w:val="16"/>
              </w:rPr>
              <w:t>Comprehensive income</w:t>
            </w:r>
          </w:p>
        </w:tc>
        <w:tc>
          <w:tcPr>
            <w:tcW w:w="4531" w:type="dxa"/>
            <w:tcBorders>
              <w:top w:val="outset" w:sz="6" w:space="0" w:color="D0D7E5"/>
              <w:left w:val="outset" w:sz="6" w:space="0" w:color="D0D7E5"/>
              <w:bottom w:val="outset" w:sz="6" w:space="0" w:color="D0D7E5"/>
              <w:right w:val="outset" w:sz="6" w:space="0" w:color="D0D7E5"/>
            </w:tcBorders>
            <w:shd w:val="clear" w:color="auto" w:fill="FFFFFF"/>
            <w:hideMark/>
          </w:tcPr>
          <w:p w14:paraId="116F6DC1" w14:textId="77777777" w:rsidR="00200A70" w:rsidRPr="00AE062A" w:rsidRDefault="00200A70" w:rsidP="00991583">
            <w:pPr>
              <w:rPr>
                <w:rFonts w:ascii="Arial" w:hAnsi="Arial" w:cs="Arial"/>
                <w:sz w:val="16"/>
                <w:szCs w:val="16"/>
              </w:rPr>
            </w:pPr>
            <w:r w:rsidRPr="00AE062A">
              <w:rPr>
                <w:rFonts w:ascii="Arial" w:hAnsi="Arial" w:cs="Arial"/>
                <w:color w:val="000000"/>
                <w:sz w:val="16"/>
                <w:szCs w:val="16"/>
              </w:rPr>
              <w:t xml:space="preserve">Comprehensive Income (Loss) Attributable </w:t>
            </w:r>
            <w:proofErr w:type="gramStart"/>
            <w:r w:rsidRPr="00AE062A">
              <w:rPr>
                <w:rFonts w:ascii="Arial" w:hAnsi="Arial" w:cs="Arial"/>
                <w:color w:val="000000"/>
                <w:sz w:val="16"/>
                <w:szCs w:val="16"/>
              </w:rPr>
              <w:t>To</w:t>
            </w:r>
            <w:proofErr w:type="gramEnd"/>
            <w:r w:rsidRPr="00AE062A">
              <w:rPr>
                <w:rFonts w:ascii="Arial" w:hAnsi="Arial" w:cs="Arial"/>
                <w:color w:val="000000"/>
                <w:sz w:val="16"/>
                <w:szCs w:val="16"/>
              </w:rPr>
              <w:t xml:space="preserve"> Noncontrolling Interest</w:t>
            </w:r>
          </w:p>
        </w:tc>
        <w:tc>
          <w:tcPr>
            <w:tcW w:w="720" w:type="dxa"/>
            <w:tcBorders>
              <w:top w:val="outset" w:sz="6" w:space="0" w:color="D0D7E5"/>
              <w:left w:val="outset" w:sz="6" w:space="0" w:color="D0D7E5"/>
              <w:bottom w:val="outset" w:sz="6" w:space="0" w:color="D0D7E5"/>
              <w:right w:val="outset" w:sz="6" w:space="0" w:color="D0D7E5"/>
            </w:tcBorders>
            <w:shd w:val="clear" w:color="auto" w:fill="FFFFFF"/>
            <w:hideMark/>
          </w:tcPr>
          <w:p w14:paraId="7AD242C7" w14:textId="77777777" w:rsidR="00200A70" w:rsidRPr="00AE062A" w:rsidRDefault="00200A70" w:rsidP="00991583">
            <w:pPr>
              <w:jc w:val="center"/>
              <w:rPr>
                <w:rFonts w:ascii="Arial" w:hAnsi="Arial" w:cs="Arial"/>
                <w:sz w:val="16"/>
                <w:szCs w:val="16"/>
              </w:rPr>
            </w:pPr>
            <w:r w:rsidRPr="00AE062A">
              <w:rPr>
                <w:rFonts w:ascii="Arial" w:hAnsi="Arial" w:cs="Arial"/>
                <w:color w:val="000000"/>
                <w:sz w:val="16"/>
                <w:szCs w:val="16"/>
              </w:rPr>
              <w:t>NO</w:t>
            </w:r>
          </w:p>
        </w:tc>
        <w:tc>
          <w:tcPr>
            <w:tcW w:w="810" w:type="dxa"/>
            <w:tcBorders>
              <w:top w:val="outset" w:sz="6" w:space="0" w:color="D0D7E5"/>
              <w:left w:val="outset" w:sz="6" w:space="0" w:color="D0D7E5"/>
              <w:bottom w:val="outset" w:sz="6" w:space="0" w:color="D0D7E5"/>
              <w:right w:val="outset" w:sz="6" w:space="0" w:color="D0D7E5"/>
            </w:tcBorders>
            <w:shd w:val="clear" w:color="auto" w:fill="FFFFFF"/>
            <w:hideMark/>
          </w:tcPr>
          <w:p w14:paraId="6F58B8F0" w14:textId="77777777" w:rsidR="00200A70" w:rsidRPr="00AE062A" w:rsidRDefault="00200A70" w:rsidP="00991583">
            <w:pPr>
              <w:jc w:val="center"/>
              <w:rPr>
                <w:rFonts w:ascii="Arial" w:hAnsi="Arial" w:cs="Arial"/>
                <w:sz w:val="16"/>
                <w:szCs w:val="16"/>
              </w:rPr>
            </w:pPr>
            <w:r w:rsidRPr="00AE062A">
              <w:rPr>
                <w:rFonts w:ascii="Arial" w:hAnsi="Arial" w:cs="Arial"/>
                <w:color w:val="000000"/>
                <w:sz w:val="16"/>
                <w:szCs w:val="16"/>
              </w:rPr>
              <w:t>NO</w:t>
            </w:r>
          </w:p>
        </w:tc>
        <w:tc>
          <w:tcPr>
            <w:tcW w:w="630" w:type="dxa"/>
            <w:tcBorders>
              <w:top w:val="outset" w:sz="6" w:space="0" w:color="D0D7E5"/>
              <w:left w:val="outset" w:sz="6" w:space="0" w:color="D0D7E5"/>
              <w:bottom w:val="outset" w:sz="6" w:space="0" w:color="D0D7E5"/>
              <w:right w:val="outset" w:sz="6" w:space="0" w:color="D0D7E5"/>
            </w:tcBorders>
            <w:shd w:val="clear" w:color="auto" w:fill="FFFFFF"/>
            <w:hideMark/>
          </w:tcPr>
          <w:p w14:paraId="39BBB7B7" w14:textId="77777777" w:rsidR="00200A70" w:rsidRPr="00AE062A" w:rsidRDefault="00200A70" w:rsidP="00991583">
            <w:pPr>
              <w:jc w:val="center"/>
              <w:rPr>
                <w:rFonts w:ascii="Arial" w:hAnsi="Arial" w:cs="Arial"/>
                <w:sz w:val="16"/>
                <w:szCs w:val="16"/>
              </w:rPr>
            </w:pPr>
            <w:r w:rsidRPr="00AE062A">
              <w:rPr>
                <w:rFonts w:ascii="Arial" w:hAnsi="Arial" w:cs="Arial"/>
                <w:color w:val="000000"/>
                <w:sz w:val="16"/>
                <w:szCs w:val="16"/>
              </w:rPr>
              <w:t>NO</w:t>
            </w:r>
          </w:p>
        </w:tc>
        <w:tc>
          <w:tcPr>
            <w:tcW w:w="810" w:type="dxa"/>
            <w:tcBorders>
              <w:top w:val="outset" w:sz="6" w:space="0" w:color="D0D7E5"/>
              <w:left w:val="outset" w:sz="6" w:space="0" w:color="D0D7E5"/>
              <w:bottom w:val="outset" w:sz="6" w:space="0" w:color="D0D7E5"/>
              <w:right w:val="outset" w:sz="6" w:space="0" w:color="D0D7E5"/>
            </w:tcBorders>
            <w:shd w:val="clear" w:color="auto" w:fill="FFFFFF"/>
            <w:hideMark/>
          </w:tcPr>
          <w:p w14:paraId="7183A9F0" w14:textId="77777777" w:rsidR="00200A70" w:rsidRPr="00AE062A" w:rsidRDefault="00200A70" w:rsidP="00991583">
            <w:pPr>
              <w:jc w:val="center"/>
              <w:rPr>
                <w:rFonts w:ascii="Arial" w:hAnsi="Arial" w:cs="Arial"/>
                <w:sz w:val="16"/>
                <w:szCs w:val="16"/>
              </w:rPr>
            </w:pPr>
            <w:r w:rsidRPr="00AE062A">
              <w:rPr>
                <w:rFonts w:ascii="Arial" w:hAnsi="Arial" w:cs="Arial"/>
                <w:color w:val="000000"/>
                <w:sz w:val="16"/>
                <w:szCs w:val="16"/>
              </w:rPr>
              <w:t>NO</w:t>
            </w:r>
          </w:p>
        </w:tc>
      </w:tr>
      <w:tr w:rsidR="00200A70" w:rsidRPr="00AE062A" w14:paraId="6577F861" w14:textId="77777777" w:rsidTr="00991583">
        <w:trPr>
          <w:tblCellSpacing w:w="0" w:type="dxa"/>
        </w:trPr>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2C5DD285" w14:textId="77777777" w:rsidR="00200A70" w:rsidRPr="00AE062A" w:rsidRDefault="00200A70" w:rsidP="00991583">
            <w:pPr>
              <w:rPr>
                <w:rFonts w:ascii="Arial" w:hAnsi="Arial" w:cs="Arial"/>
                <w:sz w:val="16"/>
                <w:szCs w:val="16"/>
              </w:rPr>
            </w:pPr>
            <w:r w:rsidRPr="00AE062A">
              <w:rPr>
                <w:rFonts w:ascii="Arial" w:hAnsi="Arial" w:cs="Arial"/>
                <w:color w:val="000000"/>
                <w:sz w:val="16"/>
                <w:szCs w:val="16"/>
              </w:rPr>
              <w:t>Comprehensive income</w:t>
            </w:r>
          </w:p>
        </w:tc>
        <w:tc>
          <w:tcPr>
            <w:tcW w:w="4531" w:type="dxa"/>
            <w:tcBorders>
              <w:top w:val="outset" w:sz="6" w:space="0" w:color="D0D7E5"/>
              <w:left w:val="outset" w:sz="6" w:space="0" w:color="D0D7E5"/>
              <w:bottom w:val="outset" w:sz="6" w:space="0" w:color="D0D7E5"/>
              <w:right w:val="outset" w:sz="6" w:space="0" w:color="D0D7E5"/>
            </w:tcBorders>
            <w:shd w:val="clear" w:color="auto" w:fill="FFFFFF"/>
            <w:hideMark/>
          </w:tcPr>
          <w:p w14:paraId="266212AF" w14:textId="77777777" w:rsidR="00200A70" w:rsidRPr="00AE062A" w:rsidRDefault="00200A70" w:rsidP="00991583">
            <w:pPr>
              <w:rPr>
                <w:rFonts w:ascii="Arial" w:hAnsi="Arial" w:cs="Arial"/>
                <w:sz w:val="16"/>
                <w:szCs w:val="16"/>
              </w:rPr>
            </w:pPr>
            <w:r w:rsidRPr="00AE062A">
              <w:rPr>
                <w:rFonts w:ascii="Arial" w:hAnsi="Arial" w:cs="Arial"/>
                <w:color w:val="000000"/>
                <w:sz w:val="16"/>
                <w:szCs w:val="16"/>
              </w:rPr>
              <w:t>Comprehensive Income (Loss) Attributable to Parent</w:t>
            </w:r>
          </w:p>
        </w:tc>
        <w:tc>
          <w:tcPr>
            <w:tcW w:w="720" w:type="dxa"/>
            <w:tcBorders>
              <w:top w:val="outset" w:sz="6" w:space="0" w:color="D0D7E5"/>
              <w:left w:val="outset" w:sz="6" w:space="0" w:color="D0D7E5"/>
              <w:bottom w:val="outset" w:sz="6" w:space="0" w:color="D0D7E5"/>
              <w:right w:val="outset" w:sz="6" w:space="0" w:color="D0D7E5"/>
            </w:tcBorders>
            <w:shd w:val="clear" w:color="auto" w:fill="FFFFFF"/>
            <w:hideMark/>
          </w:tcPr>
          <w:p w14:paraId="1B73794D" w14:textId="77777777" w:rsidR="00200A70" w:rsidRPr="00AE062A" w:rsidRDefault="00200A70" w:rsidP="00991583">
            <w:pPr>
              <w:jc w:val="center"/>
              <w:rPr>
                <w:rFonts w:ascii="Arial" w:hAnsi="Arial" w:cs="Arial"/>
                <w:sz w:val="16"/>
                <w:szCs w:val="16"/>
              </w:rPr>
            </w:pPr>
            <w:r w:rsidRPr="00AE062A">
              <w:rPr>
                <w:rFonts w:ascii="Arial" w:hAnsi="Arial" w:cs="Arial"/>
                <w:color w:val="000000"/>
                <w:sz w:val="16"/>
                <w:szCs w:val="16"/>
              </w:rPr>
              <w:t>NO</w:t>
            </w:r>
          </w:p>
        </w:tc>
        <w:tc>
          <w:tcPr>
            <w:tcW w:w="810" w:type="dxa"/>
            <w:tcBorders>
              <w:top w:val="outset" w:sz="6" w:space="0" w:color="D0D7E5"/>
              <w:left w:val="outset" w:sz="6" w:space="0" w:color="D0D7E5"/>
              <w:bottom w:val="outset" w:sz="6" w:space="0" w:color="D0D7E5"/>
              <w:right w:val="outset" w:sz="6" w:space="0" w:color="D0D7E5"/>
            </w:tcBorders>
            <w:shd w:val="clear" w:color="auto" w:fill="FFFFFF"/>
            <w:hideMark/>
          </w:tcPr>
          <w:p w14:paraId="38013B84" w14:textId="77777777" w:rsidR="00200A70" w:rsidRPr="00AE062A" w:rsidRDefault="00200A70" w:rsidP="00991583">
            <w:pPr>
              <w:jc w:val="center"/>
              <w:rPr>
                <w:rFonts w:ascii="Arial" w:hAnsi="Arial" w:cs="Arial"/>
                <w:sz w:val="16"/>
                <w:szCs w:val="16"/>
              </w:rPr>
            </w:pPr>
            <w:r w:rsidRPr="00AE062A">
              <w:rPr>
                <w:rFonts w:ascii="Arial" w:hAnsi="Arial" w:cs="Arial"/>
                <w:color w:val="000000"/>
                <w:sz w:val="16"/>
                <w:szCs w:val="16"/>
              </w:rPr>
              <w:t>NO</w:t>
            </w:r>
          </w:p>
        </w:tc>
        <w:tc>
          <w:tcPr>
            <w:tcW w:w="630" w:type="dxa"/>
            <w:tcBorders>
              <w:top w:val="outset" w:sz="6" w:space="0" w:color="D0D7E5"/>
              <w:left w:val="outset" w:sz="6" w:space="0" w:color="D0D7E5"/>
              <w:bottom w:val="outset" w:sz="6" w:space="0" w:color="D0D7E5"/>
              <w:right w:val="outset" w:sz="6" w:space="0" w:color="D0D7E5"/>
            </w:tcBorders>
            <w:shd w:val="clear" w:color="auto" w:fill="FFFFFF"/>
            <w:hideMark/>
          </w:tcPr>
          <w:p w14:paraId="225507CE" w14:textId="77777777" w:rsidR="00200A70" w:rsidRPr="00AE062A" w:rsidRDefault="00200A70" w:rsidP="00991583">
            <w:pPr>
              <w:jc w:val="center"/>
              <w:rPr>
                <w:rFonts w:ascii="Arial" w:hAnsi="Arial" w:cs="Arial"/>
                <w:sz w:val="16"/>
                <w:szCs w:val="16"/>
              </w:rPr>
            </w:pPr>
            <w:r w:rsidRPr="00AE062A">
              <w:rPr>
                <w:rFonts w:ascii="Arial" w:hAnsi="Arial" w:cs="Arial"/>
                <w:color w:val="000000"/>
                <w:sz w:val="16"/>
                <w:szCs w:val="16"/>
              </w:rPr>
              <w:t>NO</w:t>
            </w:r>
          </w:p>
        </w:tc>
        <w:tc>
          <w:tcPr>
            <w:tcW w:w="810" w:type="dxa"/>
            <w:tcBorders>
              <w:top w:val="outset" w:sz="6" w:space="0" w:color="D0D7E5"/>
              <w:left w:val="outset" w:sz="6" w:space="0" w:color="D0D7E5"/>
              <w:bottom w:val="outset" w:sz="6" w:space="0" w:color="D0D7E5"/>
              <w:right w:val="outset" w:sz="6" w:space="0" w:color="D0D7E5"/>
            </w:tcBorders>
            <w:shd w:val="clear" w:color="auto" w:fill="FFFFFF"/>
            <w:hideMark/>
          </w:tcPr>
          <w:p w14:paraId="33191CF0" w14:textId="77777777" w:rsidR="00200A70" w:rsidRPr="00AE062A" w:rsidRDefault="00200A70" w:rsidP="00991583">
            <w:pPr>
              <w:jc w:val="center"/>
              <w:rPr>
                <w:rFonts w:ascii="Arial" w:hAnsi="Arial" w:cs="Arial"/>
                <w:sz w:val="16"/>
                <w:szCs w:val="16"/>
              </w:rPr>
            </w:pPr>
            <w:r w:rsidRPr="00AE062A">
              <w:rPr>
                <w:rFonts w:ascii="Arial" w:hAnsi="Arial" w:cs="Arial"/>
                <w:color w:val="000000"/>
                <w:sz w:val="16"/>
                <w:szCs w:val="16"/>
              </w:rPr>
              <w:t>NO</w:t>
            </w:r>
          </w:p>
        </w:tc>
      </w:tr>
      <w:tr w:rsidR="00200A70" w:rsidRPr="00AE062A" w14:paraId="289136C0" w14:textId="77777777" w:rsidTr="00991583">
        <w:trPr>
          <w:tblCellSpacing w:w="0" w:type="dxa"/>
        </w:trPr>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46808F3C" w14:textId="77777777" w:rsidR="00200A70" w:rsidRPr="00AE062A" w:rsidRDefault="00200A70" w:rsidP="00991583">
            <w:pPr>
              <w:rPr>
                <w:rFonts w:ascii="Arial" w:hAnsi="Arial" w:cs="Arial"/>
                <w:sz w:val="16"/>
                <w:szCs w:val="16"/>
              </w:rPr>
            </w:pPr>
            <w:r w:rsidRPr="00AE062A">
              <w:rPr>
                <w:rFonts w:ascii="Arial" w:hAnsi="Arial" w:cs="Arial"/>
                <w:color w:val="000000"/>
                <w:sz w:val="16"/>
                <w:szCs w:val="16"/>
              </w:rPr>
              <w:t>Comprehensive income</w:t>
            </w:r>
          </w:p>
        </w:tc>
        <w:tc>
          <w:tcPr>
            <w:tcW w:w="4531" w:type="dxa"/>
            <w:tcBorders>
              <w:top w:val="outset" w:sz="6" w:space="0" w:color="D0D7E5"/>
              <w:left w:val="outset" w:sz="6" w:space="0" w:color="D0D7E5"/>
              <w:bottom w:val="outset" w:sz="6" w:space="0" w:color="D0D7E5"/>
              <w:right w:val="outset" w:sz="6" w:space="0" w:color="D0D7E5"/>
            </w:tcBorders>
            <w:shd w:val="clear" w:color="auto" w:fill="FFFFFF"/>
            <w:hideMark/>
          </w:tcPr>
          <w:p w14:paraId="4D03BD26" w14:textId="77777777" w:rsidR="00200A70" w:rsidRPr="00AE062A" w:rsidRDefault="00200A70" w:rsidP="00991583">
            <w:pPr>
              <w:rPr>
                <w:rFonts w:ascii="Arial" w:hAnsi="Arial" w:cs="Arial"/>
                <w:sz w:val="16"/>
                <w:szCs w:val="16"/>
              </w:rPr>
            </w:pPr>
            <w:r w:rsidRPr="00AE062A">
              <w:rPr>
                <w:rFonts w:ascii="Arial" w:hAnsi="Arial" w:cs="Arial"/>
                <w:color w:val="000000"/>
                <w:sz w:val="16"/>
                <w:szCs w:val="16"/>
              </w:rPr>
              <w:t>Other Comprehensive Income (Loss)</w:t>
            </w:r>
          </w:p>
        </w:tc>
        <w:tc>
          <w:tcPr>
            <w:tcW w:w="720" w:type="dxa"/>
            <w:tcBorders>
              <w:top w:val="outset" w:sz="6" w:space="0" w:color="D0D7E5"/>
              <w:left w:val="outset" w:sz="6" w:space="0" w:color="D0D7E5"/>
              <w:bottom w:val="outset" w:sz="6" w:space="0" w:color="D0D7E5"/>
              <w:right w:val="outset" w:sz="6" w:space="0" w:color="D0D7E5"/>
            </w:tcBorders>
            <w:shd w:val="clear" w:color="auto" w:fill="FFFFFF"/>
            <w:hideMark/>
          </w:tcPr>
          <w:p w14:paraId="237C382B" w14:textId="77777777" w:rsidR="00200A70" w:rsidRPr="00AE062A" w:rsidRDefault="00200A70" w:rsidP="00991583">
            <w:pPr>
              <w:jc w:val="center"/>
              <w:rPr>
                <w:rFonts w:ascii="Arial" w:hAnsi="Arial" w:cs="Arial"/>
                <w:sz w:val="16"/>
                <w:szCs w:val="16"/>
              </w:rPr>
            </w:pPr>
            <w:r w:rsidRPr="00AE062A">
              <w:rPr>
                <w:rFonts w:ascii="Arial" w:hAnsi="Arial" w:cs="Arial"/>
                <w:color w:val="000000"/>
                <w:sz w:val="16"/>
                <w:szCs w:val="16"/>
              </w:rPr>
              <w:t>NO</w:t>
            </w:r>
          </w:p>
        </w:tc>
        <w:tc>
          <w:tcPr>
            <w:tcW w:w="810" w:type="dxa"/>
            <w:tcBorders>
              <w:top w:val="outset" w:sz="6" w:space="0" w:color="D0D7E5"/>
              <w:left w:val="outset" w:sz="6" w:space="0" w:color="D0D7E5"/>
              <w:bottom w:val="outset" w:sz="6" w:space="0" w:color="D0D7E5"/>
              <w:right w:val="outset" w:sz="6" w:space="0" w:color="D0D7E5"/>
            </w:tcBorders>
            <w:shd w:val="clear" w:color="auto" w:fill="FFFFFF"/>
            <w:hideMark/>
          </w:tcPr>
          <w:p w14:paraId="6F838988" w14:textId="77777777" w:rsidR="00200A70" w:rsidRPr="00AE062A" w:rsidRDefault="00200A70" w:rsidP="00991583">
            <w:pPr>
              <w:jc w:val="center"/>
              <w:rPr>
                <w:rFonts w:ascii="Arial" w:hAnsi="Arial" w:cs="Arial"/>
                <w:sz w:val="16"/>
                <w:szCs w:val="16"/>
              </w:rPr>
            </w:pPr>
            <w:r w:rsidRPr="00AE062A">
              <w:rPr>
                <w:rFonts w:ascii="Arial" w:hAnsi="Arial" w:cs="Arial"/>
                <w:color w:val="000000"/>
                <w:sz w:val="16"/>
                <w:szCs w:val="16"/>
              </w:rPr>
              <w:t>NO</w:t>
            </w:r>
          </w:p>
        </w:tc>
        <w:tc>
          <w:tcPr>
            <w:tcW w:w="630" w:type="dxa"/>
            <w:tcBorders>
              <w:top w:val="outset" w:sz="6" w:space="0" w:color="D0D7E5"/>
              <w:left w:val="outset" w:sz="6" w:space="0" w:color="D0D7E5"/>
              <w:bottom w:val="outset" w:sz="6" w:space="0" w:color="D0D7E5"/>
              <w:right w:val="outset" w:sz="6" w:space="0" w:color="D0D7E5"/>
            </w:tcBorders>
            <w:shd w:val="clear" w:color="auto" w:fill="FFFFFF"/>
            <w:hideMark/>
          </w:tcPr>
          <w:p w14:paraId="2440244A" w14:textId="77777777" w:rsidR="00200A70" w:rsidRPr="00AE062A" w:rsidRDefault="00200A70" w:rsidP="00991583">
            <w:pPr>
              <w:jc w:val="center"/>
              <w:rPr>
                <w:rFonts w:ascii="Arial" w:hAnsi="Arial" w:cs="Arial"/>
                <w:sz w:val="16"/>
                <w:szCs w:val="16"/>
              </w:rPr>
            </w:pPr>
            <w:r w:rsidRPr="00AE062A">
              <w:rPr>
                <w:rFonts w:ascii="Arial" w:hAnsi="Arial" w:cs="Arial"/>
                <w:color w:val="000000"/>
                <w:sz w:val="16"/>
                <w:szCs w:val="16"/>
              </w:rPr>
              <w:t>NO</w:t>
            </w:r>
          </w:p>
        </w:tc>
        <w:tc>
          <w:tcPr>
            <w:tcW w:w="810" w:type="dxa"/>
            <w:tcBorders>
              <w:top w:val="outset" w:sz="6" w:space="0" w:color="D0D7E5"/>
              <w:left w:val="outset" w:sz="6" w:space="0" w:color="D0D7E5"/>
              <w:bottom w:val="outset" w:sz="6" w:space="0" w:color="D0D7E5"/>
              <w:right w:val="outset" w:sz="6" w:space="0" w:color="D0D7E5"/>
            </w:tcBorders>
            <w:shd w:val="clear" w:color="auto" w:fill="FFFFFF"/>
            <w:hideMark/>
          </w:tcPr>
          <w:p w14:paraId="4BBCE45A" w14:textId="77777777" w:rsidR="00200A70" w:rsidRPr="00AE062A" w:rsidRDefault="00200A70" w:rsidP="00991583">
            <w:pPr>
              <w:jc w:val="center"/>
              <w:rPr>
                <w:rFonts w:ascii="Arial" w:hAnsi="Arial" w:cs="Arial"/>
                <w:sz w:val="16"/>
                <w:szCs w:val="16"/>
              </w:rPr>
            </w:pPr>
            <w:r w:rsidRPr="00AE062A">
              <w:rPr>
                <w:rFonts w:ascii="Arial" w:hAnsi="Arial" w:cs="Arial"/>
                <w:color w:val="000000"/>
                <w:sz w:val="16"/>
                <w:szCs w:val="16"/>
              </w:rPr>
              <w:t>YES</w:t>
            </w:r>
          </w:p>
        </w:tc>
      </w:tr>
      <w:tr w:rsidR="00200A70" w:rsidRPr="00AE062A" w14:paraId="7DC05C4F" w14:textId="77777777" w:rsidTr="00991583">
        <w:trPr>
          <w:tblCellSpacing w:w="0" w:type="dxa"/>
        </w:trPr>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65EE265C" w14:textId="77777777" w:rsidR="00200A70" w:rsidRPr="00AE062A" w:rsidRDefault="00200A70" w:rsidP="00991583">
            <w:pPr>
              <w:rPr>
                <w:rFonts w:ascii="Arial" w:hAnsi="Arial" w:cs="Arial"/>
                <w:sz w:val="16"/>
                <w:szCs w:val="16"/>
              </w:rPr>
            </w:pPr>
            <w:r w:rsidRPr="00AE062A">
              <w:rPr>
                <w:rFonts w:ascii="Arial" w:hAnsi="Arial" w:cs="Arial"/>
                <w:color w:val="000000"/>
                <w:sz w:val="16"/>
                <w:szCs w:val="16"/>
              </w:rPr>
              <w:t>Income statement</w:t>
            </w:r>
          </w:p>
        </w:tc>
        <w:tc>
          <w:tcPr>
            <w:tcW w:w="4531" w:type="dxa"/>
            <w:tcBorders>
              <w:top w:val="outset" w:sz="6" w:space="0" w:color="D0D7E5"/>
              <w:left w:val="outset" w:sz="6" w:space="0" w:color="D0D7E5"/>
              <w:bottom w:val="outset" w:sz="6" w:space="0" w:color="D0D7E5"/>
              <w:right w:val="outset" w:sz="6" w:space="0" w:color="D0D7E5"/>
            </w:tcBorders>
            <w:shd w:val="clear" w:color="auto" w:fill="FFFFFF"/>
            <w:hideMark/>
          </w:tcPr>
          <w:p w14:paraId="7C42839D" w14:textId="77777777" w:rsidR="00200A70" w:rsidRPr="00AE062A" w:rsidRDefault="00200A70" w:rsidP="00991583">
            <w:pPr>
              <w:rPr>
                <w:rFonts w:ascii="Arial" w:hAnsi="Arial" w:cs="Arial"/>
                <w:sz w:val="16"/>
                <w:szCs w:val="16"/>
              </w:rPr>
            </w:pPr>
            <w:r w:rsidRPr="00AE062A">
              <w:rPr>
                <w:rFonts w:ascii="Arial" w:hAnsi="Arial" w:cs="Arial"/>
                <w:color w:val="000000"/>
                <w:sz w:val="16"/>
                <w:szCs w:val="16"/>
              </w:rPr>
              <w:t xml:space="preserve">Cost </w:t>
            </w:r>
            <w:proofErr w:type="gramStart"/>
            <w:r w:rsidRPr="00AE062A">
              <w:rPr>
                <w:rFonts w:ascii="Arial" w:hAnsi="Arial" w:cs="Arial"/>
                <w:color w:val="000000"/>
                <w:sz w:val="16"/>
                <w:szCs w:val="16"/>
              </w:rPr>
              <w:t>Of</w:t>
            </w:r>
            <w:proofErr w:type="gramEnd"/>
            <w:r w:rsidRPr="00AE062A">
              <w:rPr>
                <w:rFonts w:ascii="Arial" w:hAnsi="Arial" w:cs="Arial"/>
                <w:color w:val="000000"/>
                <w:sz w:val="16"/>
                <w:szCs w:val="16"/>
              </w:rPr>
              <w:t xml:space="preserve"> Revenue</w:t>
            </w:r>
          </w:p>
        </w:tc>
        <w:tc>
          <w:tcPr>
            <w:tcW w:w="720" w:type="dxa"/>
            <w:tcBorders>
              <w:top w:val="outset" w:sz="6" w:space="0" w:color="D0D7E5"/>
              <w:left w:val="outset" w:sz="6" w:space="0" w:color="D0D7E5"/>
              <w:bottom w:val="outset" w:sz="6" w:space="0" w:color="D0D7E5"/>
              <w:right w:val="outset" w:sz="6" w:space="0" w:color="D0D7E5"/>
            </w:tcBorders>
            <w:shd w:val="clear" w:color="auto" w:fill="FFFFFF"/>
            <w:hideMark/>
          </w:tcPr>
          <w:p w14:paraId="1EC02954" w14:textId="77777777" w:rsidR="00200A70" w:rsidRPr="00AE062A" w:rsidRDefault="00200A70" w:rsidP="00991583">
            <w:pPr>
              <w:jc w:val="center"/>
              <w:rPr>
                <w:rFonts w:ascii="Arial" w:hAnsi="Arial" w:cs="Arial"/>
                <w:sz w:val="16"/>
                <w:szCs w:val="16"/>
              </w:rPr>
            </w:pPr>
            <w:r w:rsidRPr="00AE062A">
              <w:rPr>
                <w:rFonts w:ascii="Arial" w:hAnsi="Arial" w:cs="Arial"/>
                <w:color w:val="000000"/>
                <w:sz w:val="16"/>
                <w:szCs w:val="16"/>
              </w:rPr>
              <w:t>NO</w:t>
            </w:r>
          </w:p>
        </w:tc>
        <w:tc>
          <w:tcPr>
            <w:tcW w:w="810" w:type="dxa"/>
            <w:tcBorders>
              <w:top w:val="outset" w:sz="6" w:space="0" w:color="D0D7E5"/>
              <w:left w:val="outset" w:sz="6" w:space="0" w:color="D0D7E5"/>
              <w:bottom w:val="outset" w:sz="6" w:space="0" w:color="D0D7E5"/>
              <w:right w:val="outset" w:sz="6" w:space="0" w:color="D0D7E5"/>
            </w:tcBorders>
            <w:shd w:val="clear" w:color="auto" w:fill="FFFFFF"/>
            <w:hideMark/>
          </w:tcPr>
          <w:p w14:paraId="4CFE48C4" w14:textId="77777777" w:rsidR="00200A70" w:rsidRPr="00AE062A" w:rsidRDefault="00200A70" w:rsidP="00991583">
            <w:pPr>
              <w:jc w:val="center"/>
              <w:rPr>
                <w:rFonts w:ascii="Arial" w:hAnsi="Arial" w:cs="Arial"/>
                <w:sz w:val="16"/>
                <w:szCs w:val="16"/>
              </w:rPr>
            </w:pPr>
            <w:r w:rsidRPr="00AE062A">
              <w:rPr>
                <w:rFonts w:ascii="Arial" w:hAnsi="Arial" w:cs="Arial"/>
                <w:color w:val="000000"/>
                <w:sz w:val="16"/>
                <w:szCs w:val="16"/>
              </w:rPr>
              <w:t>NO</w:t>
            </w:r>
          </w:p>
        </w:tc>
        <w:tc>
          <w:tcPr>
            <w:tcW w:w="630" w:type="dxa"/>
            <w:tcBorders>
              <w:top w:val="outset" w:sz="6" w:space="0" w:color="D0D7E5"/>
              <w:left w:val="outset" w:sz="6" w:space="0" w:color="D0D7E5"/>
              <w:bottom w:val="outset" w:sz="6" w:space="0" w:color="D0D7E5"/>
              <w:right w:val="outset" w:sz="6" w:space="0" w:color="D0D7E5"/>
            </w:tcBorders>
            <w:shd w:val="clear" w:color="auto" w:fill="FFFFFF"/>
            <w:hideMark/>
          </w:tcPr>
          <w:p w14:paraId="523A6B75" w14:textId="77777777" w:rsidR="00200A70" w:rsidRPr="00AE062A" w:rsidRDefault="00200A70" w:rsidP="00991583">
            <w:pPr>
              <w:jc w:val="center"/>
              <w:rPr>
                <w:rFonts w:ascii="Arial" w:hAnsi="Arial" w:cs="Arial"/>
                <w:sz w:val="16"/>
                <w:szCs w:val="16"/>
              </w:rPr>
            </w:pPr>
            <w:r w:rsidRPr="00AE062A">
              <w:rPr>
                <w:rFonts w:ascii="Arial" w:hAnsi="Arial" w:cs="Arial"/>
                <w:color w:val="000000"/>
                <w:sz w:val="16"/>
                <w:szCs w:val="16"/>
              </w:rPr>
              <w:t>NO</w:t>
            </w:r>
          </w:p>
        </w:tc>
        <w:tc>
          <w:tcPr>
            <w:tcW w:w="810" w:type="dxa"/>
            <w:tcBorders>
              <w:top w:val="outset" w:sz="6" w:space="0" w:color="D0D7E5"/>
              <w:left w:val="outset" w:sz="6" w:space="0" w:color="D0D7E5"/>
              <w:bottom w:val="outset" w:sz="6" w:space="0" w:color="D0D7E5"/>
              <w:right w:val="outset" w:sz="6" w:space="0" w:color="D0D7E5"/>
            </w:tcBorders>
            <w:shd w:val="clear" w:color="auto" w:fill="FFFFFF"/>
            <w:hideMark/>
          </w:tcPr>
          <w:p w14:paraId="263942B2" w14:textId="77777777" w:rsidR="00200A70" w:rsidRPr="00AE062A" w:rsidRDefault="00200A70" w:rsidP="00991583">
            <w:pPr>
              <w:jc w:val="center"/>
              <w:rPr>
                <w:rFonts w:ascii="Arial" w:hAnsi="Arial" w:cs="Arial"/>
                <w:sz w:val="16"/>
                <w:szCs w:val="16"/>
              </w:rPr>
            </w:pPr>
            <w:r w:rsidRPr="00AE062A">
              <w:rPr>
                <w:rFonts w:ascii="Arial" w:hAnsi="Arial" w:cs="Arial"/>
                <w:color w:val="000000"/>
                <w:sz w:val="16"/>
                <w:szCs w:val="16"/>
              </w:rPr>
              <w:t>YES</w:t>
            </w:r>
          </w:p>
        </w:tc>
      </w:tr>
      <w:tr w:rsidR="00200A70" w:rsidRPr="00AE062A" w14:paraId="13FBF1EE" w14:textId="77777777" w:rsidTr="00991583">
        <w:trPr>
          <w:tblCellSpacing w:w="0" w:type="dxa"/>
        </w:trPr>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57A24500" w14:textId="77777777" w:rsidR="00200A70" w:rsidRPr="00AE062A" w:rsidRDefault="00200A70" w:rsidP="00991583">
            <w:pPr>
              <w:rPr>
                <w:rFonts w:ascii="Arial" w:hAnsi="Arial" w:cs="Arial"/>
                <w:sz w:val="16"/>
                <w:szCs w:val="16"/>
              </w:rPr>
            </w:pPr>
            <w:r w:rsidRPr="00AE062A">
              <w:rPr>
                <w:rFonts w:ascii="Arial" w:hAnsi="Arial" w:cs="Arial"/>
                <w:color w:val="000000"/>
                <w:sz w:val="16"/>
                <w:szCs w:val="16"/>
              </w:rPr>
              <w:t>Income statement</w:t>
            </w:r>
          </w:p>
        </w:tc>
        <w:tc>
          <w:tcPr>
            <w:tcW w:w="4531" w:type="dxa"/>
            <w:tcBorders>
              <w:top w:val="outset" w:sz="6" w:space="0" w:color="D0D7E5"/>
              <w:left w:val="outset" w:sz="6" w:space="0" w:color="D0D7E5"/>
              <w:bottom w:val="outset" w:sz="6" w:space="0" w:color="D0D7E5"/>
              <w:right w:val="outset" w:sz="6" w:space="0" w:color="D0D7E5"/>
            </w:tcBorders>
            <w:shd w:val="clear" w:color="auto" w:fill="FFFFFF"/>
            <w:hideMark/>
          </w:tcPr>
          <w:p w14:paraId="073DE60C" w14:textId="77777777" w:rsidR="00200A70" w:rsidRPr="00AE062A" w:rsidRDefault="00200A70" w:rsidP="00991583">
            <w:pPr>
              <w:rPr>
                <w:rFonts w:ascii="Arial" w:hAnsi="Arial" w:cs="Arial"/>
                <w:sz w:val="16"/>
                <w:szCs w:val="16"/>
              </w:rPr>
            </w:pPr>
            <w:r w:rsidRPr="00AE062A">
              <w:rPr>
                <w:rFonts w:ascii="Arial" w:hAnsi="Arial" w:cs="Arial"/>
                <w:color w:val="000000"/>
                <w:sz w:val="16"/>
                <w:szCs w:val="16"/>
              </w:rPr>
              <w:t xml:space="preserve">Costs </w:t>
            </w:r>
            <w:proofErr w:type="gramStart"/>
            <w:r w:rsidRPr="00AE062A">
              <w:rPr>
                <w:rFonts w:ascii="Arial" w:hAnsi="Arial" w:cs="Arial"/>
                <w:color w:val="000000"/>
                <w:sz w:val="16"/>
                <w:szCs w:val="16"/>
              </w:rPr>
              <w:t>And</w:t>
            </w:r>
            <w:proofErr w:type="gramEnd"/>
            <w:r w:rsidRPr="00AE062A">
              <w:rPr>
                <w:rFonts w:ascii="Arial" w:hAnsi="Arial" w:cs="Arial"/>
                <w:color w:val="000000"/>
                <w:sz w:val="16"/>
                <w:szCs w:val="16"/>
              </w:rPr>
              <w:t xml:space="preserve"> Expenses</w:t>
            </w:r>
          </w:p>
        </w:tc>
        <w:tc>
          <w:tcPr>
            <w:tcW w:w="720" w:type="dxa"/>
            <w:tcBorders>
              <w:top w:val="outset" w:sz="6" w:space="0" w:color="D0D7E5"/>
              <w:left w:val="outset" w:sz="6" w:space="0" w:color="D0D7E5"/>
              <w:bottom w:val="outset" w:sz="6" w:space="0" w:color="D0D7E5"/>
              <w:right w:val="outset" w:sz="6" w:space="0" w:color="D0D7E5"/>
            </w:tcBorders>
            <w:shd w:val="clear" w:color="auto" w:fill="FFFFFF"/>
            <w:hideMark/>
          </w:tcPr>
          <w:p w14:paraId="6CAF140D" w14:textId="77777777" w:rsidR="00200A70" w:rsidRPr="00AE062A" w:rsidRDefault="00200A70" w:rsidP="00991583">
            <w:pPr>
              <w:jc w:val="center"/>
              <w:rPr>
                <w:rFonts w:ascii="Arial" w:hAnsi="Arial" w:cs="Arial"/>
                <w:sz w:val="16"/>
                <w:szCs w:val="16"/>
              </w:rPr>
            </w:pPr>
            <w:r w:rsidRPr="00AE062A">
              <w:rPr>
                <w:rFonts w:ascii="Arial" w:hAnsi="Arial" w:cs="Arial"/>
                <w:color w:val="000000"/>
                <w:sz w:val="16"/>
                <w:szCs w:val="16"/>
              </w:rPr>
              <w:t>NO</w:t>
            </w:r>
          </w:p>
        </w:tc>
        <w:tc>
          <w:tcPr>
            <w:tcW w:w="810" w:type="dxa"/>
            <w:tcBorders>
              <w:top w:val="outset" w:sz="6" w:space="0" w:color="D0D7E5"/>
              <w:left w:val="outset" w:sz="6" w:space="0" w:color="D0D7E5"/>
              <w:bottom w:val="outset" w:sz="6" w:space="0" w:color="D0D7E5"/>
              <w:right w:val="outset" w:sz="6" w:space="0" w:color="D0D7E5"/>
            </w:tcBorders>
            <w:shd w:val="clear" w:color="auto" w:fill="FFFFFF"/>
            <w:hideMark/>
          </w:tcPr>
          <w:p w14:paraId="13A131AF" w14:textId="77777777" w:rsidR="00200A70" w:rsidRPr="00AE062A" w:rsidRDefault="00200A70" w:rsidP="00991583">
            <w:pPr>
              <w:jc w:val="center"/>
              <w:rPr>
                <w:rFonts w:ascii="Arial" w:hAnsi="Arial" w:cs="Arial"/>
                <w:sz w:val="16"/>
                <w:szCs w:val="16"/>
              </w:rPr>
            </w:pPr>
            <w:r w:rsidRPr="00AE062A">
              <w:rPr>
                <w:rFonts w:ascii="Arial" w:hAnsi="Arial" w:cs="Arial"/>
                <w:color w:val="000000"/>
                <w:sz w:val="16"/>
                <w:szCs w:val="16"/>
              </w:rPr>
              <w:t>NO</w:t>
            </w:r>
          </w:p>
        </w:tc>
        <w:tc>
          <w:tcPr>
            <w:tcW w:w="630" w:type="dxa"/>
            <w:tcBorders>
              <w:top w:val="outset" w:sz="6" w:space="0" w:color="D0D7E5"/>
              <w:left w:val="outset" w:sz="6" w:space="0" w:color="D0D7E5"/>
              <w:bottom w:val="outset" w:sz="6" w:space="0" w:color="D0D7E5"/>
              <w:right w:val="outset" w:sz="6" w:space="0" w:color="D0D7E5"/>
            </w:tcBorders>
            <w:shd w:val="clear" w:color="auto" w:fill="FFFFFF"/>
            <w:hideMark/>
          </w:tcPr>
          <w:p w14:paraId="29FBBCE6" w14:textId="77777777" w:rsidR="00200A70" w:rsidRPr="00AE062A" w:rsidRDefault="00200A70" w:rsidP="00991583">
            <w:pPr>
              <w:jc w:val="center"/>
              <w:rPr>
                <w:rFonts w:ascii="Arial" w:hAnsi="Arial" w:cs="Arial"/>
                <w:sz w:val="16"/>
                <w:szCs w:val="16"/>
              </w:rPr>
            </w:pPr>
            <w:r w:rsidRPr="00AE062A">
              <w:rPr>
                <w:rFonts w:ascii="Arial" w:hAnsi="Arial" w:cs="Arial"/>
                <w:color w:val="000000"/>
                <w:sz w:val="16"/>
                <w:szCs w:val="16"/>
              </w:rPr>
              <w:t>NO</w:t>
            </w:r>
          </w:p>
        </w:tc>
        <w:tc>
          <w:tcPr>
            <w:tcW w:w="810" w:type="dxa"/>
            <w:tcBorders>
              <w:top w:val="outset" w:sz="6" w:space="0" w:color="D0D7E5"/>
              <w:left w:val="outset" w:sz="6" w:space="0" w:color="D0D7E5"/>
              <w:bottom w:val="outset" w:sz="6" w:space="0" w:color="D0D7E5"/>
              <w:right w:val="outset" w:sz="6" w:space="0" w:color="D0D7E5"/>
            </w:tcBorders>
            <w:shd w:val="clear" w:color="auto" w:fill="FFFFFF"/>
            <w:hideMark/>
          </w:tcPr>
          <w:p w14:paraId="398A917B" w14:textId="77777777" w:rsidR="00200A70" w:rsidRPr="00AE062A" w:rsidRDefault="00200A70" w:rsidP="00991583">
            <w:pPr>
              <w:jc w:val="center"/>
              <w:rPr>
                <w:rFonts w:ascii="Arial" w:hAnsi="Arial" w:cs="Arial"/>
                <w:sz w:val="16"/>
                <w:szCs w:val="16"/>
              </w:rPr>
            </w:pPr>
            <w:r w:rsidRPr="00AE062A">
              <w:rPr>
                <w:rFonts w:ascii="Arial" w:hAnsi="Arial" w:cs="Arial"/>
                <w:color w:val="000000"/>
                <w:sz w:val="16"/>
                <w:szCs w:val="16"/>
              </w:rPr>
              <w:t>YES</w:t>
            </w:r>
          </w:p>
        </w:tc>
      </w:tr>
      <w:tr w:rsidR="00200A70" w:rsidRPr="00AE062A" w14:paraId="646F3F16" w14:textId="77777777" w:rsidTr="00991583">
        <w:trPr>
          <w:tblCellSpacing w:w="0" w:type="dxa"/>
        </w:trPr>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437CED8F" w14:textId="77777777" w:rsidR="00200A70" w:rsidRPr="00AE062A" w:rsidRDefault="00200A70" w:rsidP="00991583">
            <w:pPr>
              <w:rPr>
                <w:rFonts w:ascii="Arial" w:hAnsi="Arial" w:cs="Arial"/>
                <w:sz w:val="16"/>
                <w:szCs w:val="16"/>
              </w:rPr>
            </w:pPr>
            <w:r w:rsidRPr="00AE062A">
              <w:rPr>
                <w:rFonts w:ascii="Arial" w:hAnsi="Arial" w:cs="Arial"/>
                <w:color w:val="000000"/>
                <w:sz w:val="16"/>
                <w:szCs w:val="16"/>
              </w:rPr>
              <w:t>Income statement</w:t>
            </w:r>
          </w:p>
        </w:tc>
        <w:tc>
          <w:tcPr>
            <w:tcW w:w="4531" w:type="dxa"/>
            <w:tcBorders>
              <w:top w:val="outset" w:sz="6" w:space="0" w:color="D0D7E5"/>
              <w:left w:val="outset" w:sz="6" w:space="0" w:color="D0D7E5"/>
              <w:bottom w:val="outset" w:sz="6" w:space="0" w:color="D0D7E5"/>
              <w:right w:val="outset" w:sz="6" w:space="0" w:color="D0D7E5"/>
            </w:tcBorders>
            <w:shd w:val="clear" w:color="auto" w:fill="FFFFFF"/>
            <w:hideMark/>
          </w:tcPr>
          <w:p w14:paraId="2AB26656" w14:textId="77777777" w:rsidR="00200A70" w:rsidRPr="00AE062A" w:rsidRDefault="00200A70" w:rsidP="00991583">
            <w:pPr>
              <w:rPr>
                <w:rFonts w:ascii="Arial" w:hAnsi="Arial" w:cs="Arial"/>
                <w:sz w:val="16"/>
                <w:szCs w:val="16"/>
              </w:rPr>
            </w:pPr>
            <w:r w:rsidRPr="00AE062A">
              <w:rPr>
                <w:rFonts w:ascii="Arial" w:hAnsi="Arial" w:cs="Arial"/>
                <w:color w:val="000000"/>
                <w:sz w:val="16"/>
                <w:szCs w:val="16"/>
              </w:rPr>
              <w:t>Gross</w:t>
            </w:r>
            <w:r>
              <w:rPr>
                <w:rFonts w:ascii="Arial" w:hAnsi="Arial" w:cs="Arial"/>
                <w:color w:val="000000"/>
                <w:sz w:val="16"/>
                <w:szCs w:val="16"/>
              </w:rPr>
              <w:t xml:space="preserve"> </w:t>
            </w:r>
            <w:r w:rsidRPr="00AE062A">
              <w:rPr>
                <w:rFonts w:ascii="Arial" w:hAnsi="Arial" w:cs="Arial"/>
                <w:color w:val="000000"/>
                <w:sz w:val="16"/>
                <w:szCs w:val="16"/>
              </w:rPr>
              <w:t>Profit</w:t>
            </w:r>
          </w:p>
        </w:tc>
        <w:tc>
          <w:tcPr>
            <w:tcW w:w="720" w:type="dxa"/>
            <w:tcBorders>
              <w:top w:val="outset" w:sz="6" w:space="0" w:color="D0D7E5"/>
              <w:left w:val="outset" w:sz="6" w:space="0" w:color="D0D7E5"/>
              <w:bottom w:val="outset" w:sz="6" w:space="0" w:color="D0D7E5"/>
              <w:right w:val="outset" w:sz="6" w:space="0" w:color="D0D7E5"/>
            </w:tcBorders>
            <w:shd w:val="clear" w:color="auto" w:fill="FFFFFF"/>
            <w:hideMark/>
          </w:tcPr>
          <w:p w14:paraId="190CAD7D" w14:textId="77777777" w:rsidR="00200A70" w:rsidRPr="00AE062A" w:rsidRDefault="00200A70" w:rsidP="00991583">
            <w:pPr>
              <w:jc w:val="center"/>
              <w:rPr>
                <w:rFonts w:ascii="Arial" w:hAnsi="Arial" w:cs="Arial"/>
                <w:sz w:val="16"/>
                <w:szCs w:val="16"/>
              </w:rPr>
            </w:pPr>
            <w:r w:rsidRPr="00AE062A">
              <w:rPr>
                <w:rFonts w:ascii="Arial" w:hAnsi="Arial" w:cs="Arial"/>
                <w:color w:val="000000"/>
                <w:sz w:val="16"/>
                <w:szCs w:val="16"/>
              </w:rPr>
              <w:t>NO</w:t>
            </w:r>
          </w:p>
        </w:tc>
        <w:tc>
          <w:tcPr>
            <w:tcW w:w="810" w:type="dxa"/>
            <w:tcBorders>
              <w:top w:val="outset" w:sz="6" w:space="0" w:color="D0D7E5"/>
              <w:left w:val="outset" w:sz="6" w:space="0" w:color="D0D7E5"/>
              <w:bottom w:val="outset" w:sz="6" w:space="0" w:color="D0D7E5"/>
              <w:right w:val="outset" w:sz="6" w:space="0" w:color="D0D7E5"/>
            </w:tcBorders>
            <w:shd w:val="clear" w:color="auto" w:fill="FFFFFF"/>
            <w:hideMark/>
          </w:tcPr>
          <w:p w14:paraId="16684963" w14:textId="77777777" w:rsidR="00200A70" w:rsidRPr="00AE062A" w:rsidRDefault="00200A70" w:rsidP="00991583">
            <w:pPr>
              <w:jc w:val="center"/>
              <w:rPr>
                <w:rFonts w:ascii="Arial" w:hAnsi="Arial" w:cs="Arial"/>
                <w:sz w:val="16"/>
                <w:szCs w:val="16"/>
              </w:rPr>
            </w:pPr>
            <w:r w:rsidRPr="00AE062A">
              <w:rPr>
                <w:rFonts w:ascii="Arial" w:hAnsi="Arial" w:cs="Arial"/>
                <w:color w:val="000000"/>
                <w:sz w:val="16"/>
                <w:szCs w:val="16"/>
              </w:rPr>
              <w:t>NO</w:t>
            </w:r>
          </w:p>
        </w:tc>
        <w:tc>
          <w:tcPr>
            <w:tcW w:w="630" w:type="dxa"/>
            <w:tcBorders>
              <w:top w:val="outset" w:sz="6" w:space="0" w:color="D0D7E5"/>
              <w:left w:val="outset" w:sz="6" w:space="0" w:color="D0D7E5"/>
              <w:bottom w:val="outset" w:sz="6" w:space="0" w:color="D0D7E5"/>
              <w:right w:val="outset" w:sz="6" w:space="0" w:color="D0D7E5"/>
            </w:tcBorders>
            <w:shd w:val="clear" w:color="auto" w:fill="FFFFFF"/>
            <w:hideMark/>
          </w:tcPr>
          <w:p w14:paraId="39D41E8D" w14:textId="77777777" w:rsidR="00200A70" w:rsidRPr="00AE062A" w:rsidRDefault="00200A70" w:rsidP="00991583">
            <w:pPr>
              <w:jc w:val="center"/>
              <w:rPr>
                <w:rFonts w:ascii="Arial" w:hAnsi="Arial" w:cs="Arial"/>
                <w:sz w:val="16"/>
                <w:szCs w:val="16"/>
              </w:rPr>
            </w:pPr>
            <w:r w:rsidRPr="00AE062A">
              <w:rPr>
                <w:rFonts w:ascii="Arial" w:hAnsi="Arial" w:cs="Arial"/>
                <w:color w:val="000000"/>
                <w:sz w:val="16"/>
                <w:szCs w:val="16"/>
              </w:rPr>
              <w:t>NO</w:t>
            </w:r>
          </w:p>
        </w:tc>
        <w:tc>
          <w:tcPr>
            <w:tcW w:w="810" w:type="dxa"/>
            <w:tcBorders>
              <w:top w:val="outset" w:sz="6" w:space="0" w:color="D0D7E5"/>
              <w:left w:val="outset" w:sz="6" w:space="0" w:color="D0D7E5"/>
              <w:bottom w:val="outset" w:sz="6" w:space="0" w:color="D0D7E5"/>
              <w:right w:val="outset" w:sz="6" w:space="0" w:color="D0D7E5"/>
            </w:tcBorders>
            <w:shd w:val="clear" w:color="auto" w:fill="FFFFFF"/>
            <w:hideMark/>
          </w:tcPr>
          <w:p w14:paraId="19A4DAEC" w14:textId="77777777" w:rsidR="00200A70" w:rsidRPr="00AE062A" w:rsidRDefault="00200A70" w:rsidP="00991583">
            <w:pPr>
              <w:jc w:val="center"/>
              <w:rPr>
                <w:rFonts w:ascii="Arial" w:hAnsi="Arial" w:cs="Arial"/>
                <w:sz w:val="16"/>
                <w:szCs w:val="16"/>
              </w:rPr>
            </w:pPr>
            <w:r w:rsidRPr="00AE062A">
              <w:rPr>
                <w:rFonts w:ascii="Arial" w:hAnsi="Arial" w:cs="Arial"/>
                <w:color w:val="000000"/>
                <w:sz w:val="16"/>
                <w:szCs w:val="16"/>
              </w:rPr>
              <w:t>NO</w:t>
            </w:r>
          </w:p>
        </w:tc>
      </w:tr>
      <w:tr w:rsidR="00200A70" w:rsidRPr="00AE062A" w14:paraId="0D703411" w14:textId="77777777" w:rsidTr="00991583">
        <w:trPr>
          <w:tblCellSpacing w:w="0" w:type="dxa"/>
        </w:trPr>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1AD42768" w14:textId="77777777" w:rsidR="00200A70" w:rsidRPr="00AE062A" w:rsidRDefault="00200A70" w:rsidP="00991583">
            <w:pPr>
              <w:rPr>
                <w:rFonts w:ascii="Arial" w:hAnsi="Arial" w:cs="Arial"/>
                <w:sz w:val="16"/>
                <w:szCs w:val="16"/>
              </w:rPr>
            </w:pPr>
            <w:r w:rsidRPr="00AE062A">
              <w:rPr>
                <w:rFonts w:ascii="Arial" w:hAnsi="Arial" w:cs="Arial"/>
                <w:color w:val="000000"/>
                <w:sz w:val="16"/>
                <w:szCs w:val="16"/>
              </w:rPr>
              <w:t>Income statement</w:t>
            </w:r>
          </w:p>
        </w:tc>
        <w:tc>
          <w:tcPr>
            <w:tcW w:w="4531" w:type="dxa"/>
            <w:tcBorders>
              <w:top w:val="outset" w:sz="6" w:space="0" w:color="D0D7E5"/>
              <w:left w:val="outset" w:sz="6" w:space="0" w:color="D0D7E5"/>
              <w:bottom w:val="outset" w:sz="6" w:space="0" w:color="D0D7E5"/>
              <w:right w:val="outset" w:sz="6" w:space="0" w:color="D0D7E5"/>
            </w:tcBorders>
            <w:shd w:val="clear" w:color="auto" w:fill="FFFFFF"/>
            <w:hideMark/>
          </w:tcPr>
          <w:p w14:paraId="57F87049" w14:textId="77777777" w:rsidR="00200A70" w:rsidRPr="00AE062A" w:rsidRDefault="00200A70" w:rsidP="00991583">
            <w:pPr>
              <w:rPr>
                <w:rFonts w:ascii="Arial" w:hAnsi="Arial" w:cs="Arial"/>
                <w:sz w:val="16"/>
                <w:szCs w:val="16"/>
              </w:rPr>
            </w:pPr>
            <w:r w:rsidRPr="00AE062A">
              <w:rPr>
                <w:rFonts w:ascii="Arial" w:hAnsi="Arial" w:cs="Arial"/>
                <w:color w:val="000000"/>
                <w:sz w:val="16"/>
                <w:szCs w:val="16"/>
              </w:rPr>
              <w:t>Income (Loss) Before Equity Method Investments</w:t>
            </w:r>
          </w:p>
        </w:tc>
        <w:tc>
          <w:tcPr>
            <w:tcW w:w="720" w:type="dxa"/>
            <w:tcBorders>
              <w:top w:val="outset" w:sz="6" w:space="0" w:color="D0D7E5"/>
              <w:left w:val="outset" w:sz="6" w:space="0" w:color="D0D7E5"/>
              <w:bottom w:val="outset" w:sz="6" w:space="0" w:color="D0D7E5"/>
              <w:right w:val="outset" w:sz="6" w:space="0" w:color="D0D7E5"/>
            </w:tcBorders>
            <w:shd w:val="clear" w:color="auto" w:fill="FFFFFF"/>
            <w:hideMark/>
          </w:tcPr>
          <w:p w14:paraId="70F88080" w14:textId="77777777" w:rsidR="00200A70" w:rsidRPr="00AE062A" w:rsidRDefault="00200A70" w:rsidP="00991583">
            <w:pPr>
              <w:jc w:val="center"/>
              <w:rPr>
                <w:rFonts w:ascii="Arial" w:hAnsi="Arial" w:cs="Arial"/>
                <w:sz w:val="16"/>
                <w:szCs w:val="16"/>
              </w:rPr>
            </w:pPr>
            <w:r w:rsidRPr="00AE062A">
              <w:rPr>
                <w:rFonts w:ascii="Arial" w:hAnsi="Arial" w:cs="Arial"/>
                <w:color w:val="000000"/>
                <w:sz w:val="16"/>
                <w:szCs w:val="16"/>
              </w:rPr>
              <w:t>NO</w:t>
            </w:r>
          </w:p>
        </w:tc>
        <w:tc>
          <w:tcPr>
            <w:tcW w:w="810" w:type="dxa"/>
            <w:tcBorders>
              <w:top w:val="outset" w:sz="6" w:space="0" w:color="D0D7E5"/>
              <w:left w:val="outset" w:sz="6" w:space="0" w:color="D0D7E5"/>
              <w:bottom w:val="outset" w:sz="6" w:space="0" w:color="D0D7E5"/>
              <w:right w:val="outset" w:sz="6" w:space="0" w:color="D0D7E5"/>
            </w:tcBorders>
            <w:shd w:val="clear" w:color="auto" w:fill="FFFFFF"/>
            <w:hideMark/>
          </w:tcPr>
          <w:p w14:paraId="0866A27E" w14:textId="77777777" w:rsidR="00200A70" w:rsidRPr="00AE062A" w:rsidRDefault="00200A70" w:rsidP="00991583">
            <w:pPr>
              <w:jc w:val="center"/>
              <w:rPr>
                <w:rFonts w:ascii="Arial" w:hAnsi="Arial" w:cs="Arial"/>
                <w:sz w:val="16"/>
                <w:szCs w:val="16"/>
              </w:rPr>
            </w:pPr>
            <w:r w:rsidRPr="00AE062A">
              <w:rPr>
                <w:rFonts w:ascii="Arial" w:hAnsi="Arial" w:cs="Arial"/>
                <w:color w:val="000000"/>
                <w:sz w:val="16"/>
                <w:szCs w:val="16"/>
              </w:rPr>
              <w:t>NO</w:t>
            </w:r>
          </w:p>
        </w:tc>
        <w:tc>
          <w:tcPr>
            <w:tcW w:w="630" w:type="dxa"/>
            <w:tcBorders>
              <w:top w:val="outset" w:sz="6" w:space="0" w:color="D0D7E5"/>
              <w:left w:val="outset" w:sz="6" w:space="0" w:color="D0D7E5"/>
              <w:bottom w:val="outset" w:sz="6" w:space="0" w:color="D0D7E5"/>
              <w:right w:val="outset" w:sz="6" w:space="0" w:color="D0D7E5"/>
            </w:tcBorders>
            <w:shd w:val="clear" w:color="auto" w:fill="FFFFFF"/>
            <w:hideMark/>
          </w:tcPr>
          <w:p w14:paraId="64747624" w14:textId="77777777" w:rsidR="00200A70" w:rsidRPr="00AE062A" w:rsidRDefault="00200A70" w:rsidP="00991583">
            <w:pPr>
              <w:jc w:val="center"/>
              <w:rPr>
                <w:rFonts w:ascii="Arial" w:hAnsi="Arial" w:cs="Arial"/>
                <w:sz w:val="16"/>
                <w:szCs w:val="16"/>
              </w:rPr>
            </w:pPr>
            <w:r w:rsidRPr="00AE062A">
              <w:rPr>
                <w:rFonts w:ascii="Arial" w:hAnsi="Arial" w:cs="Arial"/>
                <w:color w:val="000000"/>
                <w:sz w:val="16"/>
                <w:szCs w:val="16"/>
              </w:rPr>
              <w:t>NO</w:t>
            </w:r>
          </w:p>
        </w:tc>
        <w:tc>
          <w:tcPr>
            <w:tcW w:w="810" w:type="dxa"/>
            <w:tcBorders>
              <w:top w:val="outset" w:sz="6" w:space="0" w:color="D0D7E5"/>
              <w:left w:val="outset" w:sz="6" w:space="0" w:color="D0D7E5"/>
              <w:bottom w:val="outset" w:sz="6" w:space="0" w:color="D0D7E5"/>
              <w:right w:val="outset" w:sz="6" w:space="0" w:color="D0D7E5"/>
            </w:tcBorders>
            <w:shd w:val="clear" w:color="auto" w:fill="FFFFFF"/>
            <w:hideMark/>
          </w:tcPr>
          <w:p w14:paraId="62E53006" w14:textId="77777777" w:rsidR="00200A70" w:rsidRPr="00AE062A" w:rsidRDefault="00200A70" w:rsidP="00991583">
            <w:pPr>
              <w:jc w:val="center"/>
              <w:rPr>
                <w:rFonts w:ascii="Arial" w:hAnsi="Arial" w:cs="Arial"/>
                <w:sz w:val="16"/>
                <w:szCs w:val="16"/>
              </w:rPr>
            </w:pPr>
            <w:r w:rsidRPr="00AE062A">
              <w:rPr>
                <w:rFonts w:ascii="Arial" w:hAnsi="Arial" w:cs="Arial"/>
                <w:color w:val="000000"/>
                <w:sz w:val="16"/>
                <w:szCs w:val="16"/>
              </w:rPr>
              <w:t>NO</w:t>
            </w:r>
          </w:p>
        </w:tc>
      </w:tr>
      <w:tr w:rsidR="00200A70" w:rsidRPr="00AE062A" w14:paraId="37C422AA" w14:textId="77777777" w:rsidTr="00991583">
        <w:trPr>
          <w:tblCellSpacing w:w="0" w:type="dxa"/>
        </w:trPr>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248A3A82" w14:textId="77777777" w:rsidR="00200A70" w:rsidRPr="00AE062A" w:rsidRDefault="00200A70" w:rsidP="00991583">
            <w:pPr>
              <w:rPr>
                <w:rFonts w:ascii="Arial" w:hAnsi="Arial" w:cs="Arial"/>
                <w:sz w:val="16"/>
                <w:szCs w:val="16"/>
              </w:rPr>
            </w:pPr>
            <w:r w:rsidRPr="00AE062A">
              <w:rPr>
                <w:rFonts w:ascii="Arial" w:hAnsi="Arial" w:cs="Arial"/>
                <w:color w:val="000000"/>
                <w:sz w:val="16"/>
                <w:szCs w:val="16"/>
              </w:rPr>
              <w:t>Income statement</w:t>
            </w:r>
          </w:p>
        </w:tc>
        <w:tc>
          <w:tcPr>
            <w:tcW w:w="4531" w:type="dxa"/>
            <w:tcBorders>
              <w:top w:val="outset" w:sz="6" w:space="0" w:color="D0D7E5"/>
              <w:left w:val="outset" w:sz="6" w:space="0" w:color="D0D7E5"/>
              <w:bottom w:val="outset" w:sz="6" w:space="0" w:color="D0D7E5"/>
              <w:right w:val="outset" w:sz="6" w:space="0" w:color="D0D7E5"/>
            </w:tcBorders>
            <w:shd w:val="clear" w:color="auto" w:fill="FFFFFF"/>
            <w:hideMark/>
          </w:tcPr>
          <w:p w14:paraId="65F347E5" w14:textId="77777777" w:rsidR="00200A70" w:rsidRPr="00AE062A" w:rsidRDefault="00200A70" w:rsidP="00991583">
            <w:pPr>
              <w:rPr>
                <w:rFonts w:ascii="Arial" w:hAnsi="Arial" w:cs="Arial"/>
                <w:sz w:val="16"/>
                <w:szCs w:val="16"/>
              </w:rPr>
            </w:pPr>
            <w:r w:rsidRPr="00AE062A">
              <w:rPr>
                <w:rFonts w:ascii="Arial" w:hAnsi="Arial" w:cs="Arial"/>
                <w:color w:val="000000"/>
                <w:sz w:val="16"/>
                <w:szCs w:val="16"/>
              </w:rPr>
              <w:t>Income (Loss) From Continuing Operations After Tax</w:t>
            </w:r>
          </w:p>
        </w:tc>
        <w:tc>
          <w:tcPr>
            <w:tcW w:w="720" w:type="dxa"/>
            <w:tcBorders>
              <w:top w:val="outset" w:sz="6" w:space="0" w:color="D0D7E5"/>
              <w:left w:val="outset" w:sz="6" w:space="0" w:color="D0D7E5"/>
              <w:bottom w:val="outset" w:sz="6" w:space="0" w:color="D0D7E5"/>
              <w:right w:val="outset" w:sz="6" w:space="0" w:color="D0D7E5"/>
            </w:tcBorders>
            <w:shd w:val="clear" w:color="auto" w:fill="FFFFFF"/>
            <w:hideMark/>
          </w:tcPr>
          <w:p w14:paraId="4119FEA6" w14:textId="77777777" w:rsidR="00200A70" w:rsidRPr="00AE062A" w:rsidRDefault="00200A70" w:rsidP="00991583">
            <w:pPr>
              <w:jc w:val="center"/>
              <w:rPr>
                <w:rFonts w:ascii="Arial" w:hAnsi="Arial" w:cs="Arial"/>
                <w:sz w:val="16"/>
                <w:szCs w:val="16"/>
              </w:rPr>
            </w:pPr>
            <w:r w:rsidRPr="00AE062A">
              <w:rPr>
                <w:rFonts w:ascii="Arial" w:hAnsi="Arial" w:cs="Arial"/>
                <w:color w:val="000000"/>
                <w:sz w:val="16"/>
                <w:szCs w:val="16"/>
              </w:rPr>
              <w:t>YES</w:t>
            </w:r>
          </w:p>
        </w:tc>
        <w:tc>
          <w:tcPr>
            <w:tcW w:w="810" w:type="dxa"/>
            <w:tcBorders>
              <w:top w:val="outset" w:sz="6" w:space="0" w:color="D0D7E5"/>
              <w:left w:val="outset" w:sz="6" w:space="0" w:color="D0D7E5"/>
              <w:bottom w:val="outset" w:sz="6" w:space="0" w:color="D0D7E5"/>
              <w:right w:val="outset" w:sz="6" w:space="0" w:color="D0D7E5"/>
            </w:tcBorders>
            <w:shd w:val="clear" w:color="auto" w:fill="FFFFFF"/>
            <w:hideMark/>
          </w:tcPr>
          <w:p w14:paraId="1D4AF3B5" w14:textId="77777777" w:rsidR="00200A70" w:rsidRPr="00AE062A" w:rsidRDefault="00200A70" w:rsidP="00991583">
            <w:pPr>
              <w:jc w:val="center"/>
              <w:rPr>
                <w:rFonts w:ascii="Arial" w:hAnsi="Arial" w:cs="Arial"/>
                <w:sz w:val="16"/>
                <w:szCs w:val="16"/>
              </w:rPr>
            </w:pPr>
            <w:r w:rsidRPr="00AE062A">
              <w:rPr>
                <w:rFonts w:ascii="Arial" w:hAnsi="Arial" w:cs="Arial"/>
                <w:color w:val="000000"/>
                <w:sz w:val="16"/>
                <w:szCs w:val="16"/>
              </w:rPr>
              <w:t>NO</w:t>
            </w:r>
          </w:p>
        </w:tc>
        <w:tc>
          <w:tcPr>
            <w:tcW w:w="630" w:type="dxa"/>
            <w:tcBorders>
              <w:top w:val="outset" w:sz="6" w:space="0" w:color="D0D7E5"/>
              <w:left w:val="outset" w:sz="6" w:space="0" w:color="D0D7E5"/>
              <w:bottom w:val="outset" w:sz="6" w:space="0" w:color="D0D7E5"/>
              <w:right w:val="outset" w:sz="6" w:space="0" w:color="D0D7E5"/>
            </w:tcBorders>
            <w:shd w:val="clear" w:color="auto" w:fill="FFFFFF"/>
            <w:hideMark/>
          </w:tcPr>
          <w:p w14:paraId="5F743294" w14:textId="77777777" w:rsidR="00200A70" w:rsidRPr="00AE062A" w:rsidRDefault="00200A70" w:rsidP="00991583">
            <w:pPr>
              <w:jc w:val="center"/>
              <w:rPr>
                <w:rFonts w:ascii="Arial" w:hAnsi="Arial" w:cs="Arial"/>
                <w:sz w:val="16"/>
                <w:szCs w:val="16"/>
              </w:rPr>
            </w:pPr>
            <w:r w:rsidRPr="00AE062A">
              <w:rPr>
                <w:rFonts w:ascii="Arial" w:hAnsi="Arial" w:cs="Arial"/>
                <w:color w:val="000000"/>
                <w:sz w:val="16"/>
                <w:szCs w:val="16"/>
              </w:rPr>
              <w:t>NO</w:t>
            </w:r>
          </w:p>
        </w:tc>
        <w:tc>
          <w:tcPr>
            <w:tcW w:w="810" w:type="dxa"/>
            <w:tcBorders>
              <w:top w:val="outset" w:sz="6" w:space="0" w:color="D0D7E5"/>
              <w:left w:val="outset" w:sz="6" w:space="0" w:color="D0D7E5"/>
              <w:bottom w:val="outset" w:sz="6" w:space="0" w:color="D0D7E5"/>
              <w:right w:val="outset" w:sz="6" w:space="0" w:color="D0D7E5"/>
            </w:tcBorders>
            <w:shd w:val="clear" w:color="auto" w:fill="FFFFFF"/>
            <w:hideMark/>
          </w:tcPr>
          <w:p w14:paraId="07C55114" w14:textId="77777777" w:rsidR="00200A70" w:rsidRPr="00AE062A" w:rsidRDefault="00200A70" w:rsidP="00991583">
            <w:pPr>
              <w:jc w:val="center"/>
              <w:rPr>
                <w:rFonts w:ascii="Arial" w:hAnsi="Arial" w:cs="Arial"/>
                <w:sz w:val="16"/>
                <w:szCs w:val="16"/>
              </w:rPr>
            </w:pPr>
            <w:r w:rsidRPr="00AE062A">
              <w:rPr>
                <w:rFonts w:ascii="Arial" w:hAnsi="Arial" w:cs="Arial"/>
                <w:color w:val="000000"/>
                <w:sz w:val="16"/>
                <w:szCs w:val="16"/>
              </w:rPr>
              <w:t>NO</w:t>
            </w:r>
          </w:p>
        </w:tc>
      </w:tr>
      <w:tr w:rsidR="00200A70" w:rsidRPr="00AE062A" w14:paraId="2F35C1FF" w14:textId="77777777" w:rsidTr="00991583">
        <w:trPr>
          <w:tblCellSpacing w:w="0" w:type="dxa"/>
        </w:trPr>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7A72A8A6" w14:textId="77777777" w:rsidR="00200A70" w:rsidRPr="00AE062A" w:rsidRDefault="00200A70" w:rsidP="00991583">
            <w:pPr>
              <w:rPr>
                <w:rFonts w:ascii="Arial" w:hAnsi="Arial" w:cs="Arial"/>
                <w:sz w:val="16"/>
                <w:szCs w:val="16"/>
              </w:rPr>
            </w:pPr>
            <w:r w:rsidRPr="00AE062A">
              <w:rPr>
                <w:rFonts w:ascii="Arial" w:hAnsi="Arial" w:cs="Arial"/>
                <w:color w:val="000000"/>
                <w:sz w:val="16"/>
                <w:szCs w:val="16"/>
              </w:rPr>
              <w:t>Income statement</w:t>
            </w:r>
          </w:p>
        </w:tc>
        <w:tc>
          <w:tcPr>
            <w:tcW w:w="4531" w:type="dxa"/>
            <w:tcBorders>
              <w:top w:val="outset" w:sz="6" w:space="0" w:color="D0D7E5"/>
              <w:left w:val="outset" w:sz="6" w:space="0" w:color="D0D7E5"/>
              <w:bottom w:val="outset" w:sz="6" w:space="0" w:color="D0D7E5"/>
              <w:right w:val="outset" w:sz="6" w:space="0" w:color="D0D7E5"/>
            </w:tcBorders>
            <w:shd w:val="clear" w:color="auto" w:fill="FFFFFF"/>
            <w:hideMark/>
          </w:tcPr>
          <w:p w14:paraId="1BBCE0CB" w14:textId="77777777" w:rsidR="00200A70" w:rsidRPr="00AE062A" w:rsidRDefault="00200A70" w:rsidP="00991583">
            <w:pPr>
              <w:rPr>
                <w:rFonts w:ascii="Arial" w:hAnsi="Arial" w:cs="Arial"/>
                <w:sz w:val="16"/>
                <w:szCs w:val="16"/>
              </w:rPr>
            </w:pPr>
            <w:r w:rsidRPr="00AE062A">
              <w:rPr>
                <w:rFonts w:ascii="Arial" w:hAnsi="Arial" w:cs="Arial"/>
                <w:color w:val="000000"/>
                <w:sz w:val="16"/>
                <w:szCs w:val="16"/>
              </w:rPr>
              <w:t>Income (Loss) From Continuing Operations Before Tax</w:t>
            </w:r>
          </w:p>
        </w:tc>
        <w:tc>
          <w:tcPr>
            <w:tcW w:w="720" w:type="dxa"/>
            <w:tcBorders>
              <w:top w:val="outset" w:sz="6" w:space="0" w:color="D0D7E5"/>
              <w:left w:val="outset" w:sz="6" w:space="0" w:color="D0D7E5"/>
              <w:bottom w:val="outset" w:sz="6" w:space="0" w:color="D0D7E5"/>
              <w:right w:val="outset" w:sz="6" w:space="0" w:color="D0D7E5"/>
            </w:tcBorders>
            <w:shd w:val="clear" w:color="auto" w:fill="FFFFFF"/>
            <w:hideMark/>
          </w:tcPr>
          <w:p w14:paraId="38088238" w14:textId="77777777" w:rsidR="00200A70" w:rsidRPr="00AE062A" w:rsidRDefault="00200A70" w:rsidP="00991583">
            <w:pPr>
              <w:jc w:val="center"/>
              <w:rPr>
                <w:rFonts w:ascii="Arial" w:hAnsi="Arial" w:cs="Arial"/>
                <w:sz w:val="16"/>
                <w:szCs w:val="16"/>
              </w:rPr>
            </w:pPr>
            <w:r w:rsidRPr="00AE062A">
              <w:rPr>
                <w:rFonts w:ascii="Arial" w:hAnsi="Arial" w:cs="Arial"/>
                <w:color w:val="000000"/>
                <w:sz w:val="16"/>
                <w:szCs w:val="16"/>
              </w:rPr>
              <w:t>YES</w:t>
            </w:r>
          </w:p>
        </w:tc>
        <w:tc>
          <w:tcPr>
            <w:tcW w:w="810" w:type="dxa"/>
            <w:tcBorders>
              <w:top w:val="outset" w:sz="6" w:space="0" w:color="D0D7E5"/>
              <w:left w:val="outset" w:sz="6" w:space="0" w:color="D0D7E5"/>
              <w:bottom w:val="outset" w:sz="6" w:space="0" w:color="D0D7E5"/>
              <w:right w:val="outset" w:sz="6" w:space="0" w:color="D0D7E5"/>
            </w:tcBorders>
            <w:shd w:val="clear" w:color="auto" w:fill="FFFFFF"/>
            <w:hideMark/>
          </w:tcPr>
          <w:p w14:paraId="39787A35" w14:textId="77777777" w:rsidR="00200A70" w:rsidRPr="00AE062A" w:rsidRDefault="00200A70" w:rsidP="00991583">
            <w:pPr>
              <w:jc w:val="center"/>
              <w:rPr>
                <w:rFonts w:ascii="Arial" w:hAnsi="Arial" w:cs="Arial"/>
                <w:sz w:val="16"/>
                <w:szCs w:val="16"/>
              </w:rPr>
            </w:pPr>
            <w:r w:rsidRPr="00AE062A">
              <w:rPr>
                <w:rFonts w:ascii="Arial" w:hAnsi="Arial" w:cs="Arial"/>
                <w:color w:val="000000"/>
                <w:sz w:val="16"/>
                <w:szCs w:val="16"/>
              </w:rPr>
              <w:t>NO</w:t>
            </w:r>
          </w:p>
        </w:tc>
        <w:tc>
          <w:tcPr>
            <w:tcW w:w="630" w:type="dxa"/>
            <w:tcBorders>
              <w:top w:val="outset" w:sz="6" w:space="0" w:color="D0D7E5"/>
              <w:left w:val="outset" w:sz="6" w:space="0" w:color="D0D7E5"/>
              <w:bottom w:val="outset" w:sz="6" w:space="0" w:color="D0D7E5"/>
              <w:right w:val="outset" w:sz="6" w:space="0" w:color="D0D7E5"/>
            </w:tcBorders>
            <w:shd w:val="clear" w:color="auto" w:fill="FFFFFF"/>
            <w:hideMark/>
          </w:tcPr>
          <w:p w14:paraId="5DF51141" w14:textId="77777777" w:rsidR="00200A70" w:rsidRPr="00AE062A" w:rsidRDefault="00200A70" w:rsidP="00991583">
            <w:pPr>
              <w:jc w:val="center"/>
              <w:rPr>
                <w:rFonts w:ascii="Arial" w:hAnsi="Arial" w:cs="Arial"/>
                <w:sz w:val="16"/>
                <w:szCs w:val="16"/>
              </w:rPr>
            </w:pPr>
            <w:r w:rsidRPr="00AE062A">
              <w:rPr>
                <w:rFonts w:ascii="Arial" w:hAnsi="Arial" w:cs="Arial"/>
                <w:color w:val="000000"/>
                <w:sz w:val="16"/>
                <w:szCs w:val="16"/>
              </w:rPr>
              <w:t>NO</w:t>
            </w:r>
          </w:p>
        </w:tc>
        <w:tc>
          <w:tcPr>
            <w:tcW w:w="810" w:type="dxa"/>
            <w:tcBorders>
              <w:top w:val="outset" w:sz="6" w:space="0" w:color="D0D7E5"/>
              <w:left w:val="outset" w:sz="6" w:space="0" w:color="D0D7E5"/>
              <w:bottom w:val="outset" w:sz="6" w:space="0" w:color="D0D7E5"/>
              <w:right w:val="outset" w:sz="6" w:space="0" w:color="D0D7E5"/>
            </w:tcBorders>
            <w:shd w:val="clear" w:color="auto" w:fill="FFFFFF"/>
            <w:hideMark/>
          </w:tcPr>
          <w:p w14:paraId="1DA3C7D4" w14:textId="77777777" w:rsidR="00200A70" w:rsidRPr="00AE062A" w:rsidRDefault="00200A70" w:rsidP="00991583">
            <w:pPr>
              <w:jc w:val="center"/>
              <w:rPr>
                <w:rFonts w:ascii="Arial" w:hAnsi="Arial" w:cs="Arial"/>
                <w:sz w:val="16"/>
                <w:szCs w:val="16"/>
              </w:rPr>
            </w:pPr>
            <w:r w:rsidRPr="00AE062A">
              <w:rPr>
                <w:rFonts w:ascii="Arial" w:hAnsi="Arial" w:cs="Arial"/>
                <w:color w:val="000000"/>
                <w:sz w:val="16"/>
                <w:szCs w:val="16"/>
              </w:rPr>
              <w:t>NO</w:t>
            </w:r>
          </w:p>
        </w:tc>
      </w:tr>
      <w:tr w:rsidR="00200A70" w:rsidRPr="00AE062A" w14:paraId="60739647" w14:textId="77777777" w:rsidTr="00991583">
        <w:trPr>
          <w:tblCellSpacing w:w="0" w:type="dxa"/>
        </w:trPr>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3C600D08" w14:textId="77777777" w:rsidR="00200A70" w:rsidRPr="00AE062A" w:rsidRDefault="00200A70" w:rsidP="00991583">
            <w:pPr>
              <w:rPr>
                <w:rFonts w:ascii="Arial" w:hAnsi="Arial" w:cs="Arial"/>
                <w:sz w:val="16"/>
                <w:szCs w:val="16"/>
              </w:rPr>
            </w:pPr>
            <w:r w:rsidRPr="00AE062A">
              <w:rPr>
                <w:rFonts w:ascii="Arial" w:hAnsi="Arial" w:cs="Arial"/>
                <w:color w:val="000000"/>
                <w:sz w:val="16"/>
                <w:szCs w:val="16"/>
              </w:rPr>
              <w:t>Income statement</w:t>
            </w:r>
          </w:p>
        </w:tc>
        <w:tc>
          <w:tcPr>
            <w:tcW w:w="4531" w:type="dxa"/>
            <w:tcBorders>
              <w:top w:val="outset" w:sz="6" w:space="0" w:color="D0D7E5"/>
              <w:left w:val="outset" w:sz="6" w:space="0" w:color="D0D7E5"/>
              <w:bottom w:val="outset" w:sz="6" w:space="0" w:color="D0D7E5"/>
              <w:right w:val="outset" w:sz="6" w:space="0" w:color="D0D7E5"/>
            </w:tcBorders>
            <w:shd w:val="clear" w:color="auto" w:fill="FFFFFF"/>
            <w:hideMark/>
          </w:tcPr>
          <w:p w14:paraId="4BE0CAFD" w14:textId="77777777" w:rsidR="00200A70" w:rsidRPr="00AE062A" w:rsidRDefault="00200A70" w:rsidP="00991583">
            <w:pPr>
              <w:rPr>
                <w:rFonts w:ascii="Arial" w:hAnsi="Arial" w:cs="Arial"/>
                <w:sz w:val="16"/>
                <w:szCs w:val="16"/>
              </w:rPr>
            </w:pPr>
            <w:r w:rsidRPr="00AE062A">
              <w:rPr>
                <w:rFonts w:ascii="Arial" w:hAnsi="Arial" w:cs="Arial"/>
                <w:color w:val="000000"/>
                <w:sz w:val="16"/>
                <w:szCs w:val="16"/>
              </w:rPr>
              <w:t xml:space="preserve">Income (Loss) From Discontinued Operations, Net </w:t>
            </w:r>
            <w:proofErr w:type="gramStart"/>
            <w:r w:rsidRPr="00AE062A">
              <w:rPr>
                <w:rFonts w:ascii="Arial" w:hAnsi="Arial" w:cs="Arial"/>
                <w:color w:val="000000"/>
                <w:sz w:val="16"/>
                <w:szCs w:val="16"/>
              </w:rPr>
              <w:t>Of</w:t>
            </w:r>
            <w:proofErr w:type="gramEnd"/>
            <w:r w:rsidRPr="00AE062A">
              <w:rPr>
                <w:rFonts w:ascii="Arial" w:hAnsi="Arial" w:cs="Arial"/>
                <w:color w:val="000000"/>
                <w:sz w:val="16"/>
                <w:szCs w:val="16"/>
              </w:rPr>
              <w:t xml:space="preserve"> Tax</w:t>
            </w:r>
          </w:p>
        </w:tc>
        <w:tc>
          <w:tcPr>
            <w:tcW w:w="720" w:type="dxa"/>
            <w:tcBorders>
              <w:top w:val="outset" w:sz="6" w:space="0" w:color="D0D7E5"/>
              <w:left w:val="outset" w:sz="6" w:space="0" w:color="D0D7E5"/>
              <w:bottom w:val="outset" w:sz="6" w:space="0" w:color="D0D7E5"/>
              <w:right w:val="outset" w:sz="6" w:space="0" w:color="D0D7E5"/>
            </w:tcBorders>
            <w:shd w:val="clear" w:color="auto" w:fill="FFFFFF"/>
            <w:hideMark/>
          </w:tcPr>
          <w:p w14:paraId="09D83902" w14:textId="77777777" w:rsidR="00200A70" w:rsidRPr="00AE062A" w:rsidRDefault="00200A70" w:rsidP="00991583">
            <w:pPr>
              <w:jc w:val="center"/>
              <w:rPr>
                <w:rFonts w:ascii="Arial" w:hAnsi="Arial" w:cs="Arial"/>
                <w:sz w:val="16"/>
                <w:szCs w:val="16"/>
              </w:rPr>
            </w:pPr>
            <w:r w:rsidRPr="00AE062A">
              <w:rPr>
                <w:rFonts w:ascii="Arial" w:hAnsi="Arial" w:cs="Arial"/>
                <w:color w:val="000000"/>
                <w:sz w:val="16"/>
                <w:szCs w:val="16"/>
              </w:rPr>
              <w:t>NO</w:t>
            </w:r>
          </w:p>
        </w:tc>
        <w:tc>
          <w:tcPr>
            <w:tcW w:w="810" w:type="dxa"/>
            <w:tcBorders>
              <w:top w:val="outset" w:sz="6" w:space="0" w:color="D0D7E5"/>
              <w:left w:val="outset" w:sz="6" w:space="0" w:color="D0D7E5"/>
              <w:bottom w:val="outset" w:sz="6" w:space="0" w:color="D0D7E5"/>
              <w:right w:val="outset" w:sz="6" w:space="0" w:color="D0D7E5"/>
            </w:tcBorders>
            <w:shd w:val="clear" w:color="auto" w:fill="FFFFFF"/>
            <w:hideMark/>
          </w:tcPr>
          <w:p w14:paraId="470FC72F" w14:textId="77777777" w:rsidR="00200A70" w:rsidRPr="00AE062A" w:rsidRDefault="00200A70" w:rsidP="00991583">
            <w:pPr>
              <w:jc w:val="center"/>
              <w:rPr>
                <w:rFonts w:ascii="Arial" w:hAnsi="Arial" w:cs="Arial"/>
                <w:sz w:val="16"/>
                <w:szCs w:val="16"/>
              </w:rPr>
            </w:pPr>
            <w:r w:rsidRPr="00AE062A">
              <w:rPr>
                <w:rFonts w:ascii="Arial" w:hAnsi="Arial" w:cs="Arial"/>
                <w:color w:val="000000"/>
                <w:sz w:val="16"/>
                <w:szCs w:val="16"/>
              </w:rPr>
              <w:t>NO</w:t>
            </w:r>
          </w:p>
        </w:tc>
        <w:tc>
          <w:tcPr>
            <w:tcW w:w="630" w:type="dxa"/>
            <w:tcBorders>
              <w:top w:val="outset" w:sz="6" w:space="0" w:color="D0D7E5"/>
              <w:left w:val="outset" w:sz="6" w:space="0" w:color="D0D7E5"/>
              <w:bottom w:val="outset" w:sz="6" w:space="0" w:color="D0D7E5"/>
              <w:right w:val="outset" w:sz="6" w:space="0" w:color="D0D7E5"/>
            </w:tcBorders>
            <w:shd w:val="clear" w:color="auto" w:fill="FFFFFF"/>
            <w:hideMark/>
          </w:tcPr>
          <w:p w14:paraId="43593E86" w14:textId="77777777" w:rsidR="00200A70" w:rsidRPr="00AE062A" w:rsidRDefault="00200A70" w:rsidP="00991583">
            <w:pPr>
              <w:jc w:val="center"/>
              <w:rPr>
                <w:rFonts w:ascii="Arial" w:hAnsi="Arial" w:cs="Arial"/>
                <w:sz w:val="16"/>
                <w:szCs w:val="16"/>
              </w:rPr>
            </w:pPr>
            <w:r w:rsidRPr="00AE062A">
              <w:rPr>
                <w:rFonts w:ascii="Arial" w:hAnsi="Arial" w:cs="Arial"/>
                <w:color w:val="000000"/>
                <w:sz w:val="16"/>
                <w:szCs w:val="16"/>
              </w:rPr>
              <w:t>NO</w:t>
            </w:r>
          </w:p>
        </w:tc>
        <w:tc>
          <w:tcPr>
            <w:tcW w:w="810" w:type="dxa"/>
            <w:tcBorders>
              <w:top w:val="outset" w:sz="6" w:space="0" w:color="D0D7E5"/>
              <w:left w:val="outset" w:sz="6" w:space="0" w:color="D0D7E5"/>
              <w:bottom w:val="outset" w:sz="6" w:space="0" w:color="D0D7E5"/>
              <w:right w:val="outset" w:sz="6" w:space="0" w:color="D0D7E5"/>
            </w:tcBorders>
            <w:shd w:val="clear" w:color="auto" w:fill="FFFFFF"/>
            <w:hideMark/>
          </w:tcPr>
          <w:p w14:paraId="51C07C76" w14:textId="77777777" w:rsidR="00200A70" w:rsidRPr="00AE062A" w:rsidRDefault="00200A70" w:rsidP="00991583">
            <w:pPr>
              <w:jc w:val="center"/>
              <w:rPr>
                <w:rFonts w:ascii="Arial" w:hAnsi="Arial" w:cs="Arial"/>
                <w:sz w:val="16"/>
                <w:szCs w:val="16"/>
              </w:rPr>
            </w:pPr>
            <w:r w:rsidRPr="00AE062A">
              <w:rPr>
                <w:rFonts w:ascii="Arial" w:hAnsi="Arial" w:cs="Arial"/>
                <w:color w:val="000000"/>
                <w:sz w:val="16"/>
                <w:szCs w:val="16"/>
              </w:rPr>
              <w:t>NO</w:t>
            </w:r>
          </w:p>
        </w:tc>
      </w:tr>
      <w:tr w:rsidR="00200A70" w:rsidRPr="00AE062A" w14:paraId="7164BAD7" w14:textId="77777777" w:rsidTr="00991583">
        <w:trPr>
          <w:tblCellSpacing w:w="0" w:type="dxa"/>
        </w:trPr>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4D5912B6" w14:textId="77777777" w:rsidR="00200A70" w:rsidRPr="00AE062A" w:rsidRDefault="00200A70" w:rsidP="00991583">
            <w:pPr>
              <w:rPr>
                <w:rFonts w:ascii="Arial" w:hAnsi="Arial" w:cs="Arial"/>
                <w:sz w:val="16"/>
                <w:szCs w:val="16"/>
              </w:rPr>
            </w:pPr>
            <w:r w:rsidRPr="00AE062A">
              <w:rPr>
                <w:rFonts w:ascii="Arial" w:hAnsi="Arial" w:cs="Arial"/>
                <w:color w:val="000000"/>
                <w:sz w:val="16"/>
                <w:szCs w:val="16"/>
              </w:rPr>
              <w:t>Income statement</w:t>
            </w:r>
          </w:p>
        </w:tc>
        <w:tc>
          <w:tcPr>
            <w:tcW w:w="4531" w:type="dxa"/>
            <w:tcBorders>
              <w:top w:val="outset" w:sz="6" w:space="0" w:color="D0D7E5"/>
              <w:left w:val="outset" w:sz="6" w:space="0" w:color="D0D7E5"/>
              <w:bottom w:val="outset" w:sz="6" w:space="0" w:color="D0D7E5"/>
              <w:right w:val="outset" w:sz="6" w:space="0" w:color="D0D7E5"/>
            </w:tcBorders>
            <w:shd w:val="clear" w:color="auto" w:fill="FFFFFF"/>
            <w:hideMark/>
          </w:tcPr>
          <w:p w14:paraId="6D2F9FB0" w14:textId="77777777" w:rsidR="00200A70" w:rsidRPr="00AE062A" w:rsidRDefault="00200A70" w:rsidP="00991583">
            <w:pPr>
              <w:rPr>
                <w:rFonts w:ascii="Arial" w:hAnsi="Arial" w:cs="Arial"/>
                <w:sz w:val="16"/>
                <w:szCs w:val="16"/>
              </w:rPr>
            </w:pPr>
            <w:r w:rsidRPr="00AE062A">
              <w:rPr>
                <w:rFonts w:ascii="Arial" w:hAnsi="Arial" w:cs="Arial"/>
                <w:color w:val="000000"/>
                <w:sz w:val="16"/>
                <w:szCs w:val="16"/>
              </w:rPr>
              <w:t>Income (Loss) From Equity Method Investments</w:t>
            </w:r>
          </w:p>
        </w:tc>
        <w:tc>
          <w:tcPr>
            <w:tcW w:w="720" w:type="dxa"/>
            <w:tcBorders>
              <w:top w:val="outset" w:sz="6" w:space="0" w:color="D0D7E5"/>
              <w:left w:val="outset" w:sz="6" w:space="0" w:color="D0D7E5"/>
              <w:bottom w:val="outset" w:sz="6" w:space="0" w:color="D0D7E5"/>
              <w:right w:val="outset" w:sz="6" w:space="0" w:color="D0D7E5"/>
            </w:tcBorders>
            <w:shd w:val="clear" w:color="auto" w:fill="FFFFFF"/>
            <w:hideMark/>
          </w:tcPr>
          <w:p w14:paraId="570E1F64" w14:textId="77777777" w:rsidR="00200A70" w:rsidRPr="00AE062A" w:rsidRDefault="00200A70" w:rsidP="00991583">
            <w:pPr>
              <w:jc w:val="center"/>
              <w:rPr>
                <w:rFonts w:ascii="Arial" w:hAnsi="Arial" w:cs="Arial"/>
                <w:sz w:val="16"/>
                <w:szCs w:val="16"/>
              </w:rPr>
            </w:pPr>
            <w:r w:rsidRPr="00AE062A">
              <w:rPr>
                <w:rFonts w:ascii="Arial" w:hAnsi="Arial" w:cs="Arial"/>
                <w:color w:val="000000"/>
                <w:sz w:val="16"/>
                <w:szCs w:val="16"/>
              </w:rPr>
              <w:t>NO</w:t>
            </w:r>
          </w:p>
        </w:tc>
        <w:tc>
          <w:tcPr>
            <w:tcW w:w="810" w:type="dxa"/>
            <w:tcBorders>
              <w:top w:val="outset" w:sz="6" w:space="0" w:color="D0D7E5"/>
              <w:left w:val="outset" w:sz="6" w:space="0" w:color="D0D7E5"/>
              <w:bottom w:val="outset" w:sz="6" w:space="0" w:color="D0D7E5"/>
              <w:right w:val="outset" w:sz="6" w:space="0" w:color="D0D7E5"/>
            </w:tcBorders>
            <w:shd w:val="clear" w:color="auto" w:fill="FFFFFF"/>
            <w:hideMark/>
          </w:tcPr>
          <w:p w14:paraId="53D7344A" w14:textId="77777777" w:rsidR="00200A70" w:rsidRPr="00AE062A" w:rsidRDefault="00200A70" w:rsidP="00991583">
            <w:pPr>
              <w:jc w:val="center"/>
              <w:rPr>
                <w:rFonts w:ascii="Arial" w:hAnsi="Arial" w:cs="Arial"/>
                <w:sz w:val="16"/>
                <w:szCs w:val="16"/>
              </w:rPr>
            </w:pPr>
            <w:r w:rsidRPr="00AE062A">
              <w:rPr>
                <w:rFonts w:ascii="Arial" w:hAnsi="Arial" w:cs="Arial"/>
                <w:color w:val="000000"/>
                <w:sz w:val="16"/>
                <w:szCs w:val="16"/>
              </w:rPr>
              <w:t>NO</w:t>
            </w:r>
          </w:p>
        </w:tc>
        <w:tc>
          <w:tcPr>
            <w:tcW w:w="630" w:type="dxa"/>
            <w:tcBorders>
              <w:top w:val="outset" w:sz="6" w:space="0" w:color="D0D7E5"/>
              <w:left w:val="outset" w:sz="6" w:space="0" w:color="D0D7E5"/>
              <w:bottom w:val="outset" w:sz="6" w:space="0" w:color="D0D7E5"/>
              <w:right w:val="outset" w:sz="6" w:space="0" w:color="D0D7E5"/>
            </w:tcBorders>
            <w:shd w:val="clear" w:color="auto" w:fill="FFFFFF"/>
            <w:hideMark/>
          </w:tcPr>
          <w:p w14:paraId="01FDE97B" w14:textId="77777777" w:rsidR="00200A70" w:rsidRPr="00AE062A" w:rsidRDefault="00200A70" w:rsidP="00991583">
            <w:pPr>
              <w:jc w:val="center"/>
              <w:rPr>
                <w:rFonts w:ascii="Arial" w:hAnsi="Arial" w:cs="Arial"/>
                <w:sz w:val="16"/>
                <w:szCs w:val="16"/>
              </w:rPr>
            </w:pPr>
            <w:r w:rsidRPr="00AE062A">
              <w:rPr>
                <w:rFonts w:ascii="Arial" w:hAnsi="Arial" w:cs="Arial"/>
                <w:color w:val="000000"/>
                <w:sz w:val="16"/>
                <w:szCs w:val="16"/>
              </w:rPr>
              <w:t>NO</w:t>
            </w:r>
          </w:p>
        </w:tc>
        <w:tc>
          <w:tcPr>
            <w:tcW w:w="810" w:type="dxa"/>
            <w:tcBorders>
              <w:top w:val="outset" w:sz="6" w:space="0" w:color="D0D7E5"/>
              <w:left w:val="outset" w:sz="6" w:space="0" w:color="D0D7E5"/>
              <w:bottom w:val="outset" w:sz="6" w:space="0" w:color="D0D7E5"/>
              <w:right w:val="outset" w:sz="6" w:space="0" w:color="D0D7E5"/>
            </w:tcBorders>
            <w:shd w:val="clear" w:color="auto" w:fill="FFFFFF"/>
            <w:hideMark/>
          </w:tcPr>
          <w:p w14:paraId="04F2CB0F" w14:textId="77777777" w:rsidR="00200A70" w:rsidRPr="00AE062A" w:rsidRDefault="00200A70" w:rsidP="00991583">
            <w:pPr>
              <w:jc w:val="center"/>
              <w:rPr>
                <w:rFonts w:ascii="Arial" w:hAnsi="Arial" w:cs="Arial"/>
                <w:sz w:val="16"/>
                <w:szCs w:val="16"/>
              </w:rPr>
            </w:pPr>
            <w:r w:rsidRPr="00AE062A">
              <w:rPr>
                <w:rFonts w:ascii="Arial" w:hAnsi="Arial" w:cs="Arial"/>
                <w:color w:val="000000"/>
                <w:sz w:val="16"/>
                <w:szCs w:val="16"/>
              </w:rPr>
              <w:t>NO</w:t>
            </w:r>
          </w:p>
        </w:tc>
      </w:tr>
      <w:tr w:rsidR="00200A70" w:rsidRPr="00AE062A" w14:paraId="6A0A4ED1" w14:textId="77777777" w:rsidTr="00991583">
        <w:trPr>
          <w:tblCellSpacing w:w="0" w:type="dxa"/>
        </w:trPr>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4060CA60" w14:textId="77777777" w:rsidR="00200A70" w:rsidRPr="00AE062A" w:rsidRDefault="00200A70" w:rsidP="00991583">
            <w:pPr>
              <w:rPr>
                <w:rFonts w:ascii="Arial" w:hAnsi="Arial" w:cs="Arial"/>
                <w:sz w:val="16"/>
                <w:szCs w:val="16"/>
              </w:rPr>
            </w:pPr>
            <w:r w:rsidRPr="00AE062A">
              <w:rPr>
                <w:rFonts w:ascii="Arial" w:hAnsi="Arial" w:cs="Arial"/>
                <w:color w:val="000000"/>
                <w:sz w:val="16"/>
                <w:szCs w:val="16"/>
              </w:rPr>
              <w:t>Income statement</w:t>
            </w:r>
          </w:p>
        </w:tc>
        <w:tc>
          <w:tcPr>
            <w:tcW w:w="4531" w:type="dxa"/>
            <w:tcBorders>
              <w:top w:val="outset" w:sz="6" w:space="0" w:color="D0D7E5"/>
              <w:left w:val="outset" w:sz="6" w:space="0" w:color="D0D7E5"/>
              <w:bottom w:val="outset" w:sz="6" w:space="0" w:color="D0D7E5"/>
              <w:right w:val="outset" w:sz="6" w:space="0" w:color="D0D7E5"/>
            </w:tcBorders>
            <w:shd w:val="clear" w:color="auto" w:fill="FFFFFF"/>
            <w:hideMark/>
          </w:tcPr>
          <w:p w14:paraId="5C408E61" w14:textId="77777777" w:rsidR="00200A70" w:rsidRPr="00AE062A" w:rsidRDefault="00200A70" w:rsidP="00991583">
            <w:pPr>
              <w:rPr>
                <w:rFonts w:ascii="Arial" w:hAnsi="Arial" w:cs="Arial"/>
                <w:sz w:val="16"/>
                <w:szCs w:val="16"/>
              </w:rPr>
            </w:pPr>
            <w:r w:rsidRPr="00AE062A">
              <w:rPr>
                <w:rFonts w:ascii="Arial" w:hAnsi="Arial" w:cs="Arial"/>
                <w:color w:val="000000"/>
                <w:sz w:val="16"/>
                <w:szCs w:val="16"/>
              </w:rPr>
              <w:t>Income Tax Expense (Benefit)</w:t>
            </w:r>
          </w:p>
        </w:tc>
        <w:tc>
          <w:tcPr>
            <w:tcW w:w="720" w:type="dxa"/>
            <w:tcBorders>
              <w:top w:val="outset" w:sz="6" w:space="0" w:color="D0D7E5"/>
              <w:left w:val="outset" w:sz="6" w:space="0" w:color="D0D7E5"/>
              <w:bottom w:val="outset" w:sz="6" w:space="0" w:color="D0D7E5"/>
              <w:right w:val="outset" w:sz="6" w:space="0" w:color="D0D7E5"/>
            </w:tcBorders>
            <w:shd w:val="clear" w:color="auto" w:fill="FFFFFF"/>
            <w:hideMark/>
          </w:tcPr>
          <w:p w14:paraId="33A30059" w14:textId="77777777" w:rsidR="00200A70" w:rsidRPr="00AE062A" w:rsidRDefault="00200A70" w:rsidP="00991583">
            <w:pPr>
              <w:jc w:val="center"/>
              <w:rPr>
                <w:rFonts w:ascii="Arial" w:hAnsi="Arial" w:cs="Arial"/>
                <w:sz w:val="16"/>
                <w:szCs w:val="16"/>
              </w:rPr>
            </w:pPr>
            <w:r w:rsidRPr="00AE062A">
              <w:rPr>
                <w:rFonts w:ascii="Arial" w:hAnsi="Arial" w:cs="Arial"/>
                <w:color w:val="000000"/>
                <w:sz w:val="16"/>
                <w:szCs w:val="16"/>
              </w:rPr>
              <w:t>YES</w:t>
            </w:r>
          </w:p>
        </w:tc>
        <w:tc>
          <w:tcPr>
            <w:tcW w:w="810" w:type="dxa"/>
            <w:tcBorders>
              <w:top w:val="outset" w:sz="6" w:space="0" w:color="D0D7E5"/>
              <w:left w:val="outset" w:sz="6" w:space="0" w:color="D0D7E5"/>
              <w:bottom w:val="outset" w:sz="6" w:space="0" w:color="D0D7E5"/>
              <w:right w:val="outset" w:sz="6" w:space="0" w:color="D0D7E5"/>
            </w:tcBorders>
            <w:shd w:val="clear" w:color="auto" w:fill="FFFFFF"/>
            <w:hideMark/>
          </w:tcPr>
          <w:p w14:paraId="0F511965" w14:textId="77777777" w:rsidR="00200A70" w:rsidRPr="00AE062A" w:rsidRDefault="00200A70" w:rsidP="00991583">
            <w:pPr>
              <w:jc w:val="center"/>
              <w:rPr>
                <w:rFonts w:ascii="Arial" w:hAnsi="Arial" w:cs="Arial"/>
                <w:sz w:val="16"/>
                <w:szCs w:val="16"/>
              </w:rPr>
            </w:pPr>
            <w:r w:rsidRPr="00AE062A">
              <w:rPr>
                <w:rFonts w:ascii="Arial" w:hAnsi="Arial" w:cs="Arial"/>
                <w:color w:val="000000"/>
                <w:sz w:val="16"/>
                <w:szCs w:val="16"/>
              </w:rPr>
              <w:t>NO</w:t>
            </w:r>
          </w:p>
        </w:tc>
        <w:tc>
          <w:tcPr>
            <w:tcW w:w="630" w:type="dxa"/>
            <w:tcBorders>
              <w:top w:val="outset" w:sz="6" w:space="0" w:color="D0D7E5"/>
              <w:left w:val="outset" w:sz="6" w:space="0" w:color="D0D7E5"/>
              <w:bottom w:val="outset" w:sz="6" w:space="0" w:color="D0D7E5"/>
              <w:right w:val="outset" w:sz="6" w:space="0" w:color="D0D7E5"/>
            </w:tcBorders>
            <w:shd w:val="clear" w:color="auto" w:fill="FFFFFF"/>
            <w:hideMark/>
          </w:tcPr>
          <w:p w14:paraId="354800F9" w14:textId="77777777" w:rsidR="00200A70" w:rsidRPr="00AE062A" w:rsidRDefault="00200A70" w:rsidP="00991583">
            <w:pPr>
              <w:jc w:val="center"/>
              <w:rPr>
                <w:rFonts w:ascii="Arial" w:hAnsi="Arial" w:cs="Arial"/>
                <w:sz w:val="16"/>
                <w:szCs w:val="16"/>
              </w:rPr>
            </w:pPr>
            <w:r w:rsidRPr="00AE062A">
              <w:rPr>
                <w:rFonts w:ascii="Arial" w:hAnsi="Arial" w:cs="Arial"/>
                <w:color w:val="000000"/>
                <w:sz w:val="16"/>
                <w:szCs w:val="16"/>
              </w:rPr>
              <w:t>NO</w:t>
            </w:r>
          </w:p>
        </w:tc>
        <w:tc>
          <w:tcPr>
            <w:tcW w:w="810" w:type="dxa"/>
            <w:tcBorders>
              <w:top w:val="outset" w:sz="6" w:space="0" w:color="D0D7E5"/>
              <w:left w:val="outset" w:sz="6" w:space="0" w:color="D0D7E5"/>
              <w:bottom w:val="outset" w:sz="6" w:space="0" w:color="D0D7E5"/>
              <w:right w:val="outset" w:sz="6" w:space="0" w:color="D0D7E5"/>
            </w:tcBorders>
            <w:shd w:val="clear" w:color="auto" w:fill="FFFFFF"/>
            <w:hideMark/>
          </w:tcPr>
          <w:p w14:paraId="265A1CA9" w14:textId="77777777" w:rsidR="00200A70" w:rsidRPr="00AE062A" w:rsidRDefault="00200A70" w:rsidP="00991583">
            <w:pPr>
              <w:jc w:val="center"/>
              <w:rPr>
                <w:rFonts w:ascii="Arial" w:hAnsi="Arial" w:cs="Arial"/>
                <w:sz w:val="16"/>
                <w:szCs w:val="16"/>
              </w:rPr>
            </w:pPr>
            <w:r w:rsidRPr="00AE062A">
              <w:rPr>
                <w:rFonts w:ascii="Arial" w:hAnsi="Arial" w:cs="Arial"/>
                <w:color w:val="000000"/>
                <w:sz w:val="16"/>
                <w:szCs w:val="16"/>
              </w:rPr>
              <w:t>YES</w:t>
            </w:r>
          </w:p>
        </w:tc>
      </w:tr>
      <w:tr w:rsidR="00200A70" w:rsidRPr="00AE062A" w14:paraId="36D01F04" w14:textId="77777777" w:rsidTr="00991583">
        <w:trPr>
          <w:tblCellSpacing w:w="0" w:type="dxa"/>
        </w:trPr>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287E9672" w14:textId="77777777" w:rsidR="00200A70" w:rsidRPr="00AE062A" w:rsidRDefault="00200A70" w:rsidP="00991583">
            <w:pPr>
              <w:rPr>
                <w:rFonts w:ascii="Arial" w:hAnsi="Arial" w:cs="Arial"/>
                <w:sz w:val="16"/>
                <w:szCs w:val="16"/>
              </w:rPr>
            </w:pPr>
            <w:r w:rsidRPr="00AE062A">
              <w:rPr>
                <w:rFonts w:ascii="Arial" w:hAnsi="Arial" w:cs="Arial"/>
                <w:color w:val="000000"/>
                <w:sz w:val="16"/>
                <w:szCs w:val="16"/>
              </w:rPr>
              <w:t>Income statement</w:t>
            </w:r>
          </w:p>
        </w:tc>
        <w:tc>
          <w:tcPr>
            <w:tcW w:w="4531" w:type="dxa"/>
            <w:tcBorders>
              <w:top w:val="outset" w:sz="6" w:space="0" w:color="D0D7E5"/>
              <w:left w:val="outset" w:sz="6" w:space="0" w:color="D0D7E5"/>
              <w:bottom w:val="outset" w:sz="6" w:space="0" w:color="D0D7E5"/>
              <w:right w:val="outset" w:sz="6" w:space="0" w:color="D0D7E5"/>
            </w:tcBorders>
            <w:shd w:val="clear" w:color="auto" w:fill="FFFFFF"/>
            <w:hideMark/>
          </w:tcPr>
          <w:p w14:paraId="1B5E6A2F" w14:textId="77777777" w:rsidR="00200A70" w:rsidRPr="00AE062A" w:rsidRDefault="00200A70" w:rsidP="00991583">
            <w:pPr>
              <w:rPr>
                <w:rFonts w:ascii="Arial" w:hAnsi="Arial" w:cs="Arial"/>
                <w:sz w:val="16"/>
                <w:szCs w:val="16"/>
              </w:rPr>
            </w:pPr>
            <w:r w:rsidRPr="00AE062A">
              <w:rPr>
                <w:rFonts w:ascii="Arial" w:hAnsi="Arial" w:cs="Arial"/>
                <w:color w:val="000000"/>
                <w:sz w:val="16"/>
                <w:szCs w:val="16"/>
              </w:rPr>
              <w:t xml:space="preserve">Interest </w:t>
            </w:r>
            <w:proofErr w:type="gramStart"/>
            <w:r w:rsidRPr="00AE062A">
              <w:rPr>
                <w:rFonts w:ascii="Arial" w:hAnsi="Arial" w:cs="Arial"/>
                <w:color w:val="000000"/>
                <w:sz w:val="16"/>
                <w:szCs w:val="16"/>
              </w:rPr>
              <w:t>And</w:t>
            </w:r>
            <w:proofErr w:type="gramEnd"/>
            <w:r w:rsidRPr="00AE062A">
              <w:rPr>
                <w:rFonts w:ascii="Arial" w:hAnsi="Arial" w:cs="Arial"/>
                <w:color w:val="000000"/>
                <w:sz w:val="16"/>
                <w:szCs w:val="16"/>
              </w:rPr>
              <w:t xml:space="preserve"> Debt Expense</w:t>
            </w:r>
          </w:p>
        </w:tc>
        <w:tc>
          <w:tcPr>
            <w:tcW w:w="720" w:type="dxa"/>
            <w:tcBorders>
              <w:top w:val="outset" w:sz="6" w:space="0" w:color="D0D7E5"/>
              <w:left w:val="outset" w:sz="6" w:space="0" w:color="D0D7E5"/>
              <w:bottom w:val="outset" w:sz="6" w:space="0" w:color="D0D7E5"/>
              <w:right w:val="outset" w:sz="6" w:space="0" w:color="D0D7E5"/>
            </w:tcBorders>
            <w:shd w:val="clear" w:color="auto" w:fill="FFFFFF"/>
            <w:hideMark/>
          </w:tcPr>
          <w:p w14:paraId="101C4D97" w14:textId="77777777" w:rsidR="00200A70" w:rsidRPr="00AE062A" w:rsidRDefault="00200A70" w:rsidP="00991583">
            <w:pPr>
              <w:jc w:val="center"/>
              <w:rPr>
                <w:rFonts w:ascii="Arial" w:hAnsi="Arial" w:cs="Arial"/>
                <w:sz w:val="16"/>
                <w:szCs w:val="16"/>
              </w:rPr>
            </w:pPr>
            <w:r w:rsidRPr="00AE062A">
              <w:rPr>
                <w:rFonts w:ascii="Arial" w:hAnsi="Arial" w:cs="Arial"/>
                <w:color w:val="000000"/>
                <w:sz w:val="16"/>
                <w:szCs w:val="16"/>
              </w:rPr>
              <w:t>YES</w:t>
            </w:r>
          </w:p>
        </w:tc>
        <w:tc>
          <w:tcPr>
            <w:tcW w:w="810" w:type="dxa"/>
            <w:tcBorders>
              <w:top w:val="outset" w:sz="6" w:space="0" w:color="D0D7E5"/>
              <w:left w:val="outset" w:sz="6" w:space="0" w:color="D0D7E5"/>
              <w:bottom w:val="outset" w:sz="6" w:space="0" w:color="D0D7E5"/>
              <w:right w:val="outset" w:sz="6" w:space="0" w:color="D0D7E5"/>
            </w:tcBorders>
            <w:shd w:val="clear" w:color="auto" w:fill="FFFFFF"/>
            <w:hideMark/>
          </w:tcPr>
          <w:p w14:paraId="28D95C65" w14:textId="77777777" w:rsidR="00200A70" w:rsidRPr="00AE062A" w:rsidRDefault="00200A70" w:rsidP="00991583">
            <w:pPr>
              <w:jc w:val="center"/>
              <w:rPr>
                <w:rFonts w:ascii="Arial" w:hAnsi="Arial" w:cs="Arial"/>
                <w:sz w:val="16"/>
                <w:szCs w:val="16"/>
              </w:rPr>
            </w:pPr>
            <w:r w:rsidRPr="00AE062A">
              <w:rPr>
                <w:rFonts w:ascii="Arial" w:hAnsi="Arial" w:cs="Arial"/>
                <w:color w:val="000000"/>
                <w:sz w:val="16"/>
                <w:szCs w:val="16"/>
              </w:rPr>
              <w:t>NO</w:t>
            </w:r>
          </w:p>
        </w:tc>
        <w:tc>
          <w:tcPr>
            <w:tcW w:w="630" w:type="dxa"/>
            <w:tcBorders>
              <w:top w:val="outset" w:sz="6" w:space="0" w:color="D0D7E5"/>
              <w:left w:val="outset" w:sz="6" w:space="0" w:color="D0D7E5"/>
              <w:bottom w:val="outset" w:sz="6" w:space="0" w:color="D0D7E5"/>
              <w:right w:val="outset" w:sz="6" w:space="0" w:color="D0D7E5"/>
            </w:tcBorders>
            <w:shd w:val="clear" w:color="auto" w:fill="FFFFFF"/>
            <w:hideMark/>
          </w:tcPr>
          <w:p w14:paraId="35BA4D8F" w14:textId="77777777" w:rsidR="00200A70" w:rsidRPr="00AE062A" w:rsidRDefault="00200A70" w:rsidP="00991583">
            <w:pPr>
              <w:jc w:val="center"/>
              <w:rPr>
                <w:rFonts w:ascii="Arial" w:hAnsi="Arial" w:cs="Arial"/>
                <w:sz w:val="16"/>
                <w:szCs w:val="16"/>
              </w:rPr>
            </w:pPr>
            <w:r w:rsidRPr="00AE062A">
              <w:rPr>
                <w:rFonts w:ascii="Arial" w:hAnsi="Arial" w:cs="Arial"/>
                <w:color w:val="000000"/>
                <w:sz w:val="16"/>
                <w:szCs w:val="16"/>
              </w:rPr>
              <w:t>NO</w:t>
            </w:r>
          </w:p>
        </w:tc>
        <w:tc>
          <w:tcPr>
            <w:tcW w:w="810" w:type="dxa"/>
            <w:tcBorders>
              <w:top w:val="outset" w:sz="6" w:space="0" w:color="D0D7E5"/>
              <w:left w:val="outset" w:sz="6" w:space="0" w:color="D0D7E5"/>
              <w:bottom w:val="outset" w:sz="6" w:space="0" w:color="D0D7E5"/>
              <w:right w:val="outset" w:sz="6" w:space="0" w:color="D0D7E5"/>
            </w:tcBorders>
            <w:shd w:val="clear" w:color="auto" w:fill="FFFFFF"/>
            <w:hideMark/>
          </w:tcPr>
          <w:p w14:paraId="473E29A3" w14:textId="77777777" w:rsidR="00200A70" w:rsidRPr="00AE062A" w:rsidRDefault="00200A70" w:rsidP="00991583">
            <w:pPr>
              <w:jc w:val="center"/>
              <w:rPr>
                <w:rFonts w:ascii="Arial" w:hAnsi="Arial" w:cs="Arial"/>
                <w:sz w:val="16"/>
                <w:szCs w:val="16"/>
              </w:rPr>
            </w:pPr>
            <w:r w:rsidRPr="00AE062A">
              <w:rPr>
                <w:rFonts w:ascii="Arial" w:hAnsi="Arial" w:cs="Arial"/>
                <w:color w:val="000000"/>
                <w:sz w:val="16"/>
                <w:szCs w:val="16"/>
              </w:rPr>
              <w:t>YES</w:t>
            </w:r>
          </w:p>
        </w:tc>
      </w:tr>
      <w:tr w:rsidR="00200A70" w:rsidRPr="00AE062A" w14:paraId="56F493EF" w14:textId="77777777" w:rsidTr="00991583">
        <w:trPr>
          <w:tblCellSpacing w:w="0" w:type="dxa"/>
        </w:trPr>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6942BD42" w14:textId="77777777" w:rsidR="00200A70" w:rsidRPr="00AE062A" w:rsidRDefault="00200A70" w:rsidP="00991583">
            <w:pPr>
              <w:rPr>
                <w:rFonts w:ascii="Arial" w:hAnsi="Arial" w:cs="Arial"/>
                <w:sz w:val="16"/>
                <w:szCs w:val="16"/>
              </w:rPr>
            </w:pPr>
            <w:r w:rsidRPr="00AE062A">
              <w:rPr>
                <w:rFonts w:ascii="Arial" w:hAnsi="Arial" w:cs="Arial"/>
                <w:color w:val="000000"/>
                <w:sz w:val="16"/>
                <w:szCs w:val="16"/>
              </w:rPr>
              <w:t>Income statement</w:t>
            </w:r>
          </w:p>
        </w:tc>
        <w:tc>
          <w:tcPr>
            <w:tcW w:w="4531" w:type="dxa"/>
            <w:tcBorders>
              <w:top w:val="outset" w:sz="6" w:space="0" w:color="D0D7E5"/>
              <w:left w:val="outset" w:sz="6" w:space="0" w:color="D0D7E5"/>
              <w:bottom w:val="outset" w:sz="6" w:space="0" w:color="D0D7E5"/>
              <w:right w:val="outset" w:sz="6" w:space="0" w:color="D0D7E5"/>
            </w:tcBorders>
            <w:shd w:val="clear" w:color="auto" w:fill="FFFFFF"/>
            <w:hideMark/>
          </w:tcPr>
          <w:p w14:paraId="406380E4" w14:textId="77777777" w:rsidR="00200A70" w:rsidRPr="00AE062A" w:rsidRDefault="00200A70" w:rsidP="00991583">
            <w:pPr>
              <w:rPr>
                <w:rFonts w:ascii="Arial" w:hAnsi="Arial" w:cs="Arial"/>
                <w:sz w:val="16"/>
                <w:szCs w:val="16"/>
              </w:rPr>
            </w:pPr>
            <w:r w:rsidRPr="00AE062A">
              <w:rPr>
                <w:rFonts w:ascii="Arial" w:hAnsi="Arial" w:cs="Arial"/>
                <w:color w:val="000000"/>
                <w:sz w:val="16"/>
                <w:szCs w:val="16"/>
              </w:rPr>
              <w:t>Net Income (Loss)</w:t>
            </w:r>
          </w:p>
        </w:tc>
        <w:tc>
          <w:tcPr>
            <w:tcW w:w="720" w:type="dxa"/>
            <w:tcBorders>
              <w:top w:val="outset" w:sz="6" w:space="0" w:color="D0D7E5"/>
              <w:left w:val="outset" w:sz="6" w:space="0" w:color="D0D7E5"/>
              <w:bottom w:val="outset" w:sz="6" w:space="0" w:color="D0D7E5"/>
              <w:right w:val="outset" w:sz="6" w:space="0" w:color="D0D7E5"/>
            </w:tcBorders>
            <w:shd w:val="clear" w:color="auto" w:fill="FFFFFF"/>
            <w:hideMark/>
          </w:tcPr>
          <w:p w14:paraId="44548498" w14:textId="77777777" w:rsidR="00200A70" w:rsidRPr="00AE062A" w:rsidRDefault="00200A70" w:rsidP="00991583">
            <w:pPr>
              <w:jc w:val="center"/>
              <w:rPr>
                <w:rFonts w:ascii="Arial" w:hAnsi="Arial" w:cs="Arial"/>
                <w:sz w:val="16"/>
                <w:szCs w:val="16"/>
              </w:rPr>
            </w:pPr>
            <w:r w:rsidRPr="00AE062A">
              <w:rPr>
                <w:rFonts w:ascii="Arial" w:hAnsi="Arial" w:cs="Arial"/>
                <w:color w:val="000000"/>
                <w:sz w:val="16"/>
                <w:szCs w:val="16"/>
              </w:rPr>
              <w:t>YES</w:t>
            </w:r>
          </w:p>
        </w:tc>
        <w:tc>
          <w:tcPr>
            <w:tcW w:w="810" w:type="dxa"/>
            <w:tcBorders>
              <w:top w:val="outset" w:sz="6" w:space="0" w:color="D0D7E5"/>
              <w:left w:val="outset" w:sz="6" w:space="0" w:color="D0D7E5"/>
              <w:bottom w:val="outset" w:sz="6" w:space="0" w:color="D0D7E5"/>
              <w:right w:val="outset" w:sz="6" w:space="0" w:color="D0D7E5"/>
            </w:tcBorders>
            <w:shd w:val="clear" w:color="auto" w:fill="FFFFFF"/>
            <w:hideMark/>
          </w:tcPr>
          <w:p w14:paraId="796F85EB" w14:textId="77777777" w:rsidR="00200A70" w:rsidRPr="00AE062A" w:rsidRDefault="00200A70" w:rsidP="00991583">
            <w:pPr>
              <w:jc w:val="center"/>
              <w:rPr>
                <w:rFonts w:ascii="Arial" w:hAnsi="Arial" w:cs="Arial"/>
                <w:sz w:val="16"/>
                <w:szCs w:val="16"/>
              </w:rPr>
            </w:pPr>
            <w:r w:rsidRPr="00AE062A">
              <w:rPr>
                <w:rFonts w:ascii="Arial" w:hAnsi="Arial" w:cs="Arial"/>
                <w:color w:val="000000"/>
                <w:sz w:val="16"/>
                <w:szCs w:val="16"/>
              </w:rPr>
              <w:t>NO</w:t>
            </w:r>
          </w:p>
        </w:tc>
        <w:tc>
          <w:tcPr>
            <w:tcW w:w="630" w:type="dxa"/>
            <w:tcBorders>
              <w:top w:val="outset" w:sz="6" w:space="0" w:color="D0D7E5"/>
              <w:left w:val="outset" w:sz="6" w:space="0" w:color="D0D7E5"/>
              <w:bottom w:val="outset" w:sz="6" w:space="0" w:color="D0D7E5"/>
              <w:right w:val="outset" w:sz="6" w:space="0" w:color="D0D7E5"/>
            </w:tcBorders>
            <w:shd w:val="clear" w:color="auto" w:fill="FFFFFF"/>
            <w:hideMark/>
          </w:tcPr>
          <w:p w14:paraId="46718C3F" w14:textId="77777777" w:rsidR="00200A70" w:rsidRPr="00AE062A" w:rsidRDefault="00200A70" w:rsidP="00991583">
            <w:pPr>
              <w:jc w:val="center"/>
              <w:rPr>
                <w:rFonts w:ascii="Arial" w:hAnsi="Arial" w:cs="Arial"/>
                <w:sz w:val="16"/>
                <w:szCs w:val="16"/>
              </w:rPr>
            </w:pPr>
            <w:r w:rsidRPr="00AE062A">
              <w:rPr>
                <w:rFonts w:ascii="Arial" w:hAnsi="Arial" w:cs="Arial"/>
                <w:color w:val="000000"/>
                <w:sz w:val="16"/>
                <w:szCs w:val="16"/>
              </w:rPr>
              <w:t>NO</w:t>
            </w:r>
          </w:p>
        </w:tc>
        <w:tc>
          <w:tcPr>
            <w:tcW w:w="810" w:type="dxa"/>
            <w:tcBorders>
              <w:top w:val="outset" w:sz="6" w:space="0" w:color="D0D7E5"/>
              <w:left w:val="outset" w:sz="6" w:space="0" w:color="D0D7E5"/>
              <w:bottom w:val="outset" w:sz="6" w:space="0" w:color="D0D7E5"/>
              <w:right w:val="outset" w:sz="6" w:space="0" w:color="D0D7E5"/>
            </w:tcBorders>
            <w:shd w:val="clear" w:color="auto" w:fill="FFFFFF"/>
            <w:hideMark/>
          </w:tcPr>
          <w:p w14:paraId="0D1E1ABE" w14:textId="77777777" w:rsidR="00200A70" w:rsidRPr="00AE062A" w:rsidRDefault="00200A70" w:rsidP="00991583">
            <w:pPr>
              <w:jc w:val="center"/>
              <w:rPr>
                <w:rFonts w:ascii="Arial" w:hAnsi="Arial" w:cs="Arial"/>
                <w:sz w:val="16"/>
                <w:szCs w:val="16"/>
              </w:rPr>
            </w:pPr>
            <w:r w:rsidRPr="00AE062A">
              <w:rPr>
                <w:rFonts w:ascii="Arial" w:hAnsi="Arial" w:cs="Arial"/>
                <w:color w:val="000000"/>
                <w:sz w:val="16"/>
                <w:szCs w:val="16"/>
              </w:rPr>
              <w:t>NO</w:t>
            </w:r>
          </w:p>
        </w:tc>
      </w:tr>
      <w:tr w:rsidR="00200A70" w:rsidRPr="00AE062A" w14:paraId="3DD82367" w14:textId="77777777" w:rsidTr="00991583">
        <w:trPr>
          <w:tblCellSpacing w:w="0" w:type="dxa"/>
        </w:trPr>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7FDC1867" w14:textId="77777777" w:rsidR="00200A70" w:rsidRPr="00AE062A" w:rsidRDefault="00200A70" w:rsidP="00991583">
            <w:pPr>
              <w:rPr>
                <w:rFonts w:ascii="Arial" w:hAnsi="Arial" w:cs="Arial"/>
                <w:sz w:val="16"/>
                <w:szCs w:val="16"/>
              </w:rPr>
            </w:pPr>
            <w:r w:rsidRPr="00AE062A">
              <w:rPr>
                <w:rFonts w:ascii="Arial" w:hAnsi="Arial" w:cs="Arial"/>
                <w:color w:val="000000"/>
                <w:sz w:val="16"/>
                <w:szCs w:val="16"/>
              </w:rPr>
              <w:t>Income statement</w:t>
            </w:r>
          </w:p>
        </w:tc>
        <w:tc>
          <w:tcPr>
            <w:tcW w:w="4531" w:type="dxa"/>
            <w:tcBorders>
              <w:top w:val="outset" w:sz="6" w:space="0" w:color="D0D7E5"/>
              <w:left w:val="outset" w:sz="6" w:space="0" w:color="D0D7E5"/>
              <w:bottom w:val="outset" w:sz="6" w:space="0" w:color="D0D7E5"/>
              <w:right w:val="outset" w:sz="6" w:space="0" w:color="D0D7E5"/>
            </w:tcBorders>
            <w:shd w:val="clear" w:color="auto" w:fill="FFFFFF"/>
            <w:hideMark/>
          </w:tcPr>
          <w:p w14:paraId="39A12CCB" w14:textId="77777777" w:rsidR="00200A70" w:rsidRPr="00AE062A" w:rsidRDefault="00200A70" w:rsidP="00991583">
            <w:pPr>
              <w:rPr>
                <w:rFonts w:ascii="Arial" w:hAnsi="Arial" w:cs="Arial"/>
                <w:sz w:val="16"/>
                <w:szCs w:val="16"/>
              </w:rPr>
            </w:pPr>
            <w:r w:rsidRPr="00AE062A">
              <w:rPr>
                <w:rFonts w:ascii="Arial" w:hAnsi="Arial" w:cs="Arial"/>
                <w:color w:val="000000"/>
                <w:sz w:val="16"/>
                <w:szCs w:val="16"/>
              </w:rPr>
              <w:t xml:space="preserve">Net Income (Loss) Attributable </w:t>
            </w:r>
            <w:proofErr w:type="gramStart"/>
            <w:r w:rsidRPr="00AE062A">
              <w:rPr>
                <w:rFonts w:ascii="Arial" w:hAnsi="Arial" w:cs="Arial"/>
                <w:color w:val="000000"/>
                <w:sz w:val="16"/>
                <w:szCs w:val="16"/>
              </w:rPr>
              <w:t>To</w:t>
            </w:r>
            <w:proofErr w:type="gramEnd"/>
            <w:r w:rsidRPr="00AE062A">
              <w:rPr>
                <w:rFonts w:ascii="Arial" w:hAnsi="Arial" w:cs="Arial"/>
                <w:color w:val="000000"/>
                <w:sz w:val="16"/>
                <w:szCs w:val="16"/>
              </w:rPr>
              <w:t xml:space="preserve"> Noncontrolling Interest</w:t>
            </w:r>
          </w:p>
        </w:tc>
        <w:tc>
          <w:tcPr>
            <w:tcW w:w="720" w:type="dxa"/>
            <w:tcBorders>
              <w:top w:val="outset" w:sz="6" w:space="0" w:color="D0D7E5"/>
              <w:left w:val="outset" w:sz="6" w:space="0" w:color="D0D7E5"/>
              <w:bottom w:val="outset" w:sz="6" w:space="0" w:color="D0D7E5"/>
              <w:right w:val="outset" w:sz="6" w:space="0" w:color="D0D7E5"/>
            </w:tcBorders>
            <w:shd w:val="clear" w:color="auto" w:fill="FFFFFF"/>
            <w:hideMark/>
          </w:tcPr>
          <w:p w14:paraId="77402782" w14:textId="77777777" w:rsidR="00200A70" w:rsidRPr="00AE062A" w:rsidRDefault="00200A70" w:rsidP="00991583">
            <w:pPr>
              <w:jc w:val="center"/>
              <w:rPr>
                <w:rFonts w:ascii="Arial" w:hAnsi="Arial" w:cs="Arial"/>
                <w:sz w:val="16"/>
                <w:szCs w:val="16"/>
              </w:rPr>
            </w:pPr>
            <w:r w:rsidRPr="00AE062A">
              <w:rPr>
                <w:rFonts w:ascii="Arial" w:hAnsi="Arial" w:cs="Arial"/>
                <w:color w:val="000000"/>
                <w:sz w:val="16"/>
                <w:szCs w:val="16"/>
              </w:rPr>
              <w:t>NO</w:t>
            </w:r>
          </w:p>
        </w:tc>
        <w:tc>
          <w:tcPr>
            <w:tcW w:w="810" w:type="dxa"/>
            <w:tcBorders>
              <w:top w:val="outset" w:sz="6" w:space="0" w:color="D0D7E5"/>
              <w:left w:val="outset" w:sz="6" w:space="0" w:color="D0D7E5"/>
              <w:bottom w:val="outset" w:sz="6" w:space="0" w:color="D0D7E5"/>
              <w:right w:val="outset" w:sz="6" w:space="0" w:color="D0D7E5"/>
            </w:tcBorders>
            <w:shd w:val="clear" w:color="auto" w:fill="FFFFFF"/>
            <w:hideMark/>
          </w:tcPr>
          <w:p w14:paraId="7338962B" w14:textId="77777777" w:rsidR="00200A70" w:rsidRPr="00AE062A" w:rsidRDefault="00200A70" w:rsidP="00991583">
            <w:pPr>
              <w:jc w:val="center"/>
              <w:rPr>
                <w:rFonts w:ascii="Arial" w:hAnsi="Arial" w:cs="Arial"/>
                <w:sz w:val="16"/>
                <w:szCs w:val="16"/>
              </w:rPr>
            </w:pPr>
            <w:r w:rsidRPr="00AE062A">
              <w:rPr>
                <w:rFonts w:ascii="Arial" w:hAnsi="Arial" w:cs="Arial"/>
                <w:color w:val="000000"/>
                <w:sz w:val="16"/>
                <w:szCs w:val="16"/>
              </w:rPr>
              <w:t>NO</w:t>
            </w:r>
          </w:p>
        </w:tc>
        <w:tc>
          <w:tcPr>
            <w:tcW w:w="630" w:type="dxa"/>
            <w:tcBorders>
              <w:top w:val="outset" w:sz="6" w:space="0" w:color="D0D7E5"/>
              <w:left w:val="outset" w:sz="6" w:space="0" w:color="D0D7E5"/>
              <w:bottom w:val="outset" w:sz="6" w:space="0" w:color="D0D7E5"/>
              <w:right w:val="outset" w:sz="6" w:space="0" w:color="D0D7E5"/>
            </w:tcBorders>
            <w:shd w:val="clear" w:color="auto" w:fill="FFFFFF"/>
            <w:hideMark/>
          </w:tcPr>
          <w:p w14:paraId="5CE5D7D8" w14:textId="77777777" w:rsidR="00200A70" w:rsidRPr="00AE062A" w:rsidRDefault="00200A70" w:rsidP="00991583">
            <w:pPr>
              <w:jc w:val="center"/>
              <w:rPr>
                <w:rFonts w:ascii="Arial" w:hAnsi="Arial" w:cs="Arial"/>
                <w:sz w:val="16"/>
                <w:szCs w:val="16"/>
              </w:rPr>
            </w:pPr>
            <w:r w:rsidRPr="00AE062A">
              <w:rPr>
                <w:rFonts w:ascii="Arial" w:hAnsi="Arial" w:cs="Arial"/>
                <w:color w:val="000000"/>
                <w:sz w:val="16"/>
                <w:szCs w:val="16"/>
              </w:rPr>
              <w:t>NO</w:t>
            </w:r>
          </w:p>
        </w:tc>
        <w:tc>
          <w:tcPr>
            <w:tcW w:w="810" w:type="dxa"/>
            <w:tcBorders>
              <w:top w:val="outset" w:sz="6" w:space="0" w:color="D0D7E5"/>
              <w:left w:val="outset" w:sz="6" w:space="0" w:color="D0D7E5"/>
              <w:bottom w:val="outset" w:sz="6" w:space="0" w:color="D0D7E5"/>
              <w:right w:val="outset" w:sz="6" w:space="0" w:color="D0D7E5"/>
            </w:tcBorders>
            <w:shd w:val="clear" w:color="auto" w:fill="FFFFFF"/>
            <w:hideMark/>
          </w:tcPr>
          <w:p w14:paraId="78966CC8" w14:textId="77777777" w:rsidR="00200A70" w:rsidRPr="00AE062A" w:rsidRDefault="00200A70" w:rsidP="00991583">
            <w:pPr>
              <w:jc w:val="center"/>
              <w:rPr>
                <w:rFonts w:ascii="Arial" w:hAnsi="Arial" w:cs="Arial"/>
                <w:sz w:val="16"/>
                <w:szCs w:val="16"/>
              </w:rPr>
            </w:pPr>
            <w:r w:rsidRPr="00AE062A">
              <w:rPr>
                <w:rFonts w:ascii="Arial" w:hAnsi="Arial" w:cs="Arial"/>
                <w:color w:val="000000"/>
                <w:sz w:val="16"/>
                <w:szCs w:val="16"/>
              </w:rPr>
              <w:t>NO</w:t>
            </w:r>
          </w:p>
        </w:tc>
      </w:tr>
      <w:tr w:rsidR="00200A70" w:rsidRPr="00AE062A" w14:paraId="73E184AD" w14:textId="77777777" w:rsidTr="00991583">
        <w:trPr>
          <w:tblCellSpacing w:w="0" w:type="dxa"/>
        </w:trPr>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27D2EBE1" w14:textId="77777777" w:rsidR="00200A70" w:rsidRPr="00AE062A" w:rsidRDefault="00200A70" w:rsidP="00991583">
            <w:pPr>
              <w:rPr>
                <w:rFonts w:ascii="Arial" w:hAnsi="Arial" w:cs="Arial"/>
                <w:sz w:val="16"/>
                <w:szCs w:val="16"/>
              </w:rPr>
            </w:pPr>
            <w:r w:rsidRPr="00AE062A">
              <w:rPr>
                <w:rFonts w:ascii="Arial" w:hAnsi="Arial" w:cs="Arial"/>
                <w:color w:val="000000"/>
                <w:sz w:val="16"/>
                <w:szCs w:val="16"/>
              </w:rPr>
              <w:t>Income statement</w:t>
            </w:r>
          </w:p>
        </w:tc>
        <w:tc>
          <w:tcPr>
            <w:tcW w:w="4531" w:type="dxa"/>
            <w:tcBorders>
              <w:top w:val="outset" w:sz="6" w:space="0" w:color="D0D7E5"/>
              <w:left w:val="outset" w:sz="6" w:space="0" w:color="D0D7E5"/>
              <w:bottom w:val="outset" w:sz="6" w:space="0" w:color="D0D7E5"/>
              <w:right w:val="outset" w:sz="6" w:space="0" w:color="D0D7E5"/>
            </w:tcBorders>
            <w:shd w:val="clear" w:color="auto" w:fill="FFFFFF"/>
            <w:hideMark/>
          </w:tcPr>
          <w:p w14:paraId="61AFD8D3" w14:textId="77777777" w:rsidR="00200A70" w:rsidRPr="00AE062A" w:rsidRDefault="00200A70" w:rsidP="00991583">
            <w:pPr>
              <w:rPr>
                <w:rFonts w:ascii="Arial" w:hAnsi="Arial" w:cs="Arial"/>
                <w:sz w:val="16"/>
                <w:szCs w:val="16"/>
              </w:rPr>
            </w:pPr>
            <w:r w:rsidRPr="00AE062A">
              <w:rPr>
                <w:rFonts w:ascii="Arial" w:hAnsi="Arial" w:cs="Arial"/>
                <w:color w:val="000000"/>
                <w:sz w:val="16"/>
                <w:szCs w:val="16"/>
              </w:rPr>
              <w:t xml:space="preserve">Net Income (Loss) Attributable </w:t>
            </w:r>
            <w:proofErr w:type="gramStart"/>
            <w:r w:rsidRPr="00AE062A">
              <w:rPr>
                <w:rFonts w:ascii="Arial" w:hAnsi="Arial" w:cs="Arial"/>
                <w:color w:val="000000"/>
                <w:sz w:val="16"/>
                <w:szCs w:val="16"/>
              </w:rPr>
              <w:t>To</w:t>
            </w:r>
            <w:proofErr w:type="gramEnd"/>
            <w:r w:rsidRPr="00AE062A">
              <w:rPr>
                <w:rFonts w:ascii="Arial" w:hAnsi="Arial" w:cs="Arial"/>
                <w:color w:val="000000"/>
                <w:sz w:val="16"/>
                <w:szCs w:val="16"/>
              </w:rPr>
              <w:t xml:space="preserve"> Parent</w:t>
            </w:r>
          </w:p>
        </w:tc>
        <w:tc>
          <w:tcPr>
            <w:tcW w:w="720" w:type="dxa"/>
            <w:tcBorders>
              <w:top w:val="outset" w:sz="6" w:space="0" w:color="D0D7E5"/>
              <w:left w:val="outset" w:sz="6" w:space="0" w:color="D0D7E5"/>
              <w:bottom w:val="outset" w:sz="6" w:space="0" w:color="D0D7E5"/>
              <w:right w:val="outset" w:sz="6" w:space="0" w:color="D0D7E5"/>
            </w:tcBorders>
            <w:shd w:val="clear" w:color="auto" w:fill="FFFFFF"/>
            <w:hideMark/>
          </w:tcPr>
          <w:p w14:paraId="321DF86F" w14:textId="77777777" w:rsidR="00200A70" w:rsidRPr="00AE062A" w:rsidRDefault="00200A70" w:rsidP="00991583">
            <w:pPr>
              <w:jc w:val="center"/>
              <w:rPr>
                <w:rFonts w:ascii="Arial" w:hAnsi="Arial" w:cs="Arial"/>
                <w:sz w:val="16"/>
                <w:szCs w:val="16"/>
              </w:rPr>
            </w:pPr>
            <w:r w:rsidRPr="00AE062A">
              <w:rPr>
                <w:rFonts w:ascii="Arial" w:hAnsi="Arial" w:cs="Arial"/>
                <w:color w:val="000000"/>
                <w:sz w:val="16"/>
                <w:szCs w:val="16"/>
              </w:rPr>
              <w:t>NO</w:t>
            </w:r>
          </w:p>
        </w:tc>
        <w:tc>
          <w:tcPr>
            <w:tcW w:w="810" w:type="dxa"/>
            <w:tcBorders>
              <w:top w:val="outset" w:sz="6" w:space="0" w:color="D0D7E5"/>
              <w:left w:val="outset" w:sz="6" w:space="0" w:color="D0D7E5"/>
              <w:bottom w:val="outset" w:sz="6" w:space="0" w:color="D0D7E5"/>
              <w:right w:val="outset" w:sz="6" w:space="0" w:color="D0D7E5"/>
            </w:tcBorders>
            <w:shd w:val="clear" w:color="auto" w:fill="FFFFFF"/>
            <w:hideMark/>
          </w:tcPr>
          <w:p w14:paraId="42D095BD" w14:textId="77777777" w:rsidR="00200A70" w:rsidRPr="00AE062A" w:rsidRDefault="00200A70" w:rsidP="00991583">
            <w:pPr>
              <w:jc w:val="center"/>
              <w:rPr>
                <w:rFonts w:ascii="Arial" w:hAnsi="Arial" w:cs="Arial"/>
                <w:sz w:val="16"/>
                <w:szCs w:val="16"/>
              </w:rPr>
            </w:pPr>
            <w:r w:rsidRPr="00AE062A">
              <w:rPr>
                <w:rFonts w:ascii="Arial" w:hAnsi="Arial" w:cs="Arial"/>
                <w:color w:val="000000"/>
                <w:sz w:val="16"/>
                <w:szCs w:val="16"/>
              </w:rPr>
              <w:t>NO</w:t>
            </w:r>
          </w:p>
        </w:tc>
        <w:tc>
          <w:tcPr>
            <w:tcW w:w="630" w:type="dxa"/>
            <w:tcBorders>
              <w:top w:val="outset" w:sz="6" w:space="0" w:color="D0D7E5"/>
              <w:left w:val="outset" w:sz="6" w:space="0" w:color="D0D7E5"/>
              <w:bottom w:val="outset" w:sz="6" w:space="0" w:color="D0D7E5"/>
              <w:right w:val="outset" w:sz="6" w:space="0" w:color="D0D7E5"/>
            </w:tcBorders>
            <w:shd w:val="clear" w:color="auto" w:fill="FFFFFF"/>
            <w:hideMark/>
          </w:tcPr>
          <w:p w14:paraId="570D3E36" w14:textId="77777777" w:rsidR="00200A70" w:rsidRPr="00AE062A" w:rsidRDefault="00200A70" w:rsidP="00991583">
            <w:pPr>
              <w:jc w:val="center"/>
              <w:rPr>
                <w:rFonts w:ascii="Arial" w:hAnsi="Arial" w:cs="Arial"/>
                <w:sz w:val="16"/>
                <w:szCs w:val="16"/>
              </w:rPr>
            </w:pPr>
            <w:r w:rsidRPr="00AE062A">
              <w:rPr>
                <w:rFonts w:ascii="Arial" w:hAnsi="Arial" w:cs="Arial"/>
                <w:color w:val="000000"/>
                <w:sz w:val="16"/>
                <w:szCs w:val="16"/>
              </w:rPr>
              <w:t>NO</w:t>
            </w:r>
          </w:p>
        </w:tc>
        <w:tc>
          <w:tcPr>
            <w:tcW w:w="810" w:type="dxa"/>
            <w:tcBorders>
              <w:top w:val="outset" w:sz="6" w:space="0" w:color="D0D7E5"/>
              <w:left w:val="outset" w:sz="6" w:space="0" w:color="D0D7E5"/>
              <w:bottom w:val="outset" w:sz="6" w:space="0" w:color="D0D7E5"/>
              <w:right w:val="outset" w:sz="6" w:space="0" w:color="D0D7E5"/>
            </w:tcBorders>
            <w:shd w:val="clear" w:color="auto" w:fill="FFFFFF"/>
            <w:hideMark/>
          </w:tcPr>
          <w:p w14:paraId="3218938E" w14:textId="77777777" w:rsidR="00200A70" w:rsidRPr="00AE062A" w:rsidRDefault="00200A70" w:rsidP="00991583">
            <w:pPr>
              <w:jc w:val="center"/>
              <w:rPr>
                <w:rFonts w:ascii="Arial" w:hAnsi="Arial" w:cs="Arial"/>
                <w:sz w:val="16"/>
                <w:szCs w:val="16"/>
              </w:rPr>
            </w:pPr>
            <w:r w:rsidRPr="00AE062A">
              <w:rPr>
                <w:rFonts w:ascii="Arial" w:hAnsi="Arial" w:cs="Arial"/>
                <w:color w:val="000000"/>
                <w:sz w:val="16"/>
                <w:szCs w:val="16"/>
              </w:rPr>
              <w:t>NO</w:t>
            </w:r>
          </w:p>
        </w:tc>
      </w:tr>
      <w:tr w:rsidR="00200A70" w:rsidRPr="00AE062A" w14:paraId="76FA3B30" w14:textId="77777777" w:rsidTr="00991583">
        <w:trPr>
          <w:tblCellSpacing w:w="0" w:type="dxa"/>
        </w:trPr>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2DABD5BD" w14:textId="77777777" w:rsidR="00200A70" w:rsidRPr="00AE062A" w:rsidRDefault="00200A70" w:rsidP="00991583">
            <w:pPr>
              <w:rPr>
                <w:rFonts w:ascii="Arial" w:hAnsi="Arial" w:cs="Arial"/>
                <w:sz w:val="16"/>
                <w:szCs w:val="16"/>
              </w:rPr>
            </w:pPr>
            <w:r w:rsidRPr="00AE062A">
              <w:rPr>
                <w:rFonts w:ascii="Arial" w:hAnsi="Arial" w:cs="Arial"/>
                <w:color w:val="000000"/>
                <w:sz w:val="16"/>
                <w:szCs w:val="16"/>
              </w:rPr>
              <w:t>Income statement</w:t>
            </w:r>
          </w:p>
        </w:tc>
        <w:tc>
          <w:tcPr>
            <w:tcW w:w="4531" w:type="dxa"/>
            <w:tcBorders>
              <w:top w:val="outset" w:sz="6" w:space="0" w:color="D0D7E5"/>
              <w:left w:val="outset" w:sz="6" w:space="0" w:color="D0D7E5"/>
              <w:bottom w:val="outset" w:sz="6" w:space="0" w:color="D0D7E5"/>
              <w:right w:val="outset" w:sz="6" w:space="0" w:color="D0D7E5"/>
            </w:tcBorders>
            <w:shd w:val="clear" w:color="auto" w:fill="FFFFFF"/>
            <w:hideMark/>
          </w:tcPr>
          <w:p w14:paraId="343374EC" w14:textId="77777777" w:rsidR="00200A70" w:rsidRPr="00AE062A" w:rsidRDefault="00200A70" w:rsidP="00991583">
            <w:pPr>
              <w:rPr>
                <w:rFonts w:ascii="Arial" w:hAnsi="Arial" w:cs="Arial"/>
                <w:sz w:val="16"/>
                <w:szCs w:val="16"/>
              </w:rPr>
            </w:pPr>
            <w:r w:rsidRPr="00AE062A">
              <w:rPr>
                <w:rFonts w:ascii="Arial" w:hAnsi="Arial" w:cs="Arial"/>
                <w:color w:val="000000"/>
                <w:sz w:val="16"/>
                <w:szCs w:val="16"/>
              </w:rPr>
              <w:t xml:space="preserve">Net Income (Loss) Available </w:t>
            </w:r>
            <w:proofErr w:type="gramStart"/>
            <w:r w:rsidRPr="00AE062A">
              <w:rPr>
                <w:rFonts w:ascii="Arial" w:hAnsi="Arial" w:cs="Arial"/>
                <w:color w:val="000000"/>
                <w:sz w:val="16"/>
                <w:szCs w:val="16"/>
              </w:rPr>
              <w:t>To</w:t>
            </w:r>
            <w:proofErr w:type="gramEnd"/>
            <w:r w:rsidRPr="00AE062A">
              <w:rPr>
                <w:rFonts w:ascii="Arial" w:hAnsi="Arial" w:cs="Arial"/>
                <w:color w:val="000000"/>
                <w:sz w:val="16"/>
                <w:szCs w:val="16"/>
              </w:rPr>
              <w:t xml:space="preserve"> Common Stockholders, Basic</w:t>
            </w:r>
          </w:p>
        </w:tc>
        <w:tc>
          <w:tcPr>
            <w:tcW w:w="720" w:type="dxa"/>
            <w:tcBorders>
              <w:top w:val="outset" w:sz="6" w:space="0" w:color="D0D7E5"/>
              <w:left w:val="outset" w:sz="6" w:space="0" w:color="D0D7E5"/>
              <w:bottom w:val="outset" w:sz="6" w:space="0" w:color="D0D7E5"/>
              <w:right w:val="outset" w:sz="6" w:space="0" w:color="D0D7E5"/>
            </w:tcBorders>
            <w:shd w:val="clear" w:color="auto" w:fill="FFFFFF"/>
            <w:hideMark/>
          </w:tcPr>
          <w:p w14:paraId="35196397" w14:textId="77777777" w:rsidR="00200A70" w:rsidRPr="00AE062A" w:rsidRDefault="00200A70" w:rsidP="00991583">
            <w:pPr>
              <w:jc w:val="center"/>
              <w:rPr>
                <w:rFonts w:ascii="Arial" w:hAnsi="Arial" w:cs="Arial"/>
                <w:sz w:val="16"/>
                <w:szCs w:val="16"/>
              </w:rPr>
            </w:pPr>
            <w:r w:rsidRPr="00AE062A">
              <w:rPr>
                <w:rFonts w:ascii="Arial" w:hAnsi="Arial" w:cs="Arial"/>
                <w:color w:val="000000"/>
                <w:sz w:val="16"/>
                <w:szCs w:val="16"/>
              </w:rPr>
              <w:t>NO</w:t>
            </w:r>
          </w:p>
        </w:tc>
        <w:tc>
          <w:tcPr>
            <w:tcW w:w="810" w:type="dxa"/>
            <w:tcBorders>
              <w:top w:val="outset" w:sz="6" w:space="0" w:color="D0D7E5"/>
              <w:left w:val="outset" w:sz="6" w:space="0" w:color="D0D7E5"/>
              <w:bottom w:val="outset" w:sz="6" w:space="0" w:color="D0D7E5"/>
              <w:right w:val="outset" w:sz="6" w:space="0" w:color="D0D7E5"/>
            </w:tcBorders>
            <w:shd w:val="clear" w:color="auto" w:fill="FFFFFF"/>
            <w:hideMark/>
          </w:tcPr>
          <w:p w14:paraId="2A0E7A3D" w14:textId="77777777" w:rsidR="00200A70" w:rsidRPr="00AE062A" w:rsidRDefault="00200A70" w:rsidP="00991583">
            <w:pPr>
              <w:jc w:val="center"/>
              <w:rPr>
                <w:rFonts w:ascii="Arial" w:hAnsi="Arial" w:cs="Arial"/>
                <w:sz w:val="16"/>
                <w:szCs w:val="16"/>
              </w:rPr>
            </w:pPr>
            <w:r w:rsidRPr="00AE062A">
              <w:rPr>
                <w:rFonts w:ascii="Arial" w:hAnsi="Arial" w:cs="Arial"/>
                <w:color w:val="000000"/>
                <w:sz w:val="16"/>
                <w:szCs w:val="16"/>
              </w:rPr>
              <w:t>NO</w:t>
            </w:r>
          </w:p>
        </w:tc>
        <w:tc>
          <w:tcPr>
            <w:tcW w:w="630" w:type="dxa"/>
            <w:tcBorders>
              <w:top w:val="outset" w:sz="6" w:space="0" w:color="D0D7E5"/>
              <w:left w:val="outset" w:sz="6" w:space="0" w:color="D0D7E5"/>
              <w:bottom w:val="outset" w:sz="6" w:space="0" w:color="D0D7E5"/>
              <w:right w:val="outset" w:sz="6" w:space="0" w:color="D0D7E5"/>
            </w:tcBorders>
            <w:shd w:val="clear" w:color="auto" w:fill="FFFFFF"/>
            <w:hideMark/>
          </w:tcPr>
          <w:p w14:paraId="08743C99" w14:textId="77777777" w:rsidR="00200A70" w:rsidRPr="00AE062A" w:rsidRDefault="00200A70" w:rsidP="00991583">
            <w:pPr>
              <w:jc w:val="center"/>
              <w:rPr>
                <w:rFonts w:ascii="Arial" w:hAnsi="Arial" w:cs="Arial"/>
                <w:sz w:val="16"/>
                <w:szCs w:val="16"/>
              </w:rPr>
            </w:pPr>
            <w:r w:rsidRPr="00AE062A">
              <w:rPr>
                <w:rFonts w:ascii="Arial" w:hAnsi="Arial" w:cs="Arial"/>
                <w:color w:val="000000"/>
                <w:sz w:val="16"/>
                <w:szCs w:val="16"/>
              </w:rPr>
              <w:t>NO</w:t>
            </w:r>
          </w:p>
        </w:tc>
        <w:tc>
          <w:tcPr>
            <w:tcW w:w="810" w:type="dxa"/>
            <w:tcBorders>
              <w:top w:val="outset" w:sz="6" w:space="0" w:color="D0D7E5"/>
              <w:left w:val="outset" w:sz="6" w:space="0" w:color="D0D7E5"/>
              <w:bottom w:val="outset" w:sz="6" w:space="0" w:color="D0D7E5"/>
              <w:right w:val="outset" w:sz="6" w:space="0" w:color="D0D7E5"/>
            </w:tcBorders>
            <w:shd w:val="clear" w:color="auto" w:fill="FFFFFF"/>
            <w:hideMark/>
          </w:tcPr>
          <w:p w14:paraId="6E45632A" w14:textId="77777777" w:rsidR="00200A70" w:rsidRPr="00AE062A" w:rsidRDefault="00200A70" w:rsidP="00991583">
            <w:pPr>
              <w:jc w:val="center"/>
              <w:rPr>
                <w:rFonts w:ascii="Arial" w:hAnsi="Arial" w:cs="Arial"/>
                <w:sz w:val="16"/>
                <w:szCs w:val="16"/>
              </w:rPr>
            </w:pPr>
            <w:r w:rsidRPr="00AE062A">
              <w:rPr>
                <w:rFonts w:ascii="Arial" w:hAnsi="Arial" w:cs="Arial"/>
                <w:color w:val="000000"/>
                <w:sz w:val="16"/>
                <w:szCs w:val="16"/>
              </w:rPr>
              <w:t>NO</w:t>
            </w:r>
          </w:p>
        </w:tc>
      </w:tr>
      <w:tr w:rsidR="00200A70" w:rsidRPr="00AE062A" w14:paraId="4C3D0013" w14:textId="77777777" w:rsidTr="00991583">
        <w:trPr>
          <w:tblCellSpacing w:w="0" w:type="dxa"/>
        </w:trPr>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78BDA73B" w14:textId="77777777" w:rsidR="00200A70" w:rsidRPr="00AE062A" w:rsidRDefault="00200A70" w:rsidP="00991583">
            <w:pPr>
              <w:rPr>
                <w:rFonts w:ascii="Arial" w:hAnsi="Arial" w:cs="Arial"/>
                <w:sz w:val="16"/>
                <w:szCs w:val="16"/>
              </w:rPr>
            </w:pPr>
            <w:r w:rsidRPr="00AE062A">
              <w:rPr>
                <w:rFonts w:ascii="Arial" w:hAnsi="Arial" w:cs="Arial"/>
                <w:color w:val="000000"/>
                <w:sz w:val="16"/>
                <w:szCs w:val="16"/>
              </w:rPr>
              <w:t>Income statement</w:t>
            </w:r>
          </w:p>
        </w:tc>
        <w:tc>
          <w:tcPr>
            <w:tcW w:w="4531" w:type="dxa"/>
            <w:tcBorders>
              <w:top w:val="outset" w:sz="6" w:space="0" w:color="D0D7E5"/>
              <w:left w:val="outset" w:sz="6" w:space="0" w:color="D0D7E5"/>
              <w:bottom w:val="outset" w:sz="6" w:space="0" w:color="D0D7E5"/>
              <w:right w:val="outset" w:sz="6" w:space="0" w:color="D0D7E5"/>
            </w:tcBorders>
            <w:shd w:val="clear" w:color="auto" w:fill="FFFFFF"/>
            <w:hideMark/>
          </w:tcPr>
          <w:p w14:paraId="1EC579F2" w14:textId="77777777" w:rsidR="00200A70" w:rsidRPr="00AE062A" w:rsidRDefault="00200A70" w:rsidP="00991583">
            <w:pPr>
              <w:rPr>
                <w:rFonts w:ascii="Arial" w:hAnsi="Arial" w:cs="Arial"/>
                <w:sz w:val="16"/>
                <w:szCs w:val="16"/>
              </w:rPr>
            </w:pPr>
            <w:r w:rsidRPr="00AE062A">
              <w:rPr>
                <w:rFonts w:ascii="Arial" w:hAnsi="Arial" w:cs="Arial"/>
                <w:color w:val="000000"/>
                <w:sz w:val="16"/>
                <w:szCs w:val="16"/>
              </w:rPr>
              <w:t>Nonoperating Income (Expense)</w:t>
            </w:r>
          </w:p>
        </w:tc>
        <w:tc>
          <w:tcPr>
            <w:tcW w:w="720" w:type="dxa"/>
            <w:tcBorders>
              <w:top w:val="outset" w:sz="6" w:space="0" w:color="D0D7E5"/>
              <w:left w:val="outset" w:sz="6" w:space="0" w:color="D0D7E5"/>
              <w:bottom w:val="outset" w:sz="6" w:space="0" w:color="D0D7E5"/>
              <w:right w:val="outset" w:sz="6" w:space="0" w:color="D0D7E5"/>
            </w:tcBorders>
            <w:shd w:val="clear" w:color="auto" w:fill="FFFFFF"/>
            <w:hideMark/>
          </w:tcPr>
          <w:p w14:paraId="18E407F7" w14:textId="77777777" w:rsidR="00200A70" w:rsidRPr="00AE062A" w:rsidRDefault="00200A70" w:rsidP="00991583">
            <w:pPr>
              <w:jc w:val="center"/>
              <w:rPr>
                <w:rFonts w:ascii="Arial" w:hAnsi="Arial" w:cs="Arial"/>
                <w:sz w:val="16"/>
                <w:szCs w:val="16"/>
              </w:rPr>
            </w:pPr>
            <w:r w:rsidRPr="00AE062A">
              <w:rPr>
                <w:rFonts w:ascii="Arial" w:hAnsi="Arial" w:cs="Arial"/>
                <w:color w:val="000000"/>
                <w:sz w:val="16"/>
                <w:szCs w:val="16"/>
              </w:rPr>
              <w:t>NO</w:t>
            </w:r>
          </w:p>
        </w:tc>
        <w:tc>
          <w:tcPr>
            <w:tcW w:w="810" w:type="dxa"/>
            <w:tcBorders>
              <w:top w:val="outset" w:sz="6" w:space="0" w:color="D0D7E5"/>
              <w:left w:val="outset" w:sz="6" w:space="0" w:color="D0D7E5"/>
              <w:bottom w:val="outset" w:sz="6" w:space="0" w:color="D0D7E5"/>
              <w:right w:val="outset" w:sz="6" w:space="0" w:color="D0D7E5"/>
            </w:tcBorders>
            <w:shd w:val="clear" w:color="auto" w:fill="FFFFFF"/>
            <w:hideMark/>
          </w:tcPr>
          <w:p w14:paraId="7F125A68" w14:textId="77777777" w:rsidR="00200A70" w:rsidRPr="00AE062A" w:rsidRDefault="00200A70" w:rsidP="00991583">
            <w:pPr>
              <w:jc w:val="center"/>
              <w:rPr>
                <w:rFonts w:ascii="Arial" w:hAnsi="Arial" w:cs="Arial"/>
                <w:sz w:val="16"/>
                <w:szCs w:val="16"/>
              </w:rPr>
            </w:pPr>
            <w:r w:rsidRPr="00AE062A">
              <w:rPr>
                <w:rFonts w:ascii="Arial" w:hAnsi="Arial" w:cs="Arial"/>
                <w:color w:val="000000"/>
                <w:sz w:val="16"/>
                <w:szCs w:val="16"/>
              </w:rPr>
              <w:t>NO</w:t>
            </w:r>
          </w:p>
        </w:tc>
        <w:tc>
          <w:tcPr>
            <w:tcW w:w="630" w:type="dxa"/>
            <w:tcBorders>
              <w:top w:val="outset" w:sz="6" w:space="0" w:color="D0D7E5"/>
              <w:left w:val="outset" w:sz="6" w:space="0" w:color="D0D7E5"/>
              <w:bottom w:val="outset" w:sz="6" w:space="0" w:color="D0D7E5"/>
              <w:right w:val="outset" w:sz="6" w:space="0" w:color="D0D7E5"/>
            </w:tcBorders>
            <w:shd w:val="clear" w:color="auto" w:fill="FFFFFF"/>
            <w:hideMark/>
          </w:tcPr>
          <w:p w14:paraId="7E233326" w14:textId="77777777" w:rsidR="00200A70" w:rsidRPr="00AE062A" w:rsidRDefault="00200A70" w:rsidP="00991583">
            <w:pPr>
              <w:jc w:val="center"/>
              <w:rPr>
                <w:rFonts w:ascii="Arial" w:hAnsi="Arial" w:cs="Arial"/>
                <w:sz w:val="16"/>
                <w:szCs w:val="16"/>
              </w:rPr>
            </w:pPr>
            <w:r w:rsidRPr="00AE062A">
              <w:rPr>
                <w:rFonts w:ascii="Arial" w:hAnsi="Arial" w:cs="Arial"/>
                <w:color w:val="000000"/>
                <w:sz w:val="16"/>
                <w:szCs w:val="16"/>
              </w:rPr>
              <w:t>NO</w:t>
            </w:r>
          </w:p>
        </w:tc>
        <w:tc>
          <w:tcPr>
            <w:tcW w:w="810" w:type="dxa"/>
            <w:tcBorders>
              <w:top w:val="outset" w:sz="6" w:space="0" w:color="D0D7E5"/>
              <w:left w:val="outset" w:sz="6" w:space="0" w:color="D0D7E5"/>
              <w:bottom w:val="outset" w:sz="6" w:space="0" w:color="D0D7E5"/>
              <w:right w:val="outset" w:sz="6" w:space="0" w:color="D0D7E5"/>
            </w:tcBorders>
            <w:shd w:val="clear" w:color="auto" w:fill="FFFFFF"/>
            <w:hideMark/>
          </w:tcPr>
          <w:p w14:paraId="276E4440" w14:textId="77777777" w:rsidR="00200A70" w:rsidRPr="00AE062A" w:rsidRDefault="00200A70" w:rsidP="00991583">
            <w:pPr>
              <w:jc w:val="center"/>
              <w:rPr>
                <w:rFonts w:ascii="Arial" w:hAnsi="Arial" w:cs="Arial"/>
                <w:sz w:val="16"/>
                <w:szCs w:val="16"/>
              </w:rPr>
            </w:pPr>
            <w:r w:rsidRPr="00AE062A">
              <w:rPr>
                <w:rFonts w:ascii="Arial" w:hAnsi="Arial" w:cs="Arial"/>
                <w:color w:val="000000"/>
                <w:sz w:val="16"/>
                <w:szCs w:val="16"/>
              </w:rPr>
              <w:t>YES</w:t>
            </w:r>
          </w:p>
        </w:tc>
      </w:tr>
      <w:tr w:rsidR="00200A70" w:rsidRPr="00AE062A" w14:paraId="5BA6A147" w14:textId="77777777" w:rsidTr="00991583">
        <w:trPr>
          <w:tblCellSpacing w:w="0" w:type="dxa"/>
        </w:trPr>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5B38B4EA" w14:textId="77777777" w:rsidR="00200A70" w:rsidRPr="00AE062A" w:rsidRDefault="00200A70" w:rsidP="00991583">
            <w:pPr>
              <w:rPr>
                <w:rFonts w:ascii="Arial" w:hAnsi="Arial" w:cs="Arial"/>
                <w:sz w:val="16"/>
                <w:szCs w:val="16"/>
              </w:rPr>
            </w:pPr>
            <w:r w:rsidRPr="00AE062A">
              <w:rPr>
                <w:rFonts w:ascii="Arial" w:hAnsi="Arial" w:cs="Arial"/>
                <w:color w:val="000000"/>
                <w:sz w:val="16"/>
                <w:szCs w:val="16"/>
              </w:rPr>
              <w:t>Income statement</w:t>
            </w:r>
          </w:p>
        </w:tc>
        <w:tc>
          <w:tcPr>
            <w:tcW w:w="4531" w:type="dxa"/>
            <w:tcBorders>
              <w:top w:val="outset" w:sz="6" w:space="0" w:color="D0D7E5"/>
              <w:left w:val="outset" w:sz="6" w:space="0" w:color="D0D7E5"/>
              <w:bottom w:val="outset" w:sz="6" w:space="0" w:color="D0D7E5"/>
              <w:right w:val="outset" w:sz="6" w:space="0" w:color="D0D7E5"/>
            </w:tcBorders>
            <w:shd w:val="clear" w:color="auto" w:fill="FFFFFF"/>
            <w:hideMark/>
          </w:tcPr>
          <w:p w14:paraId="298150F2" w14:textId="77777777" w:rsidR="00200A70" w:rsidRPr="00AE062A" w:rsidRDefault="00200A70" w:rsidP="00991583">
            <w:pPr>
              <w:rPr>
                <w:rFonts w:ascii="Arial" w:hAnsi="Arial" w:cs="Arial"/>
                <w:sz w:val="16"/>
                <w:szCs w:val="16"/>
              </w:rPr>
            </w:pPr>
            <w:r w:rsidRPr="00AE062A">
              <w:rPr>
                <w:rFonts w:ascii="Arial" w:hAnsi="Arial" w:cs="Arial"/>
                <w:color w:val="000000"/>
                <w:sz w:val="16"/>
                <w:szCs w:val="16"/>
              </w:rPr>
              <w:t>Operating Expenses</w:t>
            </w:r>
          </w:p>
        </w:tc>
        <w:tc>
          <w:tcPr>
            <w:tcW w:w="720" w:type="dxa"/>
            <w:tcBorders>
              <w:top w:val="outset" w:sz="6" w:space="0" w:color="D0D7E5"/>
              <w:left w:val="outset" w:sz="6" w:space="0" w:color="D0D7E5"/>
              <w:bottom w:val="outset" w:sz="6" w:space="0" w:color="D0D7E5"/>
              <w:right w:val="outset" w:sz="6" w:space="0" w:color="D0D7E5"/>
            </w:tcBorders>
            <w:shd w:val="clear" w:color="auto" w:fill="FFFFFF"/>
            <w:hideMark/>
          </w:tcPr>
          <w:p w14:paraId="610B28E2" w14:textId="77777777" w:rsidR="00200A70" w:rsidRPr="00AE062A" w:rsidRDefault="00200A70" w:rsidP="00991583">
            <w:pPr>
              <w:jc w:val="center"/>
              <w:rPr>
                <w:rFonts w:ascii="Arial" w:hAnsi="Arial" w:cs="Arial"/>
                <w:sz w:val="16"/>
                <w:szCs w:val="16"/>
              </w:rPr>
            </w:pPr>
            <w:r w:rsidRPr="00AE062A">
              <w:rPr>
                <w:rFonts w:ascii="Arial" w:hAnsi="Arial" w:cs="Arial"/>
                <w:color w:val="000000"/>
                <w:sz w:val="16"/>
                <w:szCs w:val="16"/>
              </w:rPr>
              <w:t>YES</w:t>
            </w:r>
          </w:p>
        </w:tc>
        <w:tc>
          <w:tcPr>
            <w:tcW w:w="810" w:type="dxa"/>
            <w:tcBorders>
              <w:top w:val="outset" w:sz="6" w:space="0" w:color="D0D7E5"/>
              <w:left w:val="outset" w:sz="6" w:space="0" w:color="D0D7E5"/>
              <w:bottom w:val="outset" w:sz="6" w:space="0" w:color="D0D7E5"/>
              <w:right w:val="outset" w:sz="6" w:space="0" w:color="D0D7E5"/>
            </w:tcBorders>
            <w:shd w:val="clear" w:color="auto" w:fill="FFFFFF"/>
            <w:hideMark/>
          </w:tcPr>
          <w:p w14:paraId="042C3F32" w14:textId="77777777" w:rsidR="00200A70" w:rsidRPr="00AE062A" w:rsidRDefault="00200A70" w:rsidP="00991583">
            <w:pPr>
              <w:jc w:val="center"/>
              <w:rPr>
                <w:rFonts w:ascii="Arial" w:hAnsi="Arial" w:cs="Arial"/>
                <w:sz w:val="16"/>
                <w:szCs w:val="16"/>
              </w:rPr>
            </w:pPr>
            <w:r w:rsidRPr="00AE062A">
              <w:rPr>
                <w:rFonts w:ascii="Arial" w:hAnsi="Arial" w:cs="Arial"/>
                <w:color w:val="000000"/>
                <w:sz w:val="16"/>
                <w:szCs w:val="16"/>
              </w:rPr>
              <w:t>NO</w:t>
            </w:r>
          </w:p>
        </w:tc>
        <w:tc>
          <w:tcPr>
            <w:tcW w:w="630" w:type="dxa"/>
            <w:tcBorders>
              <w:top w:val="outset" w:sz="6" w:space="0" w:color="D0D7E5"/>
              <w:left w:val="outset" w:sz="6" w:space="0" w:color="D0D7E5"/>
              <w:bottom w:val="outset" w:sz="6" w:space="0" w:color="D0D7E5"/>
              <w:right w:val="outset" w:sz="6" w:space="0" w:color="D0D7E5"/>
            </w:tcBorders>
            <w:shd w:val="clear" w:color="auto" w:fill="FFFFFF"/>
            <w:hideMark/>
          </w:tcPr>
          <w:p w14:paraId="30811384" w14:textId="77777777" w:rsidR="00200A70" w:rsidRPr="00AE062A" w:rsidRDefault="00200A70" w:rsidP="00991583">
            <w:pPr>
              <w:jc w:val="center"/>
              <w:rPr>
                <w:rFonts w:ascii="Arial" w:hAnsi="Arial" w:cs="Arial"/>
                <w:sz w:val="16"/>
                <w:szCs w:val="16"/>
              </w:rPr>
            </w:pPr>
            <w:r w:rsidRPr="00AE062A">
              <w:rPr>
                <w:rFonts w:ascii="Arial" w:hAnsi="Arial" w:cs="Arial"/>
                <w:color w:val="000000"/>
                <w:sz w:val="16"/>
                <w:szCs w:val="16"/>
              </w:rPr>
              <w:t>NO</w:t>
            </w:r>
          </w:p>
        </w:tc>
        <w:tc>
          <w:tcPr>
            <w:tcW w:w="810" w:type="dxa"/>
            <w:tcBorders>
              <w:top w:val="outset" w:sz="6" w:space="0" w:color="D0D7E5"/>
              <w:left w:val="outset" w:sz="6" w:space="0" w:color="D0D7E5"/>
              <w:bottom w:val="outset" w:sz="6" w:space="0" w:color="D0D7E5"/>
              <w:right w:val="outset" w:sz="6" w:space="0" w:color="D0D7E5"/>
            </w:tcBorders>
            <w:shd w:val="clear" w:color="auto" w:fill="FFFFFF"/>
            <w:hideMark/>
          </w:tcPr>
          <w:p w14:paraId="62D68B30" w14:textId="77777777" w:rsidR="00200A70" w:rsidRPr="00AE062A" w:rsidRDefault="00200A70" w:rsidP="00991583">
            <w:pPr>
              <w:jc w:val="center"/>
              <w:rPr>
                <w:rFonts w:ascii="Arial" w:hAnsi="Arial" w:cs="Arial"/>
                <w:sz w:val="16"/>
                <w:szCs w:val="16"/>
              </w:rPr>
            </w:pPr>
            <w:r w:rsidRPr="00AE062A">
              <w:rPr>
                <w:rFonts w:ascii="Arial" w:hAnsi="Arial" w:cs="Arial"/>
                <w:color w:val="000000"/>
                <w:sz w:val="16"/>
                <w:szCs w:val="16"/>
              </w:rPr>
              <w:t>YES</w:t>
            </w:r>
          </w:p>
        </w:tc>
      </w:tr>
      <w:tr w:rsidR="00200A70" w:rsidRPr="00AE062A" w14:paraId="26218147" w14:textId="77777777" w:rsidTr="00991583">
        <w:trPr>
          <w:tblCellSpacing w:w="0" w:type="dxa"/>
        </w:trPr>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22860FC4" w14:textId="77777777" w:rsidR="00200A70" w:rsidRPr="00AE062A" w:rsidRDefault="00200A70" w:rsidP="00991583">
            <w:pPr>
              <w:rPr>
                <w:rFonts w:ascii="Arial" w:hAnsi="Arial" w:cs="Arial"/>
                <w:sz w:val="16"/>
                <w:szCs w:val="16"/>
              </w:rPr>
            </w:pPr>
            <w:r w:rsidRPr="00AE062A">
              <w:rPr>
                <w:rFonts w:ascii="Arial" w:hAnsi="Arial" w:cs="Arial"/>
                <w:color w:val="000000"/>
                <w:sz w:val="16"/>
                <w:szCs w:val="16"/>
              </w:rPr>
              <w:t>Income statement</w:t>
            </w:r>
          </w:p>
        </w:tc>
        <w:tc>
          <w:tcPr>
            <w:tcW w:w="4531" w:type="dxa"/>
            <w:tcBorders>
              <w:top w:val="outset" w:sz="6" w:space="0" w:color="D0D7E5"/>
              <w:left w:val="outset" w:sz="6" w:space="0" w:color="D0D7E5"/>
              <w:bottom w:val="outset" w:sz="6" w:space="0" w:color="D0D7E5"/>
              <w:right w:val="outset" w:sz="6" w:space="0" w:color="D0D7E5"/>
            </w:tcBorders>
            <w:shd w:val="clear" w:color="auto" w:fill="FFFFFF"/>
            <w:hideMark/>
          </w:tcPr>
          <w:p w14:paraId="0C17860F" w14:textId="77777777" w:rsidR="00200A70" w:rsidRPr="00AE062A" w:rsidRDefault="00200A70" w:rsidP="00991583">
            <w:pPr>
              <w:rPr>
                <w:rFonts w:ascii="Arial" w:hAnsi="Arial" w:cs="Arial"/>
                <w:sz w:val="16"/>
                <w:szCs w:val="16"/>
              </w:rPr>
            </w:pPr>
            <w:r w:rsidRPr="00AE062A">
              <w:rPr>
                <w:rFonts w:ascii="Arial" w:hAnsi="Arial" w:cs="Arial"/>
                <w:color w:val="000000"/>
                <w:sz w:val="16"/>
                <w:szCs w:val="16"/>
              </w:rPr>
              <w:t>Operating Income (Loss)</w:t>
            </w:r>
          </w:p>
        </w:tc>
        <w:tc>
          <w:tcPr>
            <w:tcW w:w="720" w:type="dxa"/>
            <w:tcBorders>
              <w:top w:val="outset" w:sz="6" w:space="0" w:color="D0D7E5"/>
              <w:left w:val="outset" w:sz="6" w:space="0" w:color="D0D7E5"/>
              <w:bottom w:val="outset" w:sz="6" w:space="0" w:color="D0D7E5"/>
              <w:right w:val="outset" w:sz="6" w:space="0" w:color="D0D7E5"/>
            </w:tcBorders>
            <w:shd w:val="clear" w:color="auto" w:fill="FFFFFF"/>
            <w:hideMark/>
          </w:tcPr>
          <w:p w14:paraId="7D7E953C" w14:textId="77777777" w:rsidR="00200A70" w:rsidRPr="00AE062A" w:rsidRDefault="00200A70" w:rsidP="00991583">
            <w:pPr>
              <w:jc w:val="center"/>
              <w:rPr>
                <w:rFonts w:ascii="Arial" w:hAnsi="Arial" w:cs="Arial"/>
                <w:sz w:val="16"/>
                <w:szCs w:val="16"/>
              </w:rPr>
            </w:pPr>
            <w:r>
              <w:rPr>
                <w:rFonts w:ascii="Arial" w:hAnsi="Arial" w:cs="Arial"/>
                <w:color w:val="000000"/>
                <w:sz w:val="16"/>
                <w:szCs w:val="16"/>
              </w:rPr>
              <w:t>NO</w:t>
            </w:r>
          </w:p>
        </w:tc>
        <w:tc>
          <w:tcPr>
            <w:tcW w:w="810" w:type="dxa"/>
            <w:tcBorders>
              <w:top w:val="outset" w:sz="6" w:space="0" w:color="D0D7E5"/>
              <w:left w:val="outset" w:sz="6" w:space="0" w:color="D0D7E5"/>
              <w:bottom w:val="outset" w:sz="6" w:space="0" w:color="D0D7E5"/>
              <w:right w:val="outset" w:sz="6" w:space="0" w:color="D0D7E5"/>
            </w:tcBorders>
            <w:shd w:val="clear" w:color="auto" w:fill="FFFFFF"/>
            <w:hideMark/>
          </w:tcPr>
          <w:p w14:paraId="7C3009F1" w14:textId="77777777" w:rsidR="00200A70" w:rsidRPr="00AE062A" w:rsidRDefault="00200A70" w:rsidP="00991583">
            <w:pPr>
              <w:jc w:val="center"/>
              <w:rPr>
                <w:rFonts w:ascii="Arial" w:hAnsi="Arial" w:cs="Arial"/>
                <w:sz w:val="16"/>
                <w:szCs w:val="16"/>
              </w:rPr>
            </w:pPr>
            <w:r w:rsidRPr="00AE062A">
              <w:rPr>
                <w:rFonts w:ascii="Arial" w:hAnsi="Arial" w:cs="Arial"/>
                <w:color w:val="000000"/>
                <w:sz w:val="16"/>
                <w:szCs w:val="16"/>
              </w:rPr>
              <w:t>NO</w:t>
            </w:r>
          </w:p>
        </w:tc>
        <w:tc>
          <w:tcPr>
            <w:tcW w:w="630" w:type="dxa"/>
            <w:tcBorders>
              <w:top w:val="outset" w:sz="6" w:space="0" w:color="D0D7E5"/>
              <w:left w:val="outset" w:sz="6" w:space="0" w:color="D0D7E5"/>
              <w:bottom w:val="outset" w:sz="6" w:space="0" w:color="D0D7E5"/>
              <w:right w:val="outset" w:sz="6" w:space="0" w:color="D0D7E5"/>
            </w:tcBorders>
            <w:shd w:val="clear" w:color="auto" w:fill="FFFFFF"/>
            <w:hideMark/>
          </w:tcPr>
          <w:p w14:paraId="59FA5929" w14:textId="77777777" w:rsidR="00200A70" w:rsidRPr="00AE062A" w:rsidRDefault="00200A70" w:rsidP="00991583">
            <w:pPr>
              <w:jc w:val="center"/>
              <w:rPr>
                <w:rFonts w:ascii="Arial" w:hAnsi="Arial" w:cs="Arial"/>
                <w:sz w:val="16"/>
                <w:szCs w:val="16"/>
              </w:rPr>
            </w:pPr>
            <w:r w:rsidRPr="00AE062A">
              <w:rPr>
                <w:rFonts w:ascii="Arial" w:hAnsi="Arial" w:cs="Arial"/>
                <w:color w:val="000000"/>
                <w:sz w:val="16"/>
                <w:szCs w:val="16"/>
              </w:rPr>
              <w:t>NO</w:t>
            </w:r>
          </w:p>
        </w:tc>
        <w:tc>
          <w:tcPr>
            <w:tcW w:w="810" w:type="dxa"/>
            <w:tcBorders>
              <w:top w:val="outset" w:sz="6" w:space="0" w:color="D0D7E5"/>
              <w:left w:val="outset" w:sz="6" w:space="0" w:color="D0D7E5"/>
              <w:bottom w:val="outset" w:sz="6" w:space="0" w:color="D0D7E5"/>
              <w:right w:val="outset" w:sz="6" w:space="0" w:color="D0D7E5"/>
            </w:tcBorders>
            <w:shd w:val="clear" w:color="auto" w:fill="FFFFFF"/>
            <w:hideMark/>
          </w:tcPr>
          <w:p w14:paraId="743B6869" w14:textId="77777777" w:rsidR="00200A70" w:rsidRPr="00AE062A" w:rsidRDefault="00200A70" w:rsidP="00991583">
            <w:pPr>
              <w:jc w:val="center"/>
              <w:rPr>
                <w:rFonts w:ascii="Arial" w:hAnsi="Arial" w:cs="Arial"/>
                <w:sz w:val="16"/>
                <w:szCs w:val="16"/>
              </w:rPr>
            </w:pPr>
            <w:r w:rsidRPr="00AE062A">
              <w:rPr>
                <w:rFonts w:ascii="Arial" w:hAnsi="Arial" w:cs="Arial"/>
                <w:color w:val="000000"/>
                <w:sz w:val="16"/>
                <w:szCs w:val="16"/>
              </w:rPr>
              <w:t>NO</w:t>
            </w:r>
          </w:p>
        </w:tc>
      </w:tr>
      <w:tr w:rsidR="00200A70" w:rsidRPr="00AE062A" w14:paraId="3DEFFCE8" w14:textId="77777777" w:rsidTr="00991583">
        <w:trPr>
          <w:tblCellSpacing w:w="0" w:type="dxa"/>
        </w:trPr>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6E694174" w14:textId="77777777" w:rsidR="00200A70" w:rsidRPr="00AE062A" w:rsidRDefault="00200A70" w:rsidP="00991583">
            <w:pPr>
              <w:rPr>
                <w:rFonts w:ascii="Arial" w:hAnsi="Arial" w:cs="Arial"/>
                <w:sz w:val="16"/>
                <w:szCs w:val="16"/>
              </w:rPr>
            </w:pPr>
            <w:r w:rsidRPr="00AE062A">
              <w:rPr>
                <w:rFonts w:ascii="Arial" w:hAnsi="Arial" w:cs="Arial"/>
                <w:color w:val="000000"/>
                <w:sz w:val="16"/>
                <w:szCs w:val="16"/>
              </w:rPr>
              <w:t>Income statement</w:t>
            </w:r>
          </w:p>
        </w:tc>
        <w:tc>
          <w:tcPr>
            <w:tcW w:w="4531" w:type="dxa"/>
            <w:tcBorders>
              <w:top w:val="outset" w:sz="6" w:space="0" w:color="D0D7E5"/>
              <w:left w:val="outset" w:sz="6" w:space="0" w:color="D0D7E5"/>
              <w:bottom w:val="outset" w:sz="6" w:space="0" w:color="D0D7E5"/>
              <w:right w:val="outset" w:sz="6" w:space="0" w:color="D0D7E5"/>
            </w:tcBorders>
            <w:shd w:val="clear" w:color="auto" w:fill="FFFFFF"/>
            <w:hideMark/>
          </w:tcPr>
          <w:p w14:paraId="5700F5FA" w14:textId="77777777" w:rsidR="00200A70" w:rsidRPr="00AE062A" w:rsidRDefault="00200A70" w:rsidP="00991583">
            <w:pPr>
              <w:rPr>
                <w:rFonts w:ascii="Arial" w:hAnsi="Arial" w:cs="Arial"/>
                <w:sz w:val="16"/>
                <w:szCs w:val="16"/>
              </w:rPr>
            </w:pPr>
            <w:r w:rsidRPr="00AE062A">
              <w:rPr>
                <w:rFonts w:ascii="Arial" w:hAnsi="Arial" w:cs="Arial"/>
                <w:color w:val="000000"/>
                <w:sz w:val="16"/>
                <w:szCs w:val="16"/>
              </w:rPr>
              <w:t>Other Operating Income (Expenses)</w:t>
            </w:r>
          </w:p>
        </w:tc>
        <w:tc>
          <w:tcPr>
            <w:tcW w:w="720" w:type="dxa"/>
            <w:tcBorders>
              <w:top w:val="outset" w:sz="6" w:space="0" w:color="D0D7E5"/>
              <w:left w:val="outset" w:sz="6" w:space="0" w:color="D0D7E5"/>
              <w:bottom w:val="outset" w:sz="6" w:space="0" w:color="D0D7E5"/>
              <w:right w:val="outset" w:sz="6" w:space="0" w:color="D0D7E5"/>
            </w:tcBorders>
            <w:shd w:val="clear" w:color="auto" w:fill="FFFFFF"/>
            <w:hideMark/>
          </w:tcPr>
          <w:p w14:paraId="5AE954F4" w14:textId="77777777" w:rsidR="00200A70" w:rsidRPr="00AE062A" w:rsidRDefault="00200A70" w:rsidP="00991583">
            <w:pPr>
              <w:jc w:val="center"/>
              <w:rPr>
                <w:rFonts w:ascii="Arial" w:hAnsi="Arial" w:cs="Arial"/>
                <w:sz w:val="16"/>
                <w:szCs w:val="16"/>
              </w:rPr>
            </w:pPr>
            <w:r w:rsidRPr="00AE062A">
              <w:rPr>
                <w:rFonts w:ascii="Arial" w:hAnsi="Arial" w:cs="Arial"/>
                <w:color w:val="000000"/>
                <w:sz w:val="16"/>
                <w:szCs w:val="16"/>
              </w:rPr>
              <w:t>NO</w:t>
            </w:r>
          </w:p>
        </w:tc>
        <w:tc>
          <w:tcPr>
            <w:tcW w:w="810" w:type="dxa"/>
            <w:tcBorders>
              <w:top w:val="outset" w:sz="6" w:space="0" w:color="D0D7E5"/>
              <w:left w:val="outset" w:sz="6" w:space="0" w:color="D0D7E5"/>
              <w:bottom w:val="outset" w:sz="6" w:space="0" w:color="D0D7E5"/>
              <w:right w:val="outset" w:sz="6" w:space="0" w:color="D0D7E5"/>
            </w:tcBorders>
            <w:shd w:val="clear" w:color="auto" w:fill="FFFFFF"/>
            <w:hideMark/>
          </w:tcPr>
          <w:p w14:paraId="446D0C60" w14:textId="77777777" w:rsidR="00200A70" w:rsidRPr="00AE062A" w:rsidRDefault="00200A70" w:rsidP="00991583">
            <w:pPr>
              <w:jc w:val="center"/>
              <w:rPr>
                <w:rFonts w:ascii="Arial" w:hAnsi="Arial" w:cs="Arial"/>
                <w:sz w:val="16"/>
                <w:szCs w:val="16"/>
              </w:rPr>
            </w:pPr>
            <w:r w:rsidRPr="00AE062A">
              <w:rPr>
                <w:rFonts w:ascii="Arial" w:hAnsi="Arial" w:cs="Arial"/>
                <w:color w:val="000000"/>
                <w:sz w:val="16"/>
                <w:szCs w:val="16"/>
              </w:rPr>
              <w:t>NO</w:t>
            </w:r>
          </w:p>
        </w:tc>
        <w:tc>
          <w:tcPr>
            <w:tcW w:w="630" w:type="dxa"/>
            <w:tcBorders>
              <w:top w:val="outset" w:sz="6" w:space="0" w:color="D0D7E5"/>
              <w:left w:val="outset" w:sz="6" w:space="0" w:color="D0D7E5"/>
              <w:bottom w:val="outset" w:sz="6" w:space="0" w:color="D0D7E5"/>
              <w:right w:val="outset" w:sz="6" w:space="0" w:color="D0D7E5"/>
            </w:tcBorders>
            <w:shd w:val="clear" w:color="auto" w:fill="FFFFFF"/>
            <w:hideMark/>
          </w:tcPr>
          <w:p w14:paraId="2680A2C2" w14:textId="77777777" w:rsidR="00200A70" w:rsidRPr="00AE062A" w:rsidRDefault="00200A70" w:rsidP="00991583">
            <w:pPr>
              <w:jc w:val="center"/>
              <w:rPr>
                <w:rFonts w:ascii="Arial" w:hAnsi="Arial" w:cs="Arial"/>
                <w:sz w:val="16"/>
                <w:szCs w:val="16"/>
              </w:rPr>
            </w:pPr>
            <w:r w:rsidRPr="00AE062A">
              <w:rPr>
                <w:rFonts w:ascii="Arial" w:hAnsi="Arial" w:cs="Arial"/>
                <w:color w:val="000000"/>
                <w:sz w:val="16"/>
                <w:szCs w:val="16"/>
              </w:rPr>
              <w:t>NO</w:t>
            </w:r>
          </w:p>
        </w:tc>
        <w:tc>
          <w:tcPr>
            <w:tcW w:w="810" w:type="dxa"/>
            <w:tcBorders>
              <w:top w:val="outset" w:sz="6" w:space="0" w:color="D0D7E5"/>
              <w:left w:val="outset" w:sz="6" w:space="0" w:color="D0D7E5"/>
              <w:bottom w:val="outset" w:sz="6" w:space="0" w:color="D0D7E5"/>
              <w:right w:val="outset" w:sz="6" w:space="0" w:color="D0D7E5"/>
            </w:tcBorders>
            <w:shd w:val="clear" w:color="auto" w:fill="FFFFFF"/>
            <w:hideMark/>
          </w:tcPr>
          <w:p w14:paraId="2FF0A4D3" w14:textId="77777777" w:rsidR="00200A70" w:rsidRPr="00AE062A" w:rsidRDefault="00200A70" w:rsidP="00991583">
            <w:pPr>
              <w:jc w:val="center"/>
              <w:rPr>
                <w:rFonts w:ascii="Arial" w:hAnsi="Arial" w:cs="Arial"/>
                <w:sz w:val="16"/>
                <w:szCs w:val="16"/>
              </w:rPr>
            </w:pPr>
            <w:r w:rsidRPr="00AE062A">
              <w:rPr>
                <w:rFonts w:ascii="Arial" w:hAnsi="Arial" w:cs="Arial"/>
                <w:color w:val="000000"/>
                <w:sz w:val="16"/>
                <w:szCs w:val="16"/>
              </w:rPr>
              <w:t>YES</w:t>
            </w:r>
          </w:p>
        </w:tc>
      </w:tr>
      <w:tr w:rsidR="00200A70" w:rsidRPr="00AE062A" w14:paraId="72BFACBD" w14:textId="77777777" w:rsidTr="00991583">
        <w:trPr>
          <w:tblCellSpacing w:w="0" w:type="dxa"/>
        </w:trPr>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3AC62A58" w14:textId="77777777" w:rsidR="00200A70" w:rsidRPr="00AE062A" w:rsidRDefault="00200A70" w:rsidP="00991583">
            <w:pPr>
              <w:rPr>
                <w:rFonts w:ascii="Arial" w:hAnsi="Arial" w:cs="Arial"/>
                <w:sz w:val="16"/>
                <w:szCs w:val="16"/>
              </w:rPr>
            </w:pPr>
            <w:r w:rsidRPr="00AE062A">
              <w:rPr>
                <w:rFonts w:ascii="Arial" w:hAnsi="Arial" w:cs="Arial"/>
                <w:color w:val="000000"/>
                <w:sz w:val="16"/>
                <w:szCs w:val="16"/>
              </w:rPr>
              <w:t>Income statement</w:t>
            </w:r>
          </w:p>
        </w:tc>
        <w:tc>
          <w:tcPr>
            <w:tcW w:w="4531" w:type="dxa"/>
            <w:tcBorders>
              <w:top w:val="outset" w:sz="6" w:space="0" w:color="D0D7E5"/>
              <w:left w:val="outset" w:sz="6" w:space="0" w:color="D0D7E5"/>
              <w:bottom w:val="outset" w:sz="6" w:space="0" w:color="D0D7E5"/>
              <w:right w:val="outset" w:sz="6" w:space="0" w:color="D0D7E5"/>
            </w:tcBorders>
            <w:shd w:val="clear" w:color="auto" w:fill="FFFFFF"/>
            <w:hideMark/>
          </w:tcPr>
          <w:p w14:paraId="5F53588B" w14:textId="77777777" w:rsidR="00200A70" w:rsidRPr="00AE062A" w:rsidRDefault="00200A70" w:rsidP="00991583">
            <w:pPr>
              <w:rPr>
                <w:rFonts w:ascii="Arial" w:hAnsi="Arial" w:cs="Arial"/>
                <w:sz w:val="16"/>
                <w:szCs w:val="16"/>
              </w:rPr>
            </w:pPr>
            <w:r w:rsidRPr="00AE062A">
              <w:rPr>
                <w:rFonts w:ascii="Arial" w:hAnsi="Arial" w:cs="Arial"/>
                <w:color w:val="000000"/>
                <w:sz w:val="16"/>
                <w:szCs w:val="16"/>
              </w:rPr>
              <w:t xml:space="preserve">Preferred Stock Dividends </w:t>
            </w:r>
            <w:proofErr w:type="gramStart"/>
            <w:r w:rsidRPr="00AE062A">
              <w:rPr>
                <w:rFonts w:ascii="Arial" w:hAnsi="Arial" w:cs="Arial"/>
                <w:color w:val="000000"/>
                <w:sz w:val="16"/>
                <w:szCs w:val="16"/>
              </w:rPr>
              <w:t>And</w:t>
            </w:r>
            <w:proofErr w:type="gramEnd"/>
            <w:r w:rsidRPr="00AE062A">
              <w:rPr>
                <w:rFonts w:ascii="Arial" w:hAnsi="Arial" w:cs="Arial"/>
                <w:color w:val="000000"/>
                <w:sz w:val="16"/>
                <w:szCs w:val="16"/>
              </w:rPr>
              <w:t xml:space="preserve"> Other Adjustments</w:t>
            </w:r>
          </w:p>
        </w:tc>
        <w:tc>
          <w:tcPr>
            <w:tcW w:w="720" w:type="dxa"/>
            <w:tcBorders>
              <w:top w:val="outset" w:sz="6" w:space="0" w:color="D0D7E5"/>
              <w:left w:val="outset" w:sz="6" w:space="0" w:color="D0D7E5"/>
              <w:bottom w:val="outset" w:sz="6" w:space="0" w:color="D0D7E5"/>
              <w:right w:val="outset" w:sz="6" w:space="0" w:color="D0D7E5"/>
            </w:tcBorders>
            <w:shd w:val="clear" w:color="auto" w:fill="FFFFFF"/>
            <w:hideMark/>
          </w:tcPr>
          <w:p w14:paraId="1B78BFE3" w14:textId="77777777" w:rsidR="00200A70" w:rsidRPr="00AE062A" w:rsidRDefault="00200A70" w:rsidP="00991583">
            <w:pPr>
              <w:jc w:val="center"/>
              <w:rPr>
                <w:rFonts w:ascii="Arial" w:hAnsi="Arial" w:cs="Arial"/>
                <w:sz w:val="16"/>
                <w:szCs w:val="16"/>
              </w:rPr>
            </w:pPr>
            <w:r w:rsidRPr="00AE062A">
              <w:rPr>
                <w:rFonts w:ascii="Arial" w:hAnsi="Arial" w:cs="Arial"/>
                <w:color w:val="000000"/>
                <w:sz w:val="16"/>
                <w:szCs w:val="16"/>
              </w:rPr>
              <w:t>NO</w:t>
            </w:r>
          </w:p>
        </w:tc>
        <w:tc>
          <w:tcPr>
            <w:tcW w:w="810" w:type="dxa"/>
            <w:tcBorders>
              <w:top w:val="outset" w:sz="6" w:space="0" w:color="D0D7E5"/>
              <w:left w:val="outset" w:sz="6" w:space="0" w:color="D0D7E5"/>
              <w:bottom w:val="outset" w:sz="6" w:space="0" w:color="D0D7E5"/>
              <w:right w:val="outset" w:sz="6" w:space="0" w:color="D0D7E5"/>
            </w:tcBorders>
            <w:shd w:val="clear" w:color="auto" w:fill="FFFFFF"/>
            <w:hideMark/>
          </w:tcPr>
          <w:p w14:paraId="026636D1" w14:textId="77777777" w:rsidR="00200A70" w:rsidRPr="00AE062A" w:rsidRDefault="00200A70" w:rsidP="00991583">
            <w:pPr>
              <w:jc w:val="center"/>
              <w:rPr>
                <w:rFonts w:ascii="Arial" w:hAnsi="Arial" w:cs="Arial"/>
                <w:sz w:val="16"/>
                <w:szCs w:val="16"/>
              </w:rPr>
            </w:pPr>
            <w:r w:rsidRPr="00AE062A">
              <w:rPr>
                <w:rFonts w:ascii="Arial" w:hAnsi="Arial" w:cs="Arial"/>
                <w:color w:val="000000"/>
                <w:sz w:val="16"/>
                <w:szCs w:val="16"/>
              </w:rPr>
              <w:t>NO</w:t>
            </w:r>
          </w:p>
        </w:tc>
        <w:tc>
          <w:tcPr>
            <w:tcW w:w="630" w:type="dxa"/>
            <w:tcBorders>
              <w:top w:val="outset" w:sz="6" w:space="0" w:color="D0D7E5"/>
              <w:left w:val="outset" w:sz="6" w:space="0" w:color="D0D7E5"/>
              <w:bottom w:val="outset" w:sz="6" w:space="0" w:color="D0D7E5"/>
              <w:right w:val="outset" w:sz="6" w:space="0" w:color="D0D7E5"/>
            </w:tcBorders>
            <w:shd w:val="clear" w:color="auto" w:fill="FFFFFF"/>
            <w:hideMark/>
          </w:tcPr>
          <w:p w14:paraId="2651B11E" w14:textId="77777777" w:rsidR="00200A70" w:rsidRPr="00AE062A" w:rsidRDefault="00200A70" w:rsidP="00991583">
            <w:pPr>
              <w:jc w:val="center"/>
              <w:rPr>
                <w:rFonts w:ascii="Arial" w:hAnsi="Arial" w:cs="Arial"/>
                <w:sz w:val="16"/>
                <w:szCs w:val="16"/>
              </w:rPr>
            </w:pPr>
            <w:r w:rsidRPr="00AE062A">
              <w:rPr>
                <w:rFonts w:ascii="Arial" w:hAnsi="Arial" w:cs="Arial"/>
                <w:color w:val="000000"/>
                <w:sz w:val="16"/>
                <w:szCs w:val="16"/>
              </w:rPr>
              <w:t>NO</w:t>
            </w:r>
          </w:p>
        </w:tc>
        <w:tc>
          <w:tcPr>
            <w:tcW w:w="810" w:type="dxa"/>
            <w:tcBorders>
              <w:top w:val="outset" w:sz="6" w:space="0" w:color="D0D7E5"/>
              <w:left w:val="outset" w:sz="6" w:space="0" w:color="D0D7E5"/>
              <w:bottom w:val="outset" w:sz="6" w:space="0" w:color="D0D7E5"/>
              <w:right w:val="outset" w:sz="6" w:space="0" w:color="D0D7E5"/>
            </w:tcBorders>
            <w:shd w:val="clear" w:color="auto" w:fill="FFFFFF"/>
            <w:hideMark/>
          </w:tcPr>
          <w:p w14:paraId="2704806D" w14:textId="77777777" w:rsidR="00200A70" w:rsidRPr="00AE062A" w:rsidRDefault="00200A70" w:rsidP="00991583">
            <w:pPr>
              <w:jc w:val="center"/>
              <w:rPr>
                <w:rFonts w:ascii="Arial" w:hAnsi="Arial" w:cs="Arial"/>
                <w:sz w:val="16"/>
                <w:szCs w:val="16"/>
              </w:rPr>
            </w:pPr>
            <w:r w:rsidRPr="00AE062A">
              <w:rPr>
                <w:rFonts w:ascii="Arial" w:hAnsi="Arial" w:cs="Arial"/>
                <w:color w:val="000000"/>
                <w:sz w:val="16"/>
                <w:szCs w:val="16"/>
              </w:rPr>
              <w:t>YES</w:t>
            </w:r>
          </w:p>
        </w:tc>
      </w:tr>
      <w:tr w:rsidR="00200A70" w:rsidRPr="00AE062A" w14:paraId="15656D2E" w14:textId="77777777" w:rsidTr="00991583">
        <w:trPr>
          <w:tblCellSpacing w:w="0" w:type="dxa"/>
        </w:trPr>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3E52B204" w14:textId="77777777" w:rsidR="00200A70" w:rsidRPr="00AE062A" w:rsidRDefault="00200A70" w:rsidP="00991583">
            <w:pPr>
              <w:rPr>
                <w:rFonts w:ascii="Arial" w:hAnsi="Arial" w:cs="Arial"/>
                <w:sz w:val="16"/>
                <w:szCs w:val="16"/>
              </w:rPr>
            </w:pPr>
            <w:r w:rsidRPr="00AE062A">
              <w:rPr>
                <w:rFonts w:ascii="Arial" w:hAnsi="Arial" w:cs="Arial"/>
                <w:color w:val="000000"/>
                <w:sz w:val="16"/>
                <w:szCs w:val="16"/>
              </w:rPr>
              <w:t>Income statement</w:t>
            </w:r>
          </w:p>
        </w:tc>
        <w:tc>
          <w:tcPr>
            <w:tcW w:w="4531" w:type="dxa"/>
            <w:tcBorders>
              <w:top w:val="outset" w:sz="6" w:space="0" w:color="D0D7E5"/>
              <w:left w:val="outset" w:sz="6" w:space="0" w:color="D0D7E5"/>
              <w:bottom w:val="outset" w:sz="6" w:space="0" w:color="D0D7E5"/>
              <w:right w:val="outset" w:sz="6" w:space="0" w:color="D0D7E5"/>
            </w:tcBorders>
            <w:shd w:val="clear" w:color="auto" w:fill="FFFFFF"/>
            <w:hideMark/>
          </w:tcPr>
          <w:p w14:paraId="058417E7" w14:textId="77777777" w:rsidR="00200A70" w:rsidRPr="00AE062A" w:rsidRDefault="00200A70" w:rsidP="00991583">
            <w:pPr>
              <w:rPr>
                <w:rFonts w:ascii="Arial" w:hAnsi="Arial" w:cs="Arial"/>
                <w:sz w:val="16"/>
                <w:szCs w:val="16"/>
              </w:rPr>
            </w:pPr>
            <w:r w:rsidRPr="00AE062A">
              <w:rPr>
                <w:rFonts w:ascii="Arial" w:hAnsi="Arial" w:cs="Arial"/>
                <w:color w:val="000000"/>
                <w:sz w:val="16"/>
                <w:szCs w:val="16"/>
              </w:rPr>
              <w:t xml:space="preserve">Provision </w:t>
            </w:r>
            <w:proofErr w:type="gramStart"/>
            <w:r w:rsidRPr="00AE062A">
              <w:rPr>
                <w:rFonts w:ascii="Arial" w:hAnsi="Arial" w:cs="Arial"/>
                <w:color w:val="000000"/>
                <w:sz w:val="16"/>
                <w:szCs w:val="16"/>
              </w:rPr>
              <w:t>For</w:t>
            </w:r>
            <w:proofErr w:type="gramEnd"/>
            <w:r w:rsidRPr="00AE062A">
              <w:rPr>
                <w:rFonts w:ascii="Arial" w:hAnsi="Arial" w:cs="Arial"/>
                <w:color w:val="000000"/>
                <w:sz w:val="16"/>
                <w:szCs w:val="16"/>
              </w:rPr>
              <w:t xml:space="preserve"> Loan, Lease, And Other Losses</w:t>
            </w:r>
          </w:p>
        </w:tc>
        <w:tc>
          <w:tcPr>
            <w:tcW w:w="720" w:type="dxa"/>
            <w:tcBorders>
              <w:top w:val="outset" w:sz="6" w:space="0" w:color="D0D7E5"/>
              <w:left w:val="outset" w:sz="6" w:space="0" w:color="D0D7E5"/>
              <w:bottom w:val="outset" w:sz="6" w:space="0" w:color="D0D7E5"/>
              <w:right w:val="outset" w:sz="6" w:space="0" w:color="D0D7E5"/>
            </w:tcBorders>
            <w:shd w:val="clear" w:color="auto" w:fill="FFFFFF"/>
            <w:hideMark/>
          </w:tcPr>
          <w:p w14:paraId="3795A13B" w14:textId="77777777" w:rsidR="00200A70" w:rsidRPr="00AE062A" w:rsidRDefault="00200A70" w:rsidP="00991583">
            <w:pPr>
              <w:jc w:val="center"/>
              <w:rPr>
                <w:rFonts w:ascii="Arial" w:hAnsi="Arial" w:cs="Arial"/>
                <w:sz w:val="16"/>
                <w:szCs w:val="16"/>
              </w:rPr>
            </w:pPr>
            <w:r w:rsidRPr="00AE062A">
              <w:rPr>
                <w:rFonts w:ascii="Arial" w:hAnsi="Arial" w:cs="Arial"/>
                <w:color w:val="000000"/>
                <w:sz w:val="16"/>
                <w:szCs w:val="16"/>
              </w:rPr>
              <w:t>NO</w:t>
            </w:r>
          </w:p>
        </w:tc>
        <w:tc>
          <w:tcPr>
            <w:tcW w:w="810" w:type="dxa"/>
            <w:tcBorders>
              <w:top w:val="outset" w:sz="6" w:space="0" w:color="D0D7E5"/>
              <w:left w:val="outset" w:sz="6" w:space="0" w:color="D0D7E5"/>
              <w:bottom w:val="outset" w:sz="6" w:space="0" w:color="D0D7E5"/>
              <w:right w:val="outset" w:sz="6" w:space="0" w:color="D0D7E5"/>
            </w:tcBorders>
            <w:shd w:val="clear" w:color="auto" w:fill="FFFFFF"/>
            <w:hideMark/>
          </w:tcPr>
          <w:p w14:paraId="025723A3" w14:textId="77777777" w:rsidR="00200A70" w:rsidRPr="00AE062A" w:rsidRDefault="00200A70" w:rsidP="00991583">
            <w:pPr>
              <w:jc w:val="center"/>
              <w:rPr>
                <w:rFonts w:ascii="Arial" w:hAnsi="Arial" w:cs="Arial"/>
                <w:sz w:val="16"/>
                <w:szCs w:val="16"/>
              </w:rPr>
            </w:pPr>
            <w:r w:rsidRPr="00AE062A">
              <w:rPr>
                <w:rFonts w:ascii="Arial" w:hAnsi="Arial" w:cs="Arial"/>
                <w:color w:val="000000"/>
                <w:sz w:val="16"/>
                <w:szCs w:val="16"/>
              </w:rPr>
              <w:t>NO</w:t>
            </w:r>
          </w:p>
        </w:tc>
        <w:tc>
          <w:tcPr>
            <w:tcW w:w="630" w:type="dxa"/>
            <w:tcBorders>
              <w:top w:val="outset" w:sz="6" w:space="0" w:color="D0D7E5"/>
              <w:left w:val="outset" w:sz="6" w:space="0" w:color="D0D7E5"/>
              <w:bottom w:val="outset" w:sz="6" w:space="0" w:color="D0D7E5"/>
              <w:right w:val="outset" w:sz="6" w:space="0" w:color="D0D7E5"/>
            </w:tcBorders>
            <w:shd w:val="clear" w:color="auto" w:fill="FFFFFF"/>
            <w:hideMark/>
          </w:tcPr>
          <w:p w14:paraId="63FED777" w14:textId="77777777" w:rsidR="00200A70" w:rsidRPr="00AE062A" w:rsidRDefault="00200A70" w:rsidP="00991583">
            <w:pPr>
              <w:jc w:val="center"/>
              <w:rPr>
                <w:rFonts w:ascii="Arial" w:hAnsi="Arial" w:cs="Arial"/>
                <w:sz w:val="16"/>
                <w:szCs w:val="16"/>
              </w:rPr>
            </w:pPr>
            <w:r w:rsidRPr="00AE062A">
              <w:rPr>
                <w:rFonts w:ascii="Arial" w:hAnsi="Arial" w:cs="Arial"/>
                <w:color w:val="000000"/>
                <w:sz w:val="16"/>
                <w:szCs w:val="16"/>
              </w:rPr>
              <w:t>NO</w:t>
            </w:r>
          </w:p>
        </w:tc>
        <w:tc>
          <w:tcPr>
            <w:tcW w:w="810" w:type="dxa"/>
            <w:tcBorders>
              <w:top w:val="outset" w:sz="6" w:space="0" w:color="D0D7E5"/>
              <w:left w:val="outset" w:sz="6" w:space="0" w:color="D0D7E5"/>
              <w:bottom w:val="outset" w:sz="6" w:space="0" w:color="D0D7E5"/>
              <w:right w:val="outset" w:sz="6" w:space="0" w:color="D0D7E5"/>
            </w:tcBorders>
            <w:shd w:val="clear" w:color="auto" w:fill="FFFFFF"/>
            <w:hideMark/>
          </w:tcPr>
          <w:p w14:paraId="429CD35D" w14:textId="77777777" w:rsidR="00200A70" w:rsidRPr="00AE062A" w:rsidRDefault="00200A70" w:rsidP="00991583">
            <w:pPr>
              <w:jc w:val="center"/>
              <w:rPr>
                <w:rFonts w:ascii="Arial" w:hAnsi="Arial" w:cs="Arial"/>
                <w:sz w:val="16"/>
                <w:szCs w:val="16"/>
              </w:rPr>
            </w:pPr>
            <w:r w:rsidRPr="00AE062A">
              <w:rPr>
                <w:rFonts w:ascii="Arial" w:hAnsi="Arial" w:cs="Arial"/>
                <w:color w:val="000000"/>
                <w:sz w:val="16"/>
                <w:szCs w:val="16"/>
              </w:rPr>
              <w:t>NO</w:t>
            </w:r>
          </w:p>
        </w:tc>
      </w:tr>
      <w:tr w:rsidR="00200A70" w:rsidRPr="00AE062A" w14:paraId="62D38F6F" w14:textId="77777777" w:rsidTr="00991583">
        <w:trPr>
          <w:tblCellSpacing w:w="0" w:type="dxa"/>
        </w:trPr>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6F1A41BE" w14:textId="77777777" w:rsidR="00200A70" w:rsidRPr="00AE062A" w:rsidRDefault="00200A70" w:rsidP="00991583">
            <w:pPr>
              <w:rPr>
                <w:rFonts w:ascii="Arial" w:hAnsi="Arial" w:cs="Arial"/>
                <w:sz w:val="16"/>
                <w:szCs w:val="16"/>
              </w:rPr>
            </w:pPr>
            <w:r w:rsidRPr="00AE062A">
              <w:rPr>
                <w:rFonts w:ascii="Arial" w:hAnsi="Arial" w:cs="Arial"/>
                <w:color w:val="000000"/>
                <w:sz w:val="16"/>
                <w:szCs w:val="16"/>
              </w:rPr>
              <w:t>Income statement</w:t>
            </w:r>
          </w:p>
        </w:tc>
        <w:tc>
          <w:tcPr>
            <w:tcW w:w="4531" w:type="dxa"/>
            <w:tcBorders>
              <w:top w:val="outset" w:sz="6" w:space="0" w:color="D0D7E5"/>
              <w:left w:val="outset" w:sz="6" w:space="0" w:color="D0D7E5"/>
              <w:bottom w:val="outset" w:sz="6" w:space="0" w:color="D0D7E5"/>
              <w:right w:val="outset" w:sz="6" w:space="0" w:color="D0D7E5"/>
            </w:tcBorders>
            <w:shd w:val="clear" w:color="auto" w:fill="FFFFFF"/>
            <w:hideMark/>
          </w:tcPr>
          <w:p w14:paraId="5D591387" w14:textId="77777777" w:rsidR="00200A70" w:rsidRPr="00AE062A" w:rsidRDefault="00200A70" w:rsidP="00991583">
            <w:pPr>
              <w:rPr>
                <w:rFonts w:ascii="Arial" w:hAnsi="Arial" w:cs="Arial"/>
                <w:sz w:val="16"/>
                <w:szCs w:val="16"/>
              </w:rPr>
            </w:pPr>
            <w:r w:rsidRPr="00AE062A">
              <w:rPr>
                <w:rFonts w:ascii="Arial" w:hAnsi="Arial" w:cs="Arial"/>
                <w:color w:val="000000"/>
                <w:sz w:val="16"/>
                <w:szCs w:val="16"/>
              </w:rPr>
              <w:t>Revenues</w:t>
            </w:r>
          </w:p>
        </w:tc>
        <w:tc>
          <w:tcPr>
            <w:tcW w:w="720" w:type="dxa"/>
            <w:tcBorders>
              <w:top w:val="outset" w:sz="6" w:space="0" w:color="D0D7E5"/>
              <w:left w:val="outset" w:sz="6" w:space="0" w:color="D0D7E5"/>
              <w:bottom w:val="outset" w:sz="6" w:space="0" w:color="D0D7E5"/>
              <w:right w:val="outset" w:sz="6" w:space="0" w:color="D0D7E5"/>
            </w:tcBorders>
            <w:shd w:val="clear" w:color="auto" w:fill="FFFFFF"/>
            <w:hideMark/>
          </w:tcPr>
          <w:p w14:paraId="3D4F0579" w14:textId="77777777" w:rsidR="00200A70" w:rsidRPr="00AE062A" w:rsidRDefault="00200A70" w:rsidP="00991583">
            <w:pPr>
              <w:jc w:val="center"/>
              <w:rPr>
                <w:rFonts w:ascii="Arial" w:hAnsi="Arial" w:cs="Arial"/>
                <w:sz w:val="16"/>
                <w:szCs w:val="16"/>
              </w:rPr>
            </w:pPr>
            <w:r w:rsidRPr="00AE062A">
              <w:rPr>
                <w:rFonts w:ascii="Arial" w:hAnsi="Arial" w:cs="Arial"/>
                <w:color w:val="000000"/>
                <w:sz w:val="16"/>
                <w:szCs w:val="16"/>
              </w:rPr>
              <w:t>YES</w:t>
            </w:r>
          </w:p>
        </w:tc>
        <w:tc>
          <w:tcPr>
            <w:tcW w:w="810" w:type="dxa"/>
            <w:tcBorders>
              <w:top w:val="outset" w:sz="6" w:space="0" w:color="D0D7E5"/>
              <w:left w:val="outset" w:sz="6" w:space="0" w:color="D0D7E5"/>
              <w:bottom w:val="outset" w:sz="6" w:space="0" w:color="D0D7E5"/>
              <w:right w:val="outset" w:sz="6" w:space="0" w:color="D0D7E5"/>
            </w:tcBorders>
            <w:shd w:val="clear" w:color="auto" w:fill="FFFFFF"/>
            <w:hideMark/>
          </w:tcPr>
          <w:p w14:paraId="1B91CE39" w14:textId="77777777" w:rsidR="00200A70" w:rsidRPr="00AE062A" w:rsidRDefault="00200A70" w:rsidP="00991583">
            <w:pPr>
              <w:jc w:val="center"/>
              <w:rPr>
                <w:rFonts w:ascii="Arial" w:hAnsi="Arial" w:cs="Arial"/>
                <w:sz w:val="16"/>
                <w:szCs w:val="16"/>
              </w:rPr>
            </w:pPr>
            <w:r w:rsidRPr="00AE062A">
              <w:rPr>
                <w:rFonts w:ascii="Arial" w:hAnsi="Arial" w:cs="Arial"/>
                <w:color w:val="000000"/>
                <w:sz w:val="16"/>
                <w:szCs w:val="16"/>
              </w:rPr>
              <w:t>NO</w:t>
            </w:r>
          </w:p>
        </w:tc>
        <w:tc>
          <w:tcPr>
            <w:tcW w:w="630" w:type="dxa"/>
            <w:tcBorders>
              <w:top w:val="outset" w:sz="6" w:space="0" w:color="D0D7E5"/>
              <w:left w:val="outset" w:sz="6" w:space="0" w:color="D0D7E5"/>
              <w:bottom w:val="outset" w:sz="6" w:space="0" w:color="D0D7E5"/>
              <w:right w:val="outset" w:sz="6" w:space="0" w:color="D0D7E5"/>
            </w:tcBorders>
            <w:shd w:val="clear" w:color="auto" w:fill="FFFFFF"/>
            <w:hideMark/>
          </w:tcPr>
          <w:p w14:paraId="43A11D53" w14:textId="77777777" w:rsidR="00200A70" w:rsidRPr="00AE062A" w:rsidRDefault="00200A70" w:rsidP="00991583">
            <w:pPr>
              <w:jc w:val="center"/>
              <w:rPr>
                <w:rFonts w:ascii="Arial" w:hAnsi="Arial" w:cs="Arial"/>
                <w:sz w:val="16"/>
                <w:szCs w:val="16"/>
              </w:rPr>
            </w:pPr>
            <w:r w:rsidRPr="00AE062A">
              <w:rPr>
                <w:rFonts w:ascii="Arial" w:hAnsi="Arial" w:cs="Arial"/>
                <w:color w:val="000000"/>
                <w:sz w:val="16"/>
                <w:szCs w:val="16"/>
              </w:rPr>
              <w:t>NO</w:t>
            </w:r>
          </w:p>
        </w:tc>
        <w:tc>
          <w:tcPr>
            <w:tcW w:w="810" w:type="dxa"/>
            <w:tcBorders>
              <w:top w:val="outset" w:sz="6" w:space="0" w:color="D0D7E5"/>
              <w:left w:val="outset" w:sz="6" w:space="0" w:color="D0D7E5"/>
              <w:bottom w:val="outset" w:sz="6" w:space="0" w:color="D0D7E5"/>
              <w:right w:val="outset" w:sz="6" w:space="0" w:color="D0D7E5"/>
            </w:tcBorders>
            <w:shd w:val="clear" w:color="auto" w:fill="FFFFFF"/>
            <w:hideMark/>
          </w:tcPr>
          <w:p w14:paraId="16EED0F9" w14:textId="77777777" w:rsidR="00200A70" w:rsidRPr="00AE062A" w:rsidRDefault="00200A70" w:rsidP="00991583">
            <w:pPr>
              <w:jc w:val="center"/>
              <w:rPr>
                <w:rFonts w:ascii="Arial" w:hAnsi="Arial" w:cs="Arial"/>
                <w:sz w:val="16"/>
                <w:szCs w:val="16"/>
              </w:rPr>
            </w:pPr>
            <w:r w:rsidRPr="00AE062A">
              <w:rPr>
                <w:rFonts w:ascii="Arial" w:hAnsi="Arial" w:cs="Arial"/>
                <w:color w:val="000000"/>
                <w:sz w:val="16"/>
                <w:szCs w:val="16"/>
              </w:rPr>
              <w:t>YES</w:t>
            </w:r>
          </w:p>
        </w:tc>
      </w:tr>
    </w:tbl>
    <w:p w14:paraId="69329141" w14:textId="77777777" w:rsidR="00200A70" w:rsidRDefault="00200A70" w:rsidP="002C62B9">
      <w:pPr>
        <w:pStyle w:val="BodyText"/>
      </w:pPr>
      <w:r>
        <w:t>In addition, concepts and classes of concepts are related to other concepts or classes of concepts in specific, identifiable ways.  This is not a new idea.  This is basic set theory.  Further, these ideas are used by other tools used to express relations between things.  The following is a summary of these ways:</w:t>
      </w:r>
    </w:p>
    <w:p w14:paraId="53FB5516" w14:textId="77777777" w:rsidR="00200A70" w:rsidRDefault="00200A70" w:rsidP="00200A70">
      <w:pPr>
        <w:pStyle w:val="BodyText"/>
        <w:numPr>
          <w:ilvl w:val="0"/>
          <w:numId w:val="2"/>
        </w:numPr>
        <w:spacing w:before="0" w:after="0"/>
      </w:pPr>
      <w:r w:rsidRPr="008108F3">
        <w:rPr>
          <w:b/>
        </w:rPr>
        <w:t>Element-class</w:t>
      </w:r>
      <w:r>
        <w:t xml:space="preserve">: Equivalent to </w:t>
      </w:r>
      <w:proofErr w:type="gramStart"/>
      <w:r>
        <w:t>owl:Class</w:t>
      </w:r>
      <w:proofErr w:type="gramEnd"/>
      <w:r>
        <w:t>, rdfs:Class and rdfs:type. The element A is a defined to be class B.</w:t>
      </w:r>
    </w:p>
    <w:p w14:paraId="6BFC0B1A" w14:textId="77777777" w:rsidR="00200A70" w:rsidRDefault="00200A70" w:rsidP="00200A70">
      <w:pPr>
        <w:pStyle w:val="BodyText"/>
        <w:numPr>
          <w:ilvl w:val="0"/>
          <w:numId w:val="2"/>
        </w:numPr>
        <w:spacing w:before="0" w:after="0"/>
      </w:pPr>
      <w:r w:rsidRPr="008108F3">
        <w:rPr>
          <w:b/>
        </w:rPr>
        <w:lastRenderedPageBreak/>
        <w:t>Class-subClassOf</w:t>
      </w:r>
      <w:r>
        <w:t xml:space="preserve">: XBRL general-special relation; Equivalent to </w:t>
      </w:r>
      <w:proofErr w:type="gramStart"/>
      <w:r>
        <w:t>rdfs:subClassOf</w:t>
      </w:r>
      <w:proofErr w:type="gramEnd"/>
      <w:r>
        <w:t>. Class A is a specialization of Class P. Ability to organize classes into a hierarchy of general-special terms. Similar to SKOS notion of broader terms versus narrower terms.</w:t>
      </w:r>
    </w:p>
    <w:p w14:paraId="3F42C3AE" w14:textId="77777777" w:rsidR="00200A70" w:rsidRDefault="00200A70" w:rsidP="00200A70">
      <w:pPr>
        <w:pStyle w:val="BodyText"/>
        <w:numPr>
          <w:ilvl w:val="0"/>
          <w:numId w:val="2"/>
        </w:numPr>
        <w:spacing w:before="0" w:after="0"/>
      </w:pPr>
      <w:r w:rsidRPr="008108F3">
        <w:rPr>
          <w:b/>
        </w:rPr>
        <w:t>Class-equivalentClass</w:t>
      </w:r>
      <w:r>
        <w:t xml:space="preserve">: XBRL alias-essence relation; Equivalent to </w:t>
      </w:r>
      <w:proofErr w:type="gramStart"/>
      <w:r>
        <w:t>owl:equivalentClass</w:t>
      </w:r>
      <w:proofErr w:type="gramEnd"/>
      <w:r>
        <w:t>. Class A and class B have the exact same members. (Example, class LiabitiesAndPartnerCapital and the class LiabilitiesAndStockHolderEquity are both equivalent to LiabilitiesAndEquity.)</w:t>
      </w:r>
    </w:p>
    <w:p w14:paraId="7F59BEF4" w14:textId="77777777" w:rsidR="00200A70" w:rsidRDefault="00200A70" w:rsidP="00200A70">
      <w:pPr>
        <w:pStyle w:val="BodyText"/>
        <w:numPr>
          <w:ilvl w:val="0"/>
          <w:numId w:val="2"/>
        </w:numPr>
        <w:spacing w:before="0" w:after="0"/>
      </w:pPr>
      <w:r w:rsidRPr="008108F3">
        <w:rPr>
          <w:b/>
        </w:rPr>
        <w:t>Class-sameAs</w:t>
      </w:r>
      <w:r>
        <w:t xml:space="preserve">: Equivalent to </w:t>
      </w:r>
      <w:proofErr w:type="gramStart"/>
      <w:r>
        <w:t>owl:sameAs</w:t>
      </w:r>
      <w:proofErr w:type="gramEnd"/>
      <w:r>
        <w:t xml:space="preserve">. Class A and class B are the exact same </w:t>
      </w:r>
      <w:proofErr w:type="gramStart"/>
      <w:r>
        <w:t>real world</w:t>
      </w:r>
      <w:proofErr w:type="gramEnd"/>
      <w:r>
        <w:t xml:space="preserve"> thing. (Example, the class Equity and the class NetAssets are exactly the same thing.)</w:t>
      </w:r>
    </w:p>
    <w:p w14:paraId="30FF8131" w14:textId="77777777" w:rsidR="00200A70" w:rsidRDefault="00200A70" w:rsidP="002C62B9">
      <w:pPr>
        <w:pStyle w:val="BodyText"/>
      </w:pPr>
      <w:r>
        <w:t>This is both an extremely powerful tool and extremely advanced topic of discussion.  What professional accountants need to understand is the notion of classes and relations between classes.  Other professionals such as those that develop models or taxonomies/ontologies can help professional accountants express this information in machine readable form.  Why?  Because the more a machine can understand, the more work a machine can do to help their human users.</w:t>
      </w:r>
    </w:p>
    <w:p w14:paraId="550BF3AA" w14:textId="77777777" w:rsidR="00200A70" w:rsidRDefault="00200A70" w:rsidP="002C62B9">
      <w:pPr>
        <w:pStyle w:val="Heading2"/>
      </w:pPr>
      <w:bookmarkStart w:id="26" w:name="_Toc456627603"/>
      <w:r>
        <w:t>Avoid unconsciously changing information representation approach midstream</w:t>
      </w:r>
      <w:bookmarkEnd w:id="26"/>
    </w:p>
    <w:p w14:paraId="468FA9CF" w14:textId="77777777" w:rsidR="00200A70" w:rsidRDefault="00200A70" w:rsidP="002C62B9">
      <w:pPr>
        <w:pStyle w:val="BodyText"/>
      </w:pPr>
      <w:r>
        <w:t>Avoid changing from a [Line Items]-based representation approach to a [Member]/[Axis]-based representation approach within a report component.  Consistently apply one approach for the entire report component.</w:t>
      </w:r>
    </w:p>
    <w:p w14:paraId="10723701" w14:textId="77777777" w:rsidR="00200A70" w:rsidRDefault="00200A70" w:rsidP="002C62B9">
      <w:pPr>
        <w:pStyle w:val="BodyText"/>
      </w:pPr>
      <w:r>
        <w:t xml:space="preserve">For example, a significant number of XBRL-based financial filings represent every balance sheet </w:t>
      </w:r>
      <w:proofErr w:type="gramStart"/>
      <w:r>
        <w:t>items</w:t>
      </w:r>
      <w:proofErr w:type="gramEnd"/>
      <w:r>
        <w:t xml:space="preserve"> using Concepts within a set of [Line Items].  And then the representation approach is changed in order to represent common stock.  This change causes an inability to express roll up computations consistently with all other roll up business rules and indicates a flawed representation approach.</w:t>
      </w:r>
    </w:p>
    <w:p w14:paraId="08B4DBD0" w14:textId="77777777" w:rsidR="00200A70" w:rsidRDefault="00200A70" w:rsidP="002C62B9">
      <w:pPr>
        <w:pStyle w:val="BodyText"/>
      </w:pPr>
      <w:r>
        <w:t>This screen shot below shows changing the representation approach used on the balance sheet where Concepts are used to represent balance sheet items and then the creator switches to using [Member]s to express common stock information. This results in a representation which is unnecessarily harder to use, inferior to an approach where items were used consistently to represent all information, and XBRL calculation errors.</w:t>
      </w:r>
    </w:p>
    <w:p w14:paraId="1D6161C1" w14:textId="77777777" w:rsidR="00200A70" w:rsidRDefault="00200A70" w:rsidP="002C62B9">
      <w:pPr>
        <w:pStyle w:val="BodyText"/>
        <w:jc w:val="center"/>
      </w:pPr>
      <w:r>
        <w:rPr>
          <w:noProof/>
        </w:rPr>
        <w:lastRenderedPageBreak/>
        <w:drawing>
          <wp:inline distT="0" distB="0" distL="0" distR="0" wp14:anchorId="43369769" wp14:editId="205B5D6E">
            <wp:extent cx="5444311" cy="5786323"/>
            <wp:effectExtent l="0" t="0" r="4445" b="5080"/>
            <wp:docPr id="1073741867" name="Picture 10737418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8"/>
                    <a:stretch>
                      <a:fillRect/>
                    </a:stretch>
                  </pic:blipFill>
                  <pic:spPr>
                    <a:xfrm>
                      <a:off x="0" y="0"/>
                      <a:ext cx="5469001" cy="5812564"/>
                    </a:xfrm>
                    <a:prstGeom prst="rect">
                      <a:avLst/>
                    </a:prstGeom>
                  </pic:spPr>
                </pic:pic>
              </a:graphicData>
            </a:graphic>
          </wp:inline>
        </w:drawing>
      </w:r>
    </w:p>
    <w:p w14:paraId="3BEFDC84" w14:textId="77777777" w:rsidR="00200A70" w:rsidRDefault="00200A70" w:rsidP="002C62B9">
      <w:pPr>
        <w:rPr>
          <w:rFonts w:ascii="Arial" w:hAnsi="Arial" w:cs="Arial"/>
          <w:b/>
          <w:bCs/>
          <w:i/>
          <w:iCs/>
          <w:sz w:val="28"/>
          <w:szCs w:val="28"/>
        </w:rPr>
      </w:pPr>
      <w:r>
        <w:br w:type="page"/>
      </w:r>
    </w:p>
    <w:p w14:paraId="7BEB7EA7" w14:textId="77777777" w:rsidR="00200A70" w:rsidRDefault="00200A70" w:rsidP="002C62B9">
      <w:pPr>
        <w:pStyle w:val="Heading2"/>
      </w:pPr>
      <w:bookmarkStart w:id="27" w:name="_Toc456627604"/>
      <w:r>
        <w:lastRenderedPageBreak/>
        <w:t>Avoid inconsistencies in network identification</w:t>
      </w:r>
      <w:bookmarkEnd w:id="27"/>
    </w:p>
    <w:p w14:paraId="1466D08B" w14:textId="77777777" w:rsidR="00200A70" w:rsidRDefault="00200A70" w:rsidP="002C62B9">
      <w:pPr>
        <w:pStyle w:val="BodyText"/>
      </w:pPr>
      <w:r>
        <w:t>When a report component is represented, the XBRL presentation relations, XBRL calculation relations, and XBRL definition relations related to that report component should have the same network naming (i.e. identifier, number, sort category, and title).  There is no reason to name report component pieces with differently/inconsistently (i.e. using different networks).</w:t>
      </w:r>
    </w:p>
    <w:p w14:paraId="475B3259" w14:textId="77777777" w:rsidR="00200A70" w:rsidRDefault="00200A70" w:rsidP="002C62B9">
      <w:pPr>
        <w:pStyle w:val="BodyText"/>
      </w:pPr>
      <w:r>
        <w:t xml:space="preserve">Saying this another way; if you use the network identifier </w:t>
      </w:r>
      <w:r w:rsidRPr="00CE50E3">
        <w:rPr>
          <w:i/>
        </w:rPr>
        <w:t>http://www.myCompany.com/role/BalanceSheet</w:t>
      </w:r>
      <w:r>
        <w:t xml:space="preserve"> on the presentation relations, </w:t>
      </w:r>
      <w:r w:rsidRPr="00CE50E3">
        <w:rPr>
          <w:i/>
        </w:rPr>
        <w:t>http://www.myCompany.com/role/BalanceSheet2</w:t>
      </w:r>
      <w:r>
        <w:t xml:space="preserve"> on the calculation relations, and </w:t>
      </w:r>
      <w:r w:rsidRPr="00CE50E3">
        <w:rPr>
          <w:i/>
        </w:rPr>
        <w:t>http://www.myCompany.com/role/BalanceSheet3</w:t>
      </w:r>
      <w:r>
        <w:t xml:space="preserve"> on the definition relations; software will not understand that those pieces go together and work together because it has no way of understanding that they go together.  Whereas if the presentation relations, calculation relations, and definition relations all use the same network identifier </w:t>
      </w:r>
      <w:r w:rsidRPr="00CE50E3">
        <w:rPr>
          <w:i/>
        </w:rPr>
        <w:t>http://www.myCompany.com/role/BalanceSheet</w:t>
      </w:r>
      <w:r>
        <w:t xml:space="preserve"> software will understand that the pieces go together.</w:t>
      </w:r>
    </w:p>
    <w:p w14:paraId="10A74F9C" w14:textId="77777777" w:rsidR="00200A70" w:rsidRDefault="00200A70" w:rsidP="002C62B9">
      <w:pPr>
        <w:pStyle w:val="BodyText"/>
      </w:pPr>
      <w:r>
        <w:t>Bottom line: use the same network identifier and network name for all relations expressed and business rules expressed for a report component.</w:t>
      </w:r>
    </w:p>
    <w:p w14:paraId="7DA5CDE3" w14:textId="77777777" w:rsidR="00200A70" w:rsidRDefault="00200A70" w:rsidP="002C62B9">
      <w:pPr>
        <w:pStyle w:val="Heading2"/>
      </w:pPr>
      <w:bookmarkStart w:id="28" w:name="_Toc456627605"/>
      <w:r>
        <w:t>Recognize that characteristics apply to all reported facts within a report component</w:t>
      </w:r>
      <w:bookmarkEnd w:id="28"/>
    </w:p>
    <w:p w14:paraId="5CD882D6" w14:textId="77777777" w:rsidR="00200A70" w:rsidRDefault="00200A70" w:rsidP="002C62B9">
      <w:pPr>
        <w:pStyle w:val="BodyText"/>
      </w:pPr>
      <w:r>
        <w:t xml:space="preserve">Recognize that a characteristic expressed via an [Axis] within a report component applies to every concept within that report component.  And </w:t>
      </w:r>
      <w:proofErr w:type="gramStart"/>
      <w:r>
        <w:t>so</w:t>
      </w:r>
      <w:proofErr w:type="gramEnd"/>
      <w:r>
        <w:t xml:space="preserve"> if a “Class of Stock [Axis]” exists on a balance sheet, you are saying that “Cash and Cash Equivalents”, “Inventories”, and all the other balance sheet items have a characteristic related to a class of stock.</w:t>
      </w:r>
    </w:p>
    <w:p w14:paraId="792031DE" w14:textId="77777777" w:rsidR="00200A70" w:rsidRPr="005D13B0" w:rsidRDefault="00200A70" w:rsidP="002C62B9">
      <w:pPr>
        <w:pStyle w:val="BodyText"/>
        <w:jc w:val="left"/>
      </w:pPr>
      <w:r w:rsidRPr="00EC5993">
        <w:t>Avoid doing this:</w:t>
      </w:r>
      <w:r w:rsidRPr="005D13B0">
        <w:t xml:space="preserve"> </w:t>
      </w:r>
      <w:hyperlink r:id="rId49" w:history="1">
        <w:r w:rsidRPr="00C512A9">
          <w:rPr>
            <w:rStyle w:val="Hyperlink"/>
            <w:sz w:val="16"/>
          </w:rPr>
          <w:t>http://www.sec.gov/Archives/edgar/data/1487685/000138713112000988/0001387131-12-000988-index.htm</w:t>
        </w:r>
      </w:hyperlink>
      <w:r>
        <w:rPr>
          <w:sz w:val="16"/>
        </w:rPr>
        <w:t xml:space="preserve"> </w:t>
      </w:r>
    </w:p>
    <w:p w14:paraId="63260197" w14:textId="77777777" w:rsidR="00200A70" w:rsidRDefault="00200A70" w:rsidP="002C62B9">
      <w:pPr>
        <w:pStyle w:val="BodyText"/>
      </w:pPr>
      <w:r>
        <w:rPr>
          <w:noProof/>
        </w:rPr>
        <w:drawing>
          <wp:inline distT="0" distB="0" distL="0" distR="0" wp14:anchorId="6C1C06F8" wp14:editId="0A445946">
            <wp:extent cx="5486400" cy="1410872"/>
            <wp:effectExtent l="0" t="0" r="0" b="0"/>
            <wp:docPr id="1073741868" name="Picture 10737418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0"/>
                    <a:stretch>
                      <a:fillRect/>
                    </a:stretch>
                  </pic:blipFill>
                  <pic:spPr>
                    <a:xfrm>
                      <a:off x="0" y="0"/>
                      <a:ext cx="5486400" cy="1410872"/>
                    </a:xfrm>
                    <a:prstGeom prst="rect">
                      <a:avLst/>
                    </a:prstGeom>
                  </pic:spPr>
                </pic:pic>
              </a:graphicData>
            </a:graphic>
          </wp:inline>
        </w:drawing>
      </w:r>
    </w:p>
    <w:p w14:paraId="4417E615" w14:textId="77777777" w:rsidR="00200A70" w:rsidRDefault="00200A70" w:rsidP="002C62B9">
      <w:pPr>
        <w:pStyle w:val="BodyText"/>
      </w:pPr>
      <w:r>
        <w:t>There are two things inappropriate about the above example.  First, three discrete pieces are all run together which makes the information harder to read.  Second, information about the allowance for doubtful accounts has a “Class of Stock [Axis]” and is associated with the “Class of Stock [Domain]” which makes no sense. A good clue that this representation is a mistake is all the empty cells that you see. Notice the four distinct groups of information for each period.  Those groups are things which do go together.</w:t>
      </w:r>
    </w:p>
    <w:p w14:paraId="63E28081" w14:textId="77777777" w:rsidR="00200A70" w:rsidRDefault="00200A70" w:rsidP="002C62B9">
      <w:pPr>
        <w:pStyle w:val="BodyText"/>
        <w:rPr>
          <w:i/>
        </w:rPr>
      </w:pPr>
    </w:p>
    <w:p w14:paraId="0368BCA5" w14:textId="77777777" w:rsidR="00200A70" w:rsidRDefault="00200A70" w:rsidP="002C62B9">
      <w:pPr>
        <w:pStyle w:val="BodyText"/>
        <w:rPr>
          <w:i/>
        </w:rPr>
      </w:pPr>
    </w:p>
    <w:p w14:paraId="6419A902" w14:textId="77777777" w:rsidR="00200A70" w:rsidRPr="000A16FC" w:rsidRDefault="00200A70" w:rsidP="002C62B9">
      <w:pPr>
        <w:pStyle w:val="BodyText"/>
        <w:rPr>
          <w:sz w:val="16"/>
        </w:rPr>
      </w:pPr>
      <w:r w:rsidRPr="00DD5032">
        <w:rPr>
          <w:i/>
        </w:rPr>
        <w:lastRenderedPageBreak/>
        <w:t>Better practice is this:</w:t>
      </w:r>
      <w:r>
        <w:rPr>
          <w:i/>
        </w:rPr>
        <w:t xml:space="preserve"> </w:t>
      </w:r>
      <w:hyperlink r:id="rId51" w:history="1">
        <w:r w:rsidRPr="000A16FC">
          <w:rPr>
            <w:rStyle w:val="Hyperlink"/>
            <w:sz w:val="16"/>
          </w:rPr>
          <w:t>http://goo.gl/4Q0cQh</w:t>
        </w:r>
      </w:hyperlink>
      <w:r w:rsidRPr="000A16FC">
        <w:rPr>
          <w:sz w:val="16"/>
        </w:rPr>
        <w:t xml:space="preserve"> </w:t>
      </w:r>
    </w:p>
    <w:p w14:paraId="47758BDD" w14:textId="77777777" w:rsidR="00200A70" w:rsidRDefault="00200A70" w:rsidP="002C62B9">
      <w:pPr>
        <w:pStyle w:val="BodyText"/>
      </w:pPr>
      <w:r>
        <w:rPr>
          <w:noProof/>
        </w:rPr>
        <w:drawing>
          <wp:inline distT="0" distB="0" distL="0" distR="0" wp14:anchorId="7B218B99" wp14:editId="50F55D20">
            <wp:extent cx="3328416" cy="513464"/>
            <wp:effectExtent l="0" t="0" r="5715" b="1270"/>
            <wp:docPr id="1073741869" name="Picture 10737418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2"/>
                    <a:stretch>
                      <a:fillRect/>
                    </a:stretch>
                  </pic:blipFill>
                  <pic:spPr>
                    <a:xfrm>
                      <a:off x="0" y="0"/>
                      <a:ext cx="3328416" cy="513464"/>
                    </a:xfrm>
                    <a:prstGeom prst="rect">
                      <a:avLst/>
                    </a:prstGeom>
                  </pic:spPr>
                </pic:pic>
              </a:graphicData>
            </a:graphic>
          </wp:inline>
        </w:drawing>
      </w:r>
    </w:p>
    <w:p w14:paraId="03838AD6" w14:textId="77777777" w:rsidR="00200A70" w:rsidRDefault="00200A70" w:rsidP="002C62B9">
      <w:pPr>
        <w:pStyle w:val="BodyText"/>
      </w:pPr>
      <w:r>
        <w:rPr>
          <w:noProof/>
        </w:rPr>
        <w:drawing>
          <wp:inline distT="0" distB="0" distL="0" distR="0" wp14:anchorId="700267DE" wp14:editId="2757A849">
            <wp:extent cx="5486400" cy="1212752"/>
            <wp:effectExtent l="0" t="0" r="0" b="6985"/>
            <wp:docPr id="1073741870" name="Picture 10737418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3"/>
                    <a:stretch>
                      <a:fillRect/>
                    </a:stretch>
                  </pic:blipFill>
                  <pic:spPr>
                    <a:xfrm>
                      <a:off x="0" y="0"/>
                      <a:ext cx="5486400" cy="1212752"/>
                    </a:xfrm>
                    <a:prstGeom prst="rect">
                      <a:avLst/>
                    </a:prstGeom>
                  </pic:spPr>
                </pic:pic>
              </a:graphicData>
            </a:graphic>
          </wp:inline>
        </w:drawing>
      </w:r>
    </w:p>
    <w:p w14:paraId="6871D648" w14:textId="77777777" w:rsidR="00200A70" w:rsidRDefault="00200A70" w:rsidP="002C62B9">
      <w:pPr>
        <w:pStyle w:val="BodyText"/>
      </w:pPr>
      <w:r>
        <w:rPr>
          <w:noProof/>
        </w:rPr>
        <w:drawing>
          <wp:inline distT="0" distB="0" distL="0" distR="0" wp14:anchorId="68DFBD14" wp14:editId="6A6589D2">
            <wp:extent cx="5486400" cy="1219200"/>
            <wp:effectExtent l="0" t="0" r="0" b="0"/>
            <wp:docPr id="1073741871" name="Picture 10737418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4"/>
                    <a:stretch>
                      <a:fillRect/>
                    </a:stretch>
                  </pic:blipFill>
                  <pic:spPr>
                    <a:xfrm>
                      <a:off x="0" y="0"/>
                      <a:ext cx="5486400" cy="1219200"/>
                    </a:xfrm>
                    <a:prstGeom prst="rect">
                      <a:avLst/>
                    </a:prstGeom>
                  </pic:spPr>
                </pic:pic>
              </a:graphicData>
            </a:graphic>
          </wp:inline>
        </w:drawing>
      </w:r>
    </w:p>
    <w:p w14:paraId="72367E3E" w14:textId="77777777" w:rsidR="00200A70" w:rsidRDefault="00200A70" w:rsidP="002C62B9">
      <w:pPr>
        <w:pStyle w:val="BodyText"/>
      </w:pPr>
      <w:r>
        <w:t>Notice how if the accounts receivables allowance, the preferred stock information, and the common stock information are separated it makes all the information easier to read each of those representations.  There are not a lot of empty cells.</w:t>
      </w:r>
    </w:p>
    <w:p w14:paraId="2F95F48E" w14:textId="77777777" w:rsidR="00200A70" w:rsidRDefault="00200A70" w:rsidP="002C62B9">
      <w:pPr>
        <w:pStyle w:val="Heading2"/>
      </w:pPr>
      <w:bookmarkStart w:id="29" w:name="_Toc456627606"/>
      <w:r>
        <w:t>Recognize that rendering engines render presentation differently but the meaning is the same across all rendering engines</w:t>
      </w:r>
      <w:bookmarkEnd w:id="29"/>
    </w:p>
    <w:p w14:paraId="26D3B1F2" w14:textId="77777777" w:rsidR="00200A70" w:rsidRDefault="00200A70" w:rsidP="002C62B9">
      <w:pPr>
        <w:pStyle w:val="BodyText"/>
      </w:pPr>
      <w:r>
        <w:t>Rendering engines render information from a digital financial report differently, however the meaning of the information is the same across all rendering engines. Why? The meaning of the information is specified within the XBRL technical specification and is not open to interpretation to the extent that that meaning is specified.</w:t>
      </w:r>
    </w:p>
    <w:p w14:paraId="225E59E5" w14:textId="77777777" w:rsidR="00200A70" w:rsidRDefault="00200A70" w:rsidP="002C62B9">
      <w:pPr>
        <w:pStyle w:val="BodyText"/>
      </w:pPr>
      <w:r>
        <w:t xml:space="preserve">Why should you care about this?  Well, SEC filers should be less concerned about how their information is presented within the SEC interactive data viewer because that is not how most people will be using that information.   If investors and analyst want to read the </w:t>
      </w:r>
      <w:proofErr w:type="gramStart"/>
      <w:r>
        <w:t>information</w:t>
      </w:r>
      <w:proofErr w:type="gramEnd"/>
      <w:r>
        <w:t xml:space="preserve"> they will use the HTML version of the report. Information will most likely be used in analysis tools, Excel, business intelligence software, or other digital representation.  That information will generally come from web service APIs.  Information will then be rendered by individual applications in many, many different ways.</w:t>
      </w:r>
    </w:p>
    <w:p w14:paraId="18AB7CE3" w14:textId="77777777" w:rsidR="00200A70" w:rsidRDefault="00200A70" w:rsidP="002C62B9">
      <w:pPr>
        <w:pStyle w:val="BodyText"/>
      </w:pPr>
      <w:r>
        <w:t>This is why the representation of the information is more critical to watch over than the presentation of the information.</w:t>
      </w:r>
    </w:p>
    <w:p w14:paraId="05E2CA03" w14:textId="77777777" w:rsidR="00200A70" w:rsidRDefault="00200A70" w:rsidP="002C62B9">
      <w:pPr>
        <w:pStyle w:val="BodyText"/>
      </w:pPr>
      <w:r>
        <w:t>Also, the SEC interactive data viewer is not a very good rendering engine.  It does not make a lot of information available.  For example, you cannot see roll up computations.</w:t>
      </w:r>
    </w:p>
    <w:p w14:paraId="686C9BBF" w14:textId="77777777" w:rsidR="00200A70" w:rsidRDefault="00200A70" w:rsidP="002C62B9">
      <w:pPr>
        <w:pStyle w:val="BodyText"/>
      </w:pPr>
      <w:r>
        <w:lastRenderedPageBreak/>
        <w:t xml:space="preserve">Consider the rendering below which shows calculations by cleverly putting a green check in the lower </w:t>
      </w:r>
      <w:proofErr w:type="gramStart"/>
      <w:r>
        <w:t>right hand</w:t>
      </w:r>
      <w:proofErr w:type="gramEnd"/>
      <w:r>
        <w:t xml:space="preserve"> corner of each roll up to show if the roll up is valid or invalid. (This rendering is provided by SECXBRL.info.)</w:t>
      </w:r>
    </w:p>
    <w:p w14:paraId="299FD33E" w14:textId="77777777" w:rsidR="00200A70" w:rsidRDefault="00200A70" w:rsidP="00980A48">
      <w:pPr>
        <w:pStyle w:val="BodyText"/>
        <w:rPr>
          <w:rFonts w:ascii="Arial" w:hAnsi="Arial" w:cs="Arial"/>
          <w:b/>
          <w:bCs/>
          <w:i/>
          <w:iCs/>
          <w:sz w:val="28"/>
          <w:szCs w:val="28"/>
        </w:rPr>
      </w:pPr>
      <w:r>
        <w:rPr>
          <w:noProof/>
        </w:rPr>
        <w:drawing>
          <wp:inline distT="0" distB="0" distL="0" distR="0" wp14:anchorId="54652A29" wp14:editId="480F3DD0">
            <wp:extent cx="5486400" cy="3126545"/>
            <wp:effectExtent l="0" t="0" r="0" b="0"/>
            <wp:docPr id="1073741872" name="Picture 10737418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5"/>
                    <a:stretch>
                      <a:fillRect/>
                    </a:stretch>
                  </pic:blipFill>
                  <pic:spPr>
                    <a:xfrm>
                      <a:off x="0" y="0"/>
                      <a:ext cx="5486400" cy="3126545"/>
                    </a:xfrm>
                    <a:prstGeom prst="rect">
                      <a:avLst/>
                    </a:prstGeom>
                  </pic:spPr>
                </pic:pic>
              </a:graphicData>
            </a:graphic>
          </wp:inline>
        </w:drawing>
      </w:r>
    </w:p>
    <w:p w14:paraId="7377B7BA" w14:textId="77777777" w:rsidR="00200A70" w:rsidRDefault="00200A70" w:rsidP="002C62B9">
      <w:pPr>
        <w:pStyle w:val="Heading2"/>
      </w:pPr>
      <w:bookmarkStart w:id="30" w:name="_Toc456627607"/>
      <w:r>
        <w:t>Recognize that the number of members in some reported set does not change the characteristics of a reported fact</w:t>
      </w:r>
      <w:bookmarkEnd w:id="30"/>
    </w:p>
    <w:p w14:paraId="52D06257" w14:textId="77777777" w:rsidR="00200A70" w:rsidRDefault="00200A70" w:rsidP="002C62B9">
      <w:pPr>
        <w:pStyle w:val="BodyText"/>
      </w:pPr>
      <w:r>
        <w:t>When information is represented, the number of [Member]s of a characteristic does not change the representation approach.  Whether that set of [Member]s has 5 members, or 3, or only 1; the representation approach does not change.</w:t>
      </w:r>
    </w:p>
    <w:p w14:paraId="1F59828B" w14:textId="77777777" w:rsidR="00200A70" w:rsidRDefault="00200A70" w:rsidP="002C62B9">
      <w:pPr>
        <w:pStyle w:val="BodyText"/>
      </w:pPr>
      <w:r>
        <w:t>For example, characteristic information which describes classes of common stock does not change if there is one, two, three, or many other classes of stock.  The number of [Member]s may change; but the characteristics of the class of stock information does not change.</w:t>
      </w:r>
    </w:p>
    <w:p w14:paraId="47F1C74B" w14:textId="77777777" w:rsidR="00200A70" w:rsidRPr="00EC5993" w:rsidRDefault="00200A70" w:rsidP="002C62B9">
      <w:pPr>
        <w:pStyle w:val="BodyText"/>
      </w:pPr>
      <w:r w:rsidRPr="00EC5993">
        <w:t xml:space="preserve">Avoid doing this: </w:t>
      </w:r>
      <w:hyperlink r:id="rId56" w:history="1">
        <w:r w:rsidRPr="00EC5993">
          <w:rPr>
            <w:rStyle w:val="Hyperlink"/>
          </w:rPr>
          <w:t>http://goo.gl/T2bisK</w:t>
        </w:r>
      </w:hyperlink>
      <w:r w:rsidRPr="00EC5993">
        <w:t xml:space="preserve"> </w:t>
      </w:r>
    </w:p>
    <w:p w14:paraId="217755F3" w14:textId="77777777" w:rsidR="00200A70" w:rsidRDefault="00200A70" w:rsidP="002C62B9">
      <w:pPr>
        <w:pStyle w:val="BodyText"/>
      </w:pPr>
      <w:r>
        <w:rPr>
          <w:noProof/>
        </w:rPr>
        <w:drawing>
          <wp:inline distT="0" distB="0" distL="0" distR="0" wp14:anchorId="0BC32304" wp14:editId="58230ABF">
            <wp:extent cx="4167434" cy="1170432"/>
            <wp:effectExtent l="0" t="0" r="5080" b="0"/>
            <wp:docPr id="1073741873" name="Picture 10737418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7"/>
                    <a:stretch>
                      <a:fillRect/>
                    </a:stretch>
                  </pic:blipFill>
                  <pic:spPr>
                    <a:xfrm>
                      <a:off x="0" y="0"/>
                      <a:ext cx="4167434" cy="1170432"/>
                    </a:xfrm>
                    <a:prstGeom prst="rect">
                      <a:avLst/>
                    </a:prstGeom>
                  </pic:spPr>
                </pic:pic>
              </a:graphicData>
            </a:graphic>
          </wp:inline>
        </w:drawing>
      </w:r>
    </w:p>
    <w:p w14:paraId="7A290C9D" w14:textId="77777777" w:rsidR="00200A70" w:rsidRDefault="00200A70" w:rsidP="002C62B9">
      <w:pPr>
        <w:pStyle w:val="BodyText"/>
      </w:pPr>
      <w:r>
        <w:t>Note that there is no “Class of Stock [Axis]” and therefore no “Class A Common Stock [Member]” to explicitly identify.</w:t>
      </w:r>
    </w:p>
    <w:p w14:paraId="13D5CBDD" w14:textId="77777777" w:rsidR="00200A70" w:rsidRPr="00EC5993" w:rsidRDefault="00200A70" w:rsidP="002C62B9">
      <w:pPr>
        <w:pStyle w:val="BodyText"/>
      </w:pPr>
      <w:r w:rsidRPr="00EC5993">
        <w:t xml:space="preserve">Better practice is this (even with only one member): </w:t>
      </w:r>
      <w:hyperlink r:id="rId58" w:history="1">
        <w:r w:rsidRPr="00EC5993">
          <w:rPr>
            <w:rStyle w:val="Hyperlink"/>
          </w:rPr>
          <w:t>http://goo.gl/qhRzF7</w:t>
        </w:r>
      </w:hyperlink>
      <w:r w:rsidRPr="00EC5993">
        <w:t xml:space="preserve"> </w:t>
      </w:r>
    </w:p>
    <w:p w14:paraId="0BFA9543" w14:textId="77777777" w:rsidR="00200A70" w:rsidRDefault="00200A70" w:rsidP="002C62B9">
      <w:pPr>
        <w:pStyle w:val="BodyText"/>
      </w:pPr>
      <w:r>
        <w:rPr>
          <w:noProof/>
        </w:rPr>
        <w:lastRenderedPageBreak/>
        <w:drawing>
          <wp:inline distT="0" distB="0" distL="0" distR="0" wp14:anchorId="5360275D" wp14:editId="2AD2FCCB">
            <wp:extent cx="5486400" cy="1525758"/>
            <wp:effectExtent l="0" t="0" r="0" b="0"/>
            <wp:docPr id="1073741874" name="Picture 10737418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9"/>
                    <a:stretch>
                      <a:fillRect/>
                    </a:stretch>
                  </pic:blipFill>
                  <pic:spPr>
                    <a:xfrm>
                      <a:off x="0" y="0"/>
                      <a:ext cx="5486400" cy="1525758"/>
                    </a:xfrm>
                    <a:prstGeom prst="rect">
                      <a:avLst/>
                    </a:prstGeom>
                  </pic:spPr>
                </pic:pic>
              </a:graphicData>
            </a:graphic>
          </wp:inline>
        </w:drawing>
      </w:r>
    </w:p>
    <w:p w14:paraId="273CD2C1" w14:textId="77777777" w:rsidR="00200A70" w:rsidRDefault="00200A70" w:rsidP="002C62B9">
      <w:pPr>
        <w:pStyle w:val="BodyText"/>
      </w:pPr>
      <w:r>
        <w:t>Notice how in the rendering above that (a) there is one class of stock, (b) that information is explicit and not implied, (c) there is a total for ALL classes of stock which so happens to be the same as the one class because there is only one class of stock.</w:t>
      </w:r>
    </w:p>
    <w:p w14:paraId="636DFE6B" w14:textId="77777777" w:rsidR="00200A70" w:rsidRDefault="00200A70" w:rsidP="002C62B9">
      <w:pPr>
        <w:pStyle w:val="BodyText"/>
      </w:pPr>
      <w:r>
        <w:t>Contrast the above to this (when you have two members this is the proper representation; why would you not provide the [Axis] if there is only one [Member]?</w:t>
      </w:r>
    </w:p>
    <w:p w14:paraId="0DC63394" w14:textId="77777777" w:rsidR="00200A70" w:rsidRPr="00EC5993" w:rsidRDefault="00200A70" w:rsidP="002C62B9">
      <w:pPr>
        <w:pStyle w:val="BodyText"/>
      </w:pPr>
      <w:r w:rsidRPr="00EC5993">
        <w:t xml:space="preserve">See: </w:t>
      </w:r>
      <w:hyperlink r:id="rId60" w:history="1">
        <w:r w:rsidRPr="00EC5993">
          <w:rPr>
            <w:rStyle w:val="Hyperlink"/>
          </w:rPr>
          <w:t>http://goo.gl/po3UtR</w:t>
        </w:r>
      </w:hyperlink>
      <w:r w:rsidRPr="00EC5993">
        <w:t xml:space="preserve"> </w:t>
      </w:r>
    </w:p>
    <w:p w14:paraId="07B56D0A" w14:textId="77777777" w:rsidR="00200A70" w:rsidRDefault="00200A70" w:rsidP="002C62B9">
      <w:pPr>
        <w:pStyle w:val="BodyText"/>
      </w:pPr>
      <w:r>
        <w:rPr>
          <w:noProof/>
        </w:rPr>
        <w:drawing>
          <wp:inline distT="0" distB="0" distL="0" distR="0" wp14:anchorId="7B38C1B2" wp14:editId="4B6BD495">
            <wp:extent cx="5486400" cy="1204546"/>
            <wp:effectExtent l="0" t="0" r="0" b="0"/>
            <wp:docPr id="1073741875" name="Picture 10737418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1"/>
                    <a:stretch>
                      <a:fillRect/>
                    </a:stretch>
                  </pic:blipFill>
                  <pic:spPr>
                    <a:xfrm>
                      <a:off x="0" y="0"/>
                      <a:ext cx="5486400" cy="1204546"/>
                    </a:xfrm>
                    <a:prstGeom prst="rect">
                      <a:avLst/>
                    </a:prstGeom>
                  </pic:spPr>
                </pic:pic>
              </a:graphicData>
            </a:graphic>
          </wp:inline>
        </w:drawing>
      </w:r>
    </w:p>
    <w:p w14:paraId="5624DBEB" w14:textId="77777777" w:rsidR="00200A70" w:rsidRDefault="00200A70" w:rsidP="002C62B9">
      <w:pPr>
        <w:pStyle w:val="BodyText"/>
      </w:pPr>
      <w:r>
        <w:t xml:space="preserve">Now a second class of stock is added.  Compare this with both the “Avoid doing this” and the “Better practice is </w:t>
      </w:r>
      <w:proofErr w:type="gramStart"/>
      <w:r>
        <w:t>this” examples</w:t>
      </w:r>
      <w:proofErr w:type="gramEnd"/>
      <w:r>
        <w:t xml:space="preserve"> and you begin to see why the better practice is better.  Further, if you look at the XBRL Formulas which support the representation, the formula does not change at all between 1 class of stock, 2 classes, and would not change if there were 50 classes of stock.  That is additional evidence that this is a better representation approach.</w:t>
      </w:r>
    </w:p>
    <w:p w14:paraId="5F15A48E" w14:textId="77777777" w:rsidR="00200A70" w:rsidRDefault="00200A70" w:rsidP="002C62B9">
      <w:pPr>
        <w:pStyle w:val="Heading2"/>
      </w:pPr>
      <w:bookmarkStart w:id="31" w:name="_Toc456627608"/>
      <w:r>
        <w:t>Label networks with meaningful information</w:t>
      </w:r>
      <w:bookmarkEnd w:id="31"/>
    </w:p>
    <w:p w14:paraId="5C56C1C9" w14:textId="77777777" w:rsidR="00200A70" w:rsidRDefault="00200A70" w:rsidP="002C62B9">
      <w:pPr>
        <w:pStyle w:val="BodyText"/>
      </w:pPr>
      <w:r>
        <w:t>When describing what is contained in your digital financial report, avoid terms which don’t allow a user of the information to understand what that section of the report contains.  For example, avoid the use of “Detail”, “Detail 1”, “Detail 2”, “Detail 3” as is shown below:</w:t>
      </w:r>
    </w:p>
    <w:p w14:paraId="075532EF" w14:textId="77777777" w:rsidR="00200A70" w:rsidRDefault="003373E7" w:rsidP="002C62B9">
      <w:pPr>
        <w:pStyle w:val="BodyText"/>
      </w:pPr>
      <w:hyperlink r:id="rId62" w:history="1">
        <w:r w:rsidR="00200A70" w:rsidRPr="003423F8">
          <w:rPr>
            <w:rStyle w:val="Hyperlink"/>
            <w:sz w:val="12"/>
          </w:rPr>
          <w:t>http://www.sec.gov/cgi-bin/viewer?action=view&amp;cik=888491&amp;accession_number=0001188112-13-000515&amp;xbrl_type=v#</w:t>
        </w:r>
      </w:hyperlink>
      <w:r w:rsidR="00200A70">
        <w:rPr>
          <w:sz w:val="12"/>
        </w:rPr>
        <w:t xml:space="preserve"> </w:t>
      </w:r>
    </w:p>
    <w:p w14:paraId="6A8FB86A" w14:textId="77777777" w:rsidR="00200A70" w:rsidRDefault="00200A70" w:rsidP="002C62B9">
      <w:pPr>
        <w:pStyle w:val="BodyText"/>
        <w:jc w:val="center"/>
      </w:pPr>
      <w:r>
        <w:rPr>
          <w:noProof/>
        </w:rPr>
        <w:lastRenderedPageBreak/>
        <w:drawing>
          <wp:inline distT="0" distB="0" distL="0" distR="0" wp14:anchorId="02C728FB" wp14:editId="2D7BD849">
            <wp:extent cx="5516438" cy="4228186"/>
            <wp:effectExtent l="0" t="0" r="0" b="0"/>
            <wp:docPr id="1073741876" name="Picture 1073741876" descr="C:\Users\Charlie\AppData\Local\Temp\SNAGHTML3e8ae6f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Charlie\AppData\Local\Temp\SNAGHTML3e8ae6fc.PNG"/>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5518829" cy="4230018"/>
                    </a:xfrm>
                    <a:prstGeom prst="rect">
                      <a:avLst/>
                    </a:prstGeom>
                    <a:noFill/>
                    <a:ln>
                      <a:noFill/>
                    </a:ln>
                  </pic:spPr>
                </pic:pic>
              </a:graphicData>
            </a:graphic>
          </wp:inline>
        </w:drawing>
      </w:r>
    </w:p>
    <w:p w14:paraId="26A2A030" w14:textId="77777777" w:rsidR="00200A70" w:rsidRDefault="00200A70" w:rsidP="002C62B9">
      <w:pPr>
        <w:pStyle w:val="BodyText"/>
      </w:pPr>
      <w:r>
        <w:t>Rather, use descriptive titles which accurately describe information contained in that section and help the user of the information understand what the section contains.</w:t>
      </w:r>
    </w:p>
    <w:p w14:paraId="47E81792" w14:textId="77777777" w:rsidR="00200A70" w:rsidRDefault="00200A70" w:rsidP="002C62B9">
      <w:pPr>
        <w:pStyle w:val="Heading2"/>
      </w:pPr>
      <w:bookmarkStart w:id="32" w:name="_Toc456627610"/>
      <w:r>
        <w:t>Information reported by one fact should not contradict or conflict with information reported by another fact</w:t>
      </w:r>
      <w:bookmarkEnd w:id="32"/>
    </w:p>
    <w:p w14:paraId="2DDD167B" w14:textId="77777777" w:rsidR="00200A70" w:rsidRDefault="00200A70" w:rsidP="002C62B9">
      <w:pPr>
        <w:pStyle w:val="BodyText"/>
      </w:pPr>
      <w:r>
        <w:t>When information is reported by one fact; that reported information should not contradict or conflict with information reported by another fact.  For example, consider this section of an income statement of a financial institution that uses interest-based reporting: (</w:t>
      </w:r>
      <w:r w:rsidRPr="00A51E75">
        <w:t>First Guaranty Bancshares, Inc.</w:t>
      </w:r>
      <w:r>
        <w:t xml:space="preserve">; </w:t>
      </w:r>
      <w:hyperlink r:id="rId64" w:history="1">
        <w:r w:rsidRPr="007F6864">
          <w:rPr>
            <w:rStyle w:val="Hyperlink"/>
          </w:rPr>
          <w:t>http://www.sec.gov/Archives/edgar/data/1408534/000140853416000053/0001408534-16-000053-index.htm</w:t>
        </w:r>
      </w:hyperlink>
      <w:r>
        <w:t xml:space="preserve">) </w:t>
      </w:r>
    </w:p>
    <w:p w14:paraId="15B42961" w14:textId="77777777" w:rsidR="00200A70" w:rsidRDefault="00200A70" w:rsidP="002C62B9">
      <w:pPr>
        <w:pStyle w:val="BodyText"/>
      </w:pPr>
      <w:r>
        <w:rPr>
          <w:noProof/>
        </w:rPr>
        <w:lastRenderedPageBreak/>
        <w:drawing>
          <wp:inline distT="0" distB="0" distL="0" distR="0" wp14:anchorId="03253DB8" wp14:editId="46BD741D">
            <wp:extent cx="5486400" cy="3200359"/>
            <wp:effectExtent l="0" t="0" r="0" b="0"/>
            <wp:docPr id="1073741877" name="Picture 1073741877" descr="C:\Users\Charlie\AppData\Local\Temp\SNAGHTML247aee2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Charlie\AppData\Local\Temp\SNAGHTML247aee24.PNG"/>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5486400" cy="3200359"/>
                    </a:xfrm>
                    <a:prstGeom prst="rect">
                      <a:avLst/>
                    </a:prstGeom>
                    <a:noFill/>
                    <a:ln>
                      <a:noFill/>
                    </a:ln>
                  </pic:spPr>
                </pic:pic>
              </a:graphicData>
            </a:graphic>
          </wp:inline>
        </w:drawing>
      </w:r>
    </w:p>
    <w:p w14:paraId="3BA426A9" w14:textId="77777777" w:rsidR="00200A70" w:rsidRDefault="00200A70" w:rsidP="002C62B9">
      <w:pPr>
        <w:pStyle w:val="BodyText"/>
      </w:pPr>
      <w:r>
        <w:t>If you look at the income statement in isolation nothing seems to be wrong.  However, if you are performing the correct testing you will become aware that the concept used to report the line item “Less: Provision for loan losses” using the concept “</w:t>
      </w:r>
      <w:r w:rsidRPr="00793094">
        <w:t>us-</w:t>
      </w:r>
      <w:proofErr w:type="gramStart"/>
      <w:r w:rsidRPr="00793094">
        <w:t>gaap:ProvisionForLoanAndLeaseLosses</w:t>
      </w:r>
      <w:proofErr w:type="gramEnd"/>
      <w:r>
        <w:t>” conflicts with another concept.</w:t>
      </w:r>
    </w:p>
    <w:p w14:paraId="236BF29E" w14:textId="77777777" w:rsidR="00200A70" w:rsidRDefault="00200A70" w:rsidP="002C62B9">
      <w:pPr>
        <w:pStyle w:val="BodyText"/>
      </w:pPr>
      <w:r>
        <w:t>Using the fundamental accounting concept relations, an inconsistency is pointed out.  When the inconsistency is investigated one discovers that the concept used conflicts with another concept that was reported which is also appropriate for reporting that line item, “</w:t>
      </w:r>
      <w:r w:rsidRPr="00793094">
        <w:t>us-</w:t>
      </w:r>
      <w:proofErr w:type="gramStart"/>
      <w:r w:rsidRPr="00793094">
        <w:t>gaap:ProvisionForLoanLeaseAndOtherLosses</w:t>
      </w:r>
      <w:proofErr w:type="gramEnd"/>
      <w:r>
        <w:t>”.</w:t>
      </w:r>
    </w:p>
    <w:p w14:paraId="7F476D56" w14:textId="77777777" w:rsidR="00200A70" w:rsidRDefault="00200A70" w:rsidP="002C62B9">
      <w:pPr>
        <w:pStyle w:val="BodyText"/>
      </w:pPr>
      <w:r>
        <w:rPr>
          <w:noProof/>
        </w:rPr>
        <w:drawing>
          <wp:inline distT="0" distB="0" distL="0" distR="0" wp14:anchorId="6D1C662F" wp14:editId="75890E42">
            <wp:extent cx="5486400" cy="2907269"/>
            <wp:effectExtent l="0" t="0" r="0" b="0"/>
            <wp:docPr id="1073741878" name="Picture 1073741878" descr="C:\Users\Charlie\AppData\Local\Temp\SNAGHTML247d82a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Charlie\AppData\Local\Temp\SNAGHTML247d82a6.PNG"/>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5486400" cy="2907269"/>
                    </a:xfrm>
                    <a:prstGeom prst="rect">
                      <a:avLst/>
                    </a:prstGeom>
                    <a:noFill/>
                    <a:ln>
                      <a:noFill/>
                    </a:ln>
                  </pic:spPr>
                </pic:pic>
              </a:graphicData>
            </a:graphic>
          </wp:inline>
        </w:drawing>
      </w:r>
    </w:p>
    <w:p w14:paraId="723A898E" w14:textId="77777777" w:rsidR="00200A70" w:rsidRDefault="00200A70" w:rsidP="002C62B9">
      <w:pPr>
        <w:pStyle w:val="BodyText"/>
      </w:pPr>
      <w:r>
        <w:t xml:space="preserve">Two obvious questions come to mind.  First, why do both facts exist?  And second, why is one fact positive and the other fact negative?  But a third question should be </w:t>
      </w:r>
      <w:r>
        <w:lastRenderedPageBreak/>
        <w:t>raised in your mind.  This question is the basis for becoming aware of this inconsistency in the first place.</w:t>
      </w:r>
    </w:p>
    <w:p w14:paraId="4ABBFC9A" w14:textId="77777777" w:rsidR="00200A70" w:rsidRDefault="00200A70" w:rsidP="002C62B9">
      <w:pPr>
        <w:pStyle w:val="BodyText"/>
      </w:pPr>
      <w:r>
        <w:t xml:space="preserve">The problem becomes apparent when you look at those two concepts in the US GAAP Financial Reporting XBRL Taxonomy: </w:t>
      </w:r>
      <w:hyperlink r:id="rId67" w:history="1">
        <w:r w:rsidRPr="007F6864">
          <w:rPr>
            <w:rStyle w:val="Hyperlink"/>
          </w:rPr>
          <w:t>http://goo.gl/Kai08L</w:t>
        </w:r>
      </w:hyperlink>
      <w:r>
        <w:t xml:space="preserve"> </w:t>
      </w:r>
    </w:p>
    <w:p w14:paraId="28D68F11" w14:textId="77777777" w:rsidR="00200A70" w:rsidRDefault="00200A70" w:rsidP="002C62B9">
      <w:pPr>
        <w:pStyle w:val="BodyText"/>
      </w:pPr>
      <w:r>
        <w:rPr>
          <w:noProof/>
        </w:rPr>
        <w:drawing>
          <wp:inline distT="0" distB="0" distL="0" distR="0" wp14:anchorId="25F4FD7A" wp14:editId="42AD02C4">
            <wp:extent cx="4042253" cy="2670048"/>
            <wp:effectExtent l="0" t="0" r="0" b="0"/>
            <wp:docPr id="1073741879" name="Picture 1073741879" descr="C:\Users\Charlie\AppData\Local\Temp\SNAGHTML24881f7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Charlie\AppData\Local\Temp\SNAGHTML24881f71.PNG"/>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4045377" cy="2672112"/>
                    </a:xfrm>
                    <a:prstGeom prst="rect">
                      <a:avLst/>
                    </a:prstGeom>
                    <a:noFill/>
                    <a:ln>
                      <a:noFill/>
                    </a:ln>
                  </pic:spPr>
                </pic:pic>
              </a:graphicData>
            </a:graphic>
          </wp:inline>
        </w:drawing>
      </w:r>
    </w:p>
    <w:p w14:paraId="4A3B40F6" w14:textId="77777777" w:rsidR="00200A70" w:rsidRDefault="00200A70" w:rsidP="002C62B9">
      <w:pPr>
        <w:pStyle w:val="BodyText"/>
      </w:pPr>
      <w:r>
        <w:t xml:space="preserve">While the presentation relations show the relation between the two concepts used, the XBRL calculation relations show this even more clearly: </w:t>
      </w:r>
      <w:hyperlink r:id="rId69" w:history="1">
        <w:r w:rsidRPr="007F6864">
          <w:rPr>
            <w:rStyle w:val="Hyperlink"/>
          </w:rPr>
          <w:t>http://goo.gl/Kai08L</w:t>
        </w:r>
      </w:hyperlink>
      <w:r>
        <w:t xml:space="preserve"> </w:t>
      </w:r>
    </w:p>
    <w:p w14:paraId="5E3809A3" w14:textId="77777777" w:rsidR="00200A70" w:rsidRDefault="00200A70" w:rsidP="002C62B9">
      <w:pPr>
        <w:pStyle w:val="BodyText"/>
      </w:pPr>
      <w:r>
        <w:rPr>
          <w:noProof/>
        </w:rPr>
        <w:drawing>
          <wp:inline distT="0" distB="0" distL="0" distR="0" wp14:anchorId="0250040E" wp14:editId="52B8414F">
            <wp:extent cx="5486400" cy="1408873"/>
            <wp:effectExtent l="0" t="0" r="0" b="1270"/>
            <wp:docPr id="1073741880" name="Picture 10737418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0"/>
                    <a:stretch>
                      <a:fillRect/>
                    </a:stretch>
                  </pic:blipFill>
                  <pic:spPr>
                    <a:xfrm>
                      <a:off x="0" y="0"/>
                      <a:ext cx="5486400" cy="1408873"/>
                    </a:xfrm>
                    <a:prstGeom prst="rect">
                      <a:avLst/>
                    </a:prstGeom>
                  </pic:spPr>
                </pic:pic>
              </a:graphicData>
            </a:graphic>
          </wp:inline>
        </w:drawing>
      </w:r>
    </w:p>
    <w:p w14:paraId="26D69E1D" w14:textId="77777777" w:rsidR="00200A70" w:rsidRDefault="00200A70" w:rsidP="002C62B9">
      <w:pPr>
        <w:pStyle w:val="BodyText"/>
      </w:pPr>
    </w:p>
    <w:p w14:paraId="127C8798" w14:textId="77777777" w:rsidR="00200A70" w:rsidRDefault="00200A70" w:rsidP="002C62B9">
      <w:pPr>
        <w:pStyle w:val="BodyText"/>
      </w:pPr>
      <w:r>
        <w:rPr>
          <w:noProof/>
        </w:rPr>
        <w:drawing>
          <wp:inline distT="0" distB="0" distL="0" distR="0" wp14:anchorId="01AE64B3" wp14:editId="1A59C7D9">
            <wp:extent cx="5486400" cy="1217801"/>
            <wp:effectExtent l="0" t="0" r="0" b="1905"/>
            <wp:docPr id="1073741881" name="Picture 10737418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1"/>
                    <a:stretch>
                      <a:fillRect/>
                    </a:stretch>
                  </pic:blipFill>
                  <pic:spPr>
                    <a:xfrm>
                      <a:off x="0" y="0"/>
                      <a:ext cx="5486400" cy="1217801"/>
                    </a:xfrm>
                    <a:prstGeom prst="rect">
                      <a:avLst/>
                    </a:prstGeom>
                  </pic:spPr>
                </pic:pic>
              </a:graphicData>
            </a:graphic>
          </wp:inline>
        </w:drawing>
      </w:r>
    </w:p>
    <w:p w14:paraId="4E6A8984" w14:textId="77777777" w:rsidR="00200A70" w:rsidRDefault="00200A70" w:rsidP="002C62B9">
      <w:pPr>
        <w:pStyle w:val="BodyText"/>
      </w:pPr>
      <w:r>
        <w:t xml:space="preserve">And so, it is completely illogical that the value of </w:t>
      </w:r>
      <w:r w:rsidRPr="00536091">
        <w:t>-3,864,000</w:t>
      </w:r>
      <w:r>
        <w:t xml:space="preserve"> reported using the concept “</w:t>
      </w:r>
      <w:r w:rsidRPr="00536091">
        <w:t>us-</w:t>
      </w:r>
      <w:proofErr w:type="gramStart"/>
      <w:r w:rsidRPr="00536091">
        <w:t>gaap:ProvisionForLoanLeaseAndOtherLosses</w:t>
      </w:r>
      <w:proofErr w:type="gramEnd"/>
      <w:r>
        <w:t xml:space="preserve">” and the value of </w:t>
      </w:r>
      <w:r w:rsidRPr="00536091">
        <w:t>3,864,000</w:t>
      </w:r>
      <w:r>
        <w:t xml:space="preserve"> reported using the concept “</w:t>
      </w:r>
      <w:r w:rsidRPr="00536091">
        <w:t>us-gaap:ProvisionForLoanAndLeaseLosses</w:t>
      </w:r>
      <w:r>
        <w:t>” could be correct.</w:t>
      </w:r>
    </w:p>
    <w:p w14:paraId="682A68BD" w14:textId="77777777" w:rsidR="00200A70" w:rsidRDefault="00200A70" w:rsidP="002C62B9">
      <w:pPr>
        <w:pStyle w:val="BodyText"/>
      </w:pPr>
      <w:r>
        <w:t xml:space="preserve">What did this filer do to cause this mistake?  Looking at the roll forward of the beginning and ending balance of the allowance for credit losses, of which the </w:t>
      </w:r>
      <w:r>
        <w:lastRenderedPageBreak/>
        <w:t>provision is a reconciling item, you can see that the filer used a different concept in that reconciliation than was used on the income statement and cash flow statement where this concept was also used.  First, here is the cash flow statement:</w:t>
      </w:r>
    </w:p>
    <w:p w14:paraId="3E01080E" w14:textId="77777777" w:rsidR="00200A70" w:rsidRDefault="00200A70" w:rsidP="002C62B9">
      <w:pPr>
        <w:pStyle w:val="BodyText"/>
      </w:pPr>
      <w:r>
        <w:rPr>
          <w:noProof/>
        </w:rPr>
        <w:drawing>
          <wp:inline distT="0" distB="0" distL="0" distR="0" wp14:anchorId="015498BE" wp14:editId="25747164">
            <wp:extent cx="5486400" cy="1786709"/>
            <wp:effectExtent l="0" t="0" r="0" b="0"/>
            <wp:docPr id="1073741882" name="Picture 1073741882" descr="C:\Users\Charlie\AppData\Local\Temp\SNAGHTML249af0c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Charlie\AppData\Local\Temp\SNAGHTML249af0c4.PNG"/>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5486400" cy="1786709"/>
                    </a:xfrm>
                    <a:prstGeom prst="rect">
                      <a:avLst/>
                    </a:prstGeom>
                    <a:noFill/>
                    <a:ln>
                      <a:noFill/>
                    </a:ln>
                  </pic:spPr>
                </pic:pic>
              </a:graphicData>
            </a:graphic>
          </wp:inline>
        </w:drawing>
      </w:r>
    </w:p>
    <w:p w14:paraId="489EE26B" w14:textId="77777777" w:rsidR="00200A70" w:rsidRDefault="00200A70" w:rsidP="002C62B9">
      <w:pPr>
        <w:pStyle w:val="BodyText"/>
      </w:pPr>
      <w:r>
        <w:t>And here is the other concept being used in the roll forward of the allowance:</w:t>
      </w:r>
    </w:p>
    <w:p w14:paraId="1260FAD7" w14:textId="77777777" w:rsidR="00200A70" w:rsidRDefault="00200A70" w:rsidP="002C62B9">
      <w:pPr>
        <w:pStyle w:val="BodyText"/>
      </w:pPr>
      <w:r>
        <w:rPr>
          <w:noProof/>
        </w:rPr>
        <w:drawing>
          <wp:inline distT="0" distB="0" distL="0" distR="0" wp14:anchorId="7F2EBDED" wp14:editId="3F392612">
            <wp:extent cx="5486400" cy="5135294"/>
            <wp:effectExtent l="0" t="0" r="0" b="8255"/>
            <wp:docPr id="1073741883" name="Picture 10737418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3"/>
                    <a:stretch>
                      <a:fillRect/>
                    </a:stretch>
                  </pic:blipFill>
                  <pic:spPr>
                    <a:xfrm>
                      <a:off x="0" y="0"/>
                      <a:ext cx="5486400" cy="5135294"/>
                    </a:xfrm>
                    <a:prstGeom prst="rect">
                      <a:avLst/>
                    </a:prstGeom>
                  </pic:spPr>
                </pic:pic>
              </a:graphicData>
            </a:graphic>
          </wp:inline>
        </w:drawing>
      </w:r>
    </w:p>
    <w:p w14:paraId="2D83C706" w14:textId="77777777" w:rsidR="00200A70" w:rsidRDefault="00200A70" w:rsidP="002C62B9">
      <w:pPr>
        <w:pStyle w:val="BodyText"/>
      </w:pPr>
      <w:r>
        <w:lastRenderedPageBreak/>
        <w:t>And so, one test of a basic relationship points out an error in the reported information.</w:t>
      </w:r>
    </w:p>
    <w:p w14:paraId="3376FE82" w14:textId="77777777" w:rsidR="00200A70" w:rsidRDefault="00200A70" w:rsidP="002C62B9">
      <w:pPr>
        <w:pStyle w:val="BodyText"/>
      </w:pPr>
      <w:r>
        <w:t>Many facts are related to other reported facts.  While the fundamental accounting concept relations point out some of these sorts of relations, many other such relations exist.  In this specific case you see a relation between facts on the income statement, cash flow statement, and then a relation that should exist in the disclosure of the roll forward of the allowance for loan losses.</w:t>
      </w:r>
    </w:p>
    <w:p w14:paraId="770E8615" w14:textId="77777777" w:rsidR="00200A70" w:rsidRDefault="00200A70" w:rsidP="002C62B9">
      <w:pPr>
        <w:pStyle w:val="BodyText"/>
      </w:pPr>
      <w:r>
        <w:t>It is important that this information be represented correctly so that contradictions and inconsistencies do not exist in XBRL-based digital financial reports that you create.</w:t>
      </w:r>
    </w:p>
    <w:p w14:paraId="033AD110" w14:textId="77777777" w:rsidR="00200A70" w:rsidRDefault="00200A70" w:rsidP="002C62B9">
      <w:pPr>
        <w:pStyle w:val="Heading2"/>
      </w:pPr>
      <w:bookmarkStart w:id="33" w:name="_Toc456627611"/>
      <w:r>
        <w:t>Recognize the difference between dependent and independent characteristics</w:t>
      </w:r>
      <w:bookmarkEnd w:id="33"/>
    </w:p>
    <w:p w14:paraId="027308FD" w14:textId="77777777" w:rsidR="00200A70" w:rsidRDefault="00200A70" w:rsidP="002C62B9">
      <w:pPr>
        <w:pStyle w:val="BodyText"/>
      </w:pPr>
      <w:r>
        <w:t>Every characteristic of a report component can stand alone.  If an additional characteristic is added to a report component; that characteristic must be independent of all other characteristics.</w:t>
      </w:r>
    </w:p>
    <w:p w14:paraId="122C91E8" w14:textId="77777777" w:rsidR="00200A70" w:rsidRDefault="00200A70" w:rsidP="002C62B9">
      <w:pPr>
        <w:pStyle w:val="BodyText"/>
      </w:pPr>
      <w:r>
        <w:t>[</w:t>
      </w:r>
      <w:r w:rsidRPr="0056118E">
        <w:rPr>
          <w:highlight w:val="yellow"/>
        </w:rPr>
        <w:t>CSH: TO D</w:t>
      </w:r>
      <w:r>
        <w:rPr>
          <w:highlight w:val="yellow"/>
        </w:rPr>
        <w:t xml:space="preserve">O, this is from Campbell Pryde’s document </w:t>
      </w:r>
      <w:r w:rsidRPr="00980A48">
        <w:rPr>
          <w:i/>
          <w:highlight w:val="yellow"/>
        </w:rPr>
        <w:t>Dimensions Guidance</w:t>
      </w:r>
      <w:r>
        <w:t>.]</w:t>
      </w:r>
    </w:p>
    <w:p w14:paraId="52E61A09" w14:textId="77777777" w:rsidR="00200A70" w:rsidRDefault="00200A70" w:rsidP="002C62B9">
      <w:pPr>
        <w:pStyle w:val="Heading2"/>
      </w:pPr>
      <w:bookmarkStart w:id="34" w:name="_Toc456627612"/>
      <w:r>
        <w:t>Recognize that one or many characteristics form a key which is used to identify facts.</w:t>
      </w:r>
      <w:bookmarkEnd w:id="34"/>
    </w:p>
    <w:p w14:paraId="6081BCA7" w14:textId="77777777" w:rsidR="00200A70" w:rsidRDefault="00200A70" w:rsidP="002C62B9">
      <w:pPr>
        <w:pStyle w:val="BodyText"/>
      </w:pPr>
      <w:r>
        <w:t>If you understand databases then you probably understand the notion of a “key”.  I key is used to uniquely identify a row in a database table.  Similar to databases, characteristics play the role of providing a key that uniquely identifies a fact.  A single key characteristic might exist or you might need to create a composite key using multiple characteristics</w:t>
      </w:r>
    </w:p>
    <w:bookmarkEnd w:id="1"/>
    <w:p w14:paraId="6C2F442F" w14:textId="77777777" w:rsidR="00200A70" w:rsidRDefault="00200A70" w:rsidP="00980A48">
      <w:pPr>
        <w:pStyle w:val="BodyText"/>
      </w:pPr>
      <w:r>
        <w:t>[</w:t>
      </w:r>
      <w:r w:rsidRPr="0056118E">
        <w:rPr>
          <w:highlight w:val="yellow"/>
        </w:rPr>
        <w:t>CSH: TO D</w:t>
      </w:r>
      <w:r>
        <w:rPr>
          <w:highlight w:val="yellow"/>
        </w:rPr>
        <w:t xml:space="preserve">O, this is from Campbell Pryde’s document </w:t>
      </w:r>
      <w:r w:rsidRPr="00980A48">
        <w:rPr>
          <w:i/>
          <w:highlight w:val="yellow"/>
        </w:rPr>
        <w:t>Dimensions Guidance</w:t>
      </w:r>
      <w:r>
        <w:t>.]</w:t>
      </w:r>
    </w:p>
    <w:p w14:paraId="6C57A007" w14:textId="77777777" w:rsidR="00200A70" w:rsidRDefault="00200A70" w:rsidP="00E64212">
      <w:pPr>
        <w:pStyle w:val="Heading2"/>
      </w:pPr>
      <w:r>
        <w:t>Respect WHOLE/PART relations</w:t>
      </w:r>
    </w:p>
    <w:p w14:paraId="78A32E8A" w14:textId="77777777" w:rsidR="00200A70" w:rsidRDefault="00200A70" w:rsidP="00E64212">
      <w:pPr>
        <w:pStyle w:val="BodyText"/>
      </w:pPr>
      <w:r>
        <w:t>Concepts are related to other concepts.  One of the types of relations is where some concept is a WHOLE and some other concept is a PART of that WHOLE.  These relations must be respected. The best way to understand this is to look at an example.</w:t>
      </w:r>
    </w:p>
    <w:p w14:paraId="273D6A08" w14:textId="77777777" w:rsidR="00200A70" w:rsidRDefault="00200A70" w:rsidP="00E64212">
      <w:pPr>
        <w:pStyle w:val="BodyText"/>
      </w:pPr>
      <w:r>
        <w:t>Consider this public company XBRL-based financial filing as an example:</w:t>
      </w:r>
    </w:p>
    <w:p w14:paraId="7A197F28" w14:textId="77777777" w:rsidR="00200A70" w:rsidRPr="00E64212" w:rsidRDefault="00200A70" w:rsidP="00E64212">
      <w:pPr>
        <w:pStyle w:val="BodyText"/>
      </w:pPr>
      <w:r w:rsidRPr="00E64212">
        <w:t>APPLIED INDUSTRIAL TECHNOLOGIES INC</w:t>
      </w:r>
    </w:p>
    <w:p w14:paraId="3F3021F5" w14:textId="77777777" w:rsidR="00200A70" w:rsidRDefault="003373E7" w:rsidP="00E64212">
      <w:pPr>
        <w:rPr>
          <w:lang w:val="en-GB"/>
        </w:rPr>
      </w:pPr>
      <w:hyperlink r:id="rId74" w:history="1">
        <w:r w:rsidR="00200A70" w:rsidRPr="00E64212">
          <w:rPr>
            <w:rStyle w:val="Hyperlink"/>
          </w:rPr>
          <w:t>http://www.sec.gov/Archives/edgar/data/109563/000010956316000309/0000109563-16-000309-index.htm</w:t>
        </w:r>
      </w:hyperlink>
    </w:p>
    <w:p w14:paraId="34939ABB" w14:textId="77777777" w:rsidR="00200A70" w:rsidRPr="00E64212" w:rsidRDefault="00200A70" w:rsidP="00E64212">
      <w:pPr>
        <w:pStyle w:val="BodyText"/>
      </w:pPr>
      <w:r w:rsidRPr="00E64212">
        <w:t>This public company is reporting conflicting, contradictory revenues related facts.  Per the US GAAP XBRL Taxonomy the concept “us-</w:t>
      </w:r>
      <w:proofErr w:type="gramStart"/>
      <w:r w:rsidRPr="00E64212">
        <w:t>gaap:SalesRevenueNet</w:t>
      </w:r>
      <w:proofErr w:type="gramEnd"/>
      <w:r w:rsidRPr="00E64212">
        <w:t>” is PART of the WHOLE “us-gaap:Revenues”.  Yet this company reports a PART that is more than the WHOLE. This is illogical.</w:t>
      </w:r>
      <w:r>
        <w:t xml:space="preserve">  This screen shot shows two revenue related facts that are reported;</w:t>
      </w:r>
    </w:p>
    <w:p w14:paraId="1DA3D2E6" w14:textId="77777777" w:rsidR="00200A70" w:rsidRPr="00E64212" w:rsidRDefault="00200A70" w:rsidP="00E64212">
      <w:r w:rsidRPr="00E64212">
        <w:rPr>
          <w:noProof/>
        </w:rPr>
        <w:lastRenderedPageBreak/>
        <w:drawing>
          <wp:inline distT="0" distB="0" distL="0" distR="0" wp14:anchorId="0E76513D" wp14:editId="6C175CAF">
            <wp:extent cx="6444660" cy="1505046"/>
            <wp:effectExtent l="0" t="0" r="0" b="0"/>
            <wp:docPr id="1073741884" name="Picture 1073741884" descr="cid:image005.png@01D252BE.25C5CE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id:image005.png@01D252BE.25C5CE70"/>
                    <pic:cNvPicPr>
                      <a:picLocks noChangeAspect="1" noChangeArrowheads="1"/>
                    </pic:cNvPicPr>
                  </pic:nvPicPr>
                  <pic:blipFill>
                    <a:blip r:embed="rId75" r:link="rId76">
                      <a:extLst>
                        <a:ext uri="{28A0092B-C50C-407E-A947-70E740481C1C}">
                          <a14:useLocalDpi xmlns:a14="http://schemas.microsoft.com/office/drawing/2010/main" val="0"/>
                        </a:ext>
                      </a:extLst>
                    </a:blip>
                    <a:srcRect/>
                    <a:stretch>
                      <a:fillRect/>
                    </a:stretch>
                  </pic:blipFill>
                  <pic:spPr bwMode="auto">
                    <a:xfrm>
                      <a:off x="0" y="0"/>
                      <a:ext cx="6444741" cy="1505065"/>
                    </a:xfrm>
                    <a:prstGeom prst="rect">
                      <a:avLst/>
                    </a:prstGeom>
                    <a:noFill/>
                    <a:ln>
                      <a:noFill/>
                    </a:ln>
                  </pic:spPr>
                </pic:pic>
              </a:graphicData>
            </a:graphic>
          </wp:inline>
        </w:drawing>
      </w:r>
    </w:p>
    <w:p w14:paraId="30DE88AA" w14:textId="77777777" w:rsidR="00200A70" w:rsidRPr="00E64212" w:rsidRDefault="00200A70" w:rsidP="00E64212">
      <w:r w:rsidRPr="00E64212">
        <w:t>US GAAP XBRL Taxonomy:</w:t>
      </w:r>
    </w:p>
    <w:p w14:paraId="642DA3B1" w14:textId="77777777" w:rsidR="00200A70" w:rsidRPr="00E64212" w:rsidRDefault="00200A70" w:rsidP="00E64212">
      <w:r w:rsidRPr="00E64212">
        <w:rPr>
          <w:noProof/>
        </w:rPr>
        <w:drawing>
          <wp:inline distT="0" distB="0" distL="0" distR="0" wp14:anchorId="574BA95F" wp14:editId="0CAD8ED6">
            <wp:extent cx="6174448" cy="1345996"/>
            <wp:effectExtent l="0" t="0" r="0" b="6985"/>
            <wp:docPr id="1073741885" name="Picture 1073741885" descr="cid:image001.png@01D252BF.2A233FB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id:image001.png@01D252BF.2A233FB0"/>
                    <pic:cNvPicPr>
                      <a:picLocks noChangeAspect="1" noChangeArrowheads="1"/>
                    </pic:cNvPicPr>
                  </pic:nvPicPr>
                  <pic:blipFill>
                    <a:blip r:embed="rId77" r:link="rId78">
                      <a:extLst>
                        <a:ext uri="{28A0092B-C50C-407E-A947-70E740481C1C}">
                          <a14:useLocalDpi xmlns:a14="http://schemas.microsoft.com/office/drawing/2010/main" val="0"/>
                        </a:ext>
                      </a:extLst>
                    </a:blip>
                    <a:srcRect/>
                    <a:stretch>
                      <a:fillRect/>
                    </a:stretch>
                  </pic:blipFill>
                  <pic:spPr bwMode="auto">
                    <a:xfrm>
                      <a:off x="0" y="0"/>
                      <a:ext cx="6194810" cy="1350435"/>
                    </a:xfrm>
                    <a:prstGeom prst="rect">
                      <a:avLst/>
                    </a:prstGeom>
                    <a:noFill/>
                    <a:ln>
                      <a:noFill/>
                    </a:ln>
                  </pic:spPr>
                </pic:pic>
              </a:graphicData>
            </a:graphic>
          </wp:inline>
        </w:drawing>
      </w:r>
    </w:p>
    <w:p w14:paraId="45EDB782" w14:textId="77777777" w:rsidR="00200A70" w:rsidRPr="00E64212" w:rsidRDefault="00200A70" w:rsidP="00E64212">
      <w:r w:rsidRPr="00E64212">
        <w:t>Income statement:</w:t>
      </w:r>
    </w:p>
    <w:p w14:paraId="4BA5D9E1" w14:textId="77777777" w:rsidR="00200A70" w:rsidRPr="00E64212" w:rsidRDefault="00200A70" w:rsidP="00E64212">
      <w:r w:rsidRPr="00E64212">
        <w:rPr>
          <w:noProof/>
        </w:rPr>
        <w:drawing>
          <wp:inline distT="0" distB="0" distL="0" distR="0" wp14:anchorId="794D5BBD" wp14:editId="27C5641D">
            <wp:extent cx="4447642" cy="2309188"/>
            <wp:effectExtent l="0" t="0" r="0" b="0"/>
            <wp:docPr id="1073741886" name="Picture 1073741886" descr="cid:image007.png@01D252BE.25C5CE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id:image007.png@01D252BE.25C5CE70"/>
                    <pic:cNvPicPr>
                      <a:picLocks noChangeAspect="1" noChangeArrowheads="1"/>
                    </pic:cNvPicPr>
                  </pic:nvPicPr>
                  <pic:blipFill>
                    <a:blip r:embed="rId79" r:link="rId80">
                      <a:extLst>
                        <a:ext uri="{28A0092B-C50C-407E-A947-70E740481C1C}">
                          <a14:useLocalDpi xmlns:a14="http://schemas.microsoft.com/office/drawing/2010/main" val="0"/>
                        </a:ext>
                      </a:extLst>
                    </a:blip>
                    <a:srcRect/>
                    <a:stretch>
                      <a:fillRect/>
                    </a:stretch>
                  </pic:blipFill>
                  <pic:spPr bwMode="auto">
                    <a:xfrm>
                      <a:off x="0" y="0"/>
                      <a:ext cx="4454084" cy="2312533"/>
                    </a:xfrm>
                    <a:prstGeom prst="rect">
                      <a:avLst/>
                    </a:prstGeom>
                    <a:noFill/>
                    <a:ln>
                      <a:noFill/>
                    </a:ln>
                  </pic:spPr>
                </pic:pic>
              </a:graphicData>
            </a:graphic>
          </wp:inline>
        </w:drawing>
      </w:r>
    </w:p>
    <w:p w14:paraId="34A47CE8" w14:textId="77777777" w:rsidR="00200A70" w:rsidRPr="00E64212" w:rsidRDefault="00200A70" w:rsidP="00E64212">
      <w:r w:rsidRPr="00E64212">
        <w:t>Segment disclosure:</w:t>
      </w:r>
    </w:p>
    <w:p w14:paraId="2558A6E6" w14:textId="77777777" w:rsidR="00200A70" w:rsidRPr="00E64212" w:rsidRDefault="00200A70" w:rsidP="00E64212">
      <w:r w:rsidRPr="00E64212">
        <w:rPr>
          <w:noProof/>
        </w:rPr>
        <w:lastRenderedPageBreak/>
        <w:drawing>
          <wp:inline distT="0" distB="0" distL="0" distR="0" wp14:anchorId="5A9E6927" wp14:editId="0A34D4FD">
            <wp:extent cx="4615891" cy="4821451"/>
            <wp:effectExtent l="0" t="0" r="0" b="0"/>
            <wp:docPr id="1073741887" name="Picture 1073741887" descr="cid:image008.png@01D252BE.25C5CE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id:image008.png@01D252BE.25C5CE70"/>
                    <pic:cNvPicPr>
                      <a:picLocks noChangeAspect="1" noChangeArrowheads="1"/>
                    </pic:cNvPicPr>
                  </pic:nvPicPr>
                  <pic:blipFill>
                    <a:blip r:embed="rId81" r:link="rId82">
                      <a:extLst>
                        <a:ext uri="{28A0092B-C50C-407E-A947-70E740481C1C}">
                          <a14:useLocalDpi xmlns:a14="http://schemas.microsoft.com/office/drawing/2010/main" val="0"/>
                        </a:ext>
                      </a:extLst>
                    </a:blip>
                    <a:srcRect/>
                    <a:stretch>
                      <a:fillRect/>
                    </a:stretch>
                  </pic:blipFill>
                  <pic:spPr bwMode="auto">
                    <a:xfrm>
                      <a:off x="0" y="0"/>
                      <a:ext cx="4616185" cy="4821758"/>
                    </a:xfrm>
                    <a:prstGeom prst="rect">
                      <a:avLst/>
                    </a:prstGeom>
                    <a:noFill/>
                    <a:ln>
                      <a:noFill/>
                    </a:ln>
                  </pic:spPr>
                </pic:pic>
              </a:graphicData>
            </a:graphic>
          </wp:inline>
        </w:drawing>
      </w:r>
    </w:p>
    <w:p w14:paraId="5CA8E2BF" w14:textId="77777777" w:rsidR="00200A70" w:rsidRDefault="00200A70" w:rsidP="00AA6CFB">
      <w:pPr>
        <w:rPr>
          <w:lang w:val="en-GB"/>
        </w:rPr>
      </w:pPr>
    </w:p>
    <w:p w14:paraId="290C6CF5" w14:textId="77777777" w:rsidR="00C5321A" w:rsidRDefault="00C5321A" w:rsidP="00AA6CFB">
      <w:pPr>
        <w:rPr>
          <w:lang w:val="en-GB"/>
        </w:rPr>
      </w:pPr>
    </w:p>
    <w:p w14:paraId="522DCA97" w14:textId="77777777" w:rsidR="00C5321A" w:rsidRDefault="00C5321A" w:rsidP="00AA6CFB">
      <w:pPr>
        <w:rPr>
          <w:lang w:val="en-GB"/>
        </w:rPr>
      </w:pPr>
    </w:p>
    <w:sectPr w:rsidR="00C5321A" w:rsidSect="00D5119C">
      <w:headerReference w:type="default" r:id="rId83"/>
      <w:footerReference w:type="default" r:id="rId84"/>
      <w:endnotePr>
        <w:numFmt w:val="decimal"/>
      </w:endnotePr>
      <w:pgSz w:w="12240" w:h="15840" w:code="1"/>
      <w:pgMar w:top="1440" w:right="1800" w:bottom="1714" w:left="180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3EB4C9A3" w14:textId="77777777" w:rsidR="003373E7" w:rsidRDefault="003373E7">
      <w:r>
        <w:separator/>
      </w:r>
    </w:p>
  </w:endnote>
  <w:endnote w:type="continuationSeparator" w:id="0">
    <w:p w14:paraId="2A38953E" w14:textId="77777777" w:rsidR="003373E7" w:rsidRDefault="003373E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Verdana">
    <w:panose1 w:val="020B0604030504040204"/>
    <w:charset w:val="00"/>
    <w:family w:val="swiss"/>
    <w:pitch w:val="variable"/>
    <w:sig w:usb0="A00006FF" w:usb1="4000205B" w:usb2="00000010" w:usb3="00000000" w:csb0="000001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auto"/>
    <w:notTrueType/>
    <w:pitch w:val="fixed"/>
    <w:sig w:usb0="00000001" w:usb1="09060000" w:usb2="00000010" w:usb3="00000000" w:csb0="00080000"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 w:name="AvantGarde">
    <w:altName w:val="Century Gothic"/>
    <w:charset w:val="00"/>
    <w:family w:val="auto"/>
    <w:pitch w:val="default"/>
  </w:font>
  <w:font w:name="Arial Narrow">
    <w:panose1 w:val="020B0606020202030204"/>
    <w:charset w:val="00"/>
    <w:family w:val="swiss"/>
    <w:pitch w:val="variable"/>
    <w:sig w:usb0="00000287" w:usb1="00000800" w:usb2="00000000" w:usb3="00000000" w:csb0="0000009F" w:csb1="00000000"/>
  </w:font>
  <w:font w:name="Georgia">
    <w:panose1 w:val="02040502050405020303"/>
    <w:charset w:val="00"/>
    <w:family w:val="roman"/>
    <w:pitch w:val="variable"/>
    <w:sig w:usb0="00000287" w:usb1="00000000" w:usb2="00000000" w:usb3="00000000" w:csb0="0000009F" w:csb1="00000000"/>
  </w:font>
  <w:font w:name="Arial Narrow Bold">
    <w:panose1 w:val="020B0706020202030204"/>
    <w:charset w:val="00"/>
    <w:family w:val="auto"/>
    <w:pitch w:val="variable"/>
    <w:sig w:usb0="03000000"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Lucida Sans Unicode">
    <w:panose1 w:val="020B0602030504020204"/>
    <w:charset w:val="00"/>
    <w:family w:val="swiss"/>
    <w:pitch w:val="variable"/>
    <w:sig w:usb0="80000AFF" w:usb1="0000396B" w:usb2="00000000" w:usb3="00000000" w:csb0="000000B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3C5C0EE" w14:textId="77777777" w:rsidR="00AB700A" w:rsidRDefault="00AB700A">
    <w:pPr>
      <w:pStyle w:val="Footer"/>
      <w:rPr>
        <w:rFonts w:cs="Lucida Sans Unicode"/>
        <w:sz w:val="16"/>
      </w:rPr>
    </w:pPr>
    <w:r>
      <w:rPr>
        <w:noProof/>
      </w:rPr>
      <w:drawing>
        <wp:inline distT="0" distB="0" distL="0" distR="0" wp14:anchorId="27F89CD7" wp14:editId="07A5B1A9">
          <wp:extent cx="1302385" cy="241300"/>
          <wp:effectExtent l="0" t="0" r="0" b="6350"/>
          <wp:docPr id="5" name="Picture 5">
            <a:hlinkClick xmlns:a="http://schemas.openxmlformats.org/drawingml/2006/main" r:id="rId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a:hlinkClick r:id="rId1"/>
                  </pic:cNvPr>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302385" cy="241300"/>
                  </a:xfrm>
                  <a:prstGeom prst="rect">
                    <a:avLst/>
                  </a:prstGeom>
                  <a:noFill/>
                  <a:ln>
                    <a:noFill/>
                  </a:ln>
                </pic:spPr>
              </pic:pic>
            </a:graphicData>
          </a:graphic>
        </wp:inline>
      </w:drawing>
    </w:r>
    <w:r>
      <w:rPr>
        <w:color w:val="000000"/>
        <w:sz w:val="16"/>
        <w:szCs w:val="16"/>
      </w:rPr>
      <w:br/>
    </w:r>
    <w:r>
      <w:rPr>
        <w:color w:val="000000"/>
        <w:sz w:val="12"/>
        <w:szCs w:val="16"/>
      </w:rPr>
      <w:t>CC0 1.0 Universal (CC0 1.0) Public Domain Dedication</w:t>
    </w:r>
    <w:r>
      <w:t xml:space="preserve"> </w:t>
    </w:r>
    <w:hyperlink r:id="rId3" w:history="1">
      <w:r>
        <w:rPr>
          <w:rStyle w:val="Hyperlink"/>
          <w:sz w:val="12"/>
          <w:szCs w:val="16"/>
        </w:rPr>
        <w:t>https://creativecommons.org/publicdomain/zero/1.0/</w:t>
      </w:r>
    </w:hyperlink>
    <w:r>
      <w:rPr>
        <w:rFonts w:cs="Lucida Sans Unicode"/>
        <w:sz w:val="16"/>
      </w:rPr>
      <w:tab/>
    </w:r>
    <w:r>
      <w:rPr>
        <w:rFonts w:cs="Lucida Sans Unicode"/>
        <w:sz w:val="16"/>
      </w:rPr>
      <w:fldChar w:fldCharType="begin"/>
    </w:r>
    <w:r>
      <w:rPr>
        <w:rFonts w:cs="Lucida Sans Unicode"/>
        <w:sz w:val="16"/>
      </w:rPr>
      <w:instrText xml:space="preserve"> PAGE </w:instrText>
    </w:r>
    <w:r>
      <w:rPr>
        <w:rFonts w:cs="Lucida Sans Unicode"/>
        <w:sz w:val="16"/>
      </w:rPr>
      <w:fldChar w:fldCharType="separate"/>
    </w:r>
    <w:r w:rsidR="00E1629E">
      <w:rPr>
        <w:rFonts w:cs="Lucida Sans Unicode"/>
        <w:sz w:val="16"/>
      </w:rPr>
      <w:t>2</w:t>
    </w:r>
    <w:r>
      <w:rPr>
        <w:rFonts w:cs="Lucida Sans Unicode"/>
        <w:sz w:val="16"/>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28D27104" w14:textId="77777777" w:rsidR="003373E7" w:rsidRDefault="003373E7">
      <w:r>
        <w:separator/>
      </w:r>
    </w:p>
  </w:footnote>
  <w:footnote w:type="continuationSeparator" w:id="0">
    <w:p w14:paraId="23873F07" w14:textId="77777777" w:rsidR="003373E7" w:rsidRDefault="003373E7">
      <w:r>
        <w:continuationSeparator/>
      </w:r>
    </w:p>
  </w:footnote>
  <w:footnote w:id="1">
    <w:p w14:paraId="7A9D53CB" w14:textId="77777777" w:rsidR="00200A70" w:rsidRDefault="00200A70" w:rsidP="00BD33AA">
      <w:pPr>
        <w:pStyle w:val="FootnoteText"/>
        <w:jc w:val="left"/>
      </w:pPr>
      <w:r>
        <w:rPr>
          <w:rStyle w:val="FootnoteReference"/>
        </w:rPr>
        <w:footnoteRef/>
      </w:r>
      <w:r>
        <w:t xml:space="preserve"> </w:t>
      </w:r>
      <w:r w:rsidRPr="00BD33AA">
        <w:rPr>
          <w:i/>
          <w:sz w:val="16"/>
        </w:rPr>
        <w:t>High Quality Examples of Errors in XBRL-based Financial Reports</w:t>
      </w:r>
      <w:r w:rsidRPr="00BD33AA">
        <w:rPr>
          <w:sz w:val="16"/>
        </w:rPr>
        <w:t xml:space="preserve">, </w:t>
      </w:r>
      <w:hyperlink r:id="rId1" w:history="1">
        <w:r w:rsidRPr="00BD33AA">
          <w:rPr>
            <w:rStyle w:val="Hyperlink"/>
            <w:sz w:val="16"/>
          </w:rPr>
          <w:t>http://xbrl.squarespace.com/journal/2017/4/29/high-quality-examples-of-errors-in-xbrl-based-financial-repo.html</w:t>
        </w:r>
      </w:hyperlink>
      <w:r w:rsidRPr="00BD33AA">
        <w:rPr>
          <w:sz w:val="16"/>
        </w:rPr>
        <w:t xml:space="preserve"> </w:t>
      </w:r>
    </w:p>
  </w:footnote>
  <w:footnote w:id="2">
    <w:p w14:paraId="00A483D1" w14:textId="77777777" w:rsidR="00200A70" w:rsidRDefault="00200A70" w:rsidP="00F71517">
      <w:pPr>
        <w:pStyle w:val="FootnoteText"/>
        <w:jc w:val="left"/>
      </w:pPr>
      <w:r>
        <w:rPr>
          <w:rStyle w:val="FootnoteReference"/>
        </w:rPr>
        <w:footnoteRef/>
      </w:r>
      <w:r>
        <w:t xml:space="preserve"> </w:t>
      </w:r>
      <w:r w:rsidRPr="00F71517">
        <w:rPr>
          <w:i/>
          <w:sz w:val="16"/>
        </w:rPr>
        <w:t>Understanding Logical, Mechanical, and Mathematical Accounting Relations in XBRL-based Digital Financial Reports</w:t>
      </w:r>
      <w:r w:rsidRPr="00F71517">
        <w:rPr>
          <w:sz w:val="16"/>
        </w:rPr>
        <w:t xml:space="preserve">,  </w:t>
      </w:r>
      <w:hyperlink r:id="rId2" w:history="1">
        <w:r w:rsidRPr="002B58CD">
          <w:rPr>
            <w:rStyle w:val="Hyperlink"/>
            <w:sz w:val="16"/>
          </w:rPr>
          <w:t>http://xbrl.squarespace.com/journal/2016/12/15/understanding-logical-mechanical-and-mathematical-accounting.html</w:t>
        </w:r>
      </w:hyperlink>
      <w:r>
        <w:rPr>
          <w:sz w:val="16"/>
        </w:rPr>
        <w:t xml:space="preserve"> </w:t>
      </w:r>
    </w:p>
  </w:footnote>
  <w:footnote w:id="3">
    <w:p w14:paraId="4261A026" w14:textId="77777777" w:rsidR="00200A70" w:rsidRPr="004E4DE3" w:rsidRDefault="00200A70" w:rsidP="005520AC">
      <w:pPr>
        <w:pStyle w:val="FootnoteText"/>
        <w:jc w:val="left"/>
        <w:rPr>
          <w:sz w:val="16"/>
        </w:rPr>
      </w:pPr>
      <w:r w:rsidRPr="004E4DE3">
        <w:rPr>
          <w:rStyle w:val="FootnoteReference"/>
          <w:sz w:val="16"/>
        </w:rPr>
        <w:footnoteRef/>
      </w:r>
      <w:r w:rsidRPr="004E4DE3">
        <w:rPr>
          <w:sz w:val="16"/>
        </w:rPr>
        <w:t xml:space="preserve"> Differentiating </w:t>
      </w:r>
      <w:r>
        <w:rPr>
          <w:sz w:val="16"/>
        </w:rPr>
        <w:t xml:space="preserve">the terms </w:t>
      </w:r>
      <w:r w:rsidRPr="004E4DE3">
        <w:rPr>
          <w:sz w:val="16"/>
        </w:rPr>
        <w:t xml:space="preserve">syntax and semantics is crucial. If you don’t understand the difference between </w:t>
      </w:r>
      <w:r>
        <w:rPr>
          <w:sz w:val="16"/>
        </w:rPr>
        <w:t xml:space="preserve">the terms </w:t>
      </w:r>
      <w:r w:rsidRPr="004E4DE3">
        <w:rPr>
          <w:sz w:val="16"/>
        </w:rPr>
        <w:t xml:space="preserve">syntax and semantics, please see the video here: </w:t>
      </w:r>
      <w:hyperlink r:id="rId3" w:history="1">
        <w:r w:rsidRPr="00527229">
          <w:rPr>
            <w:rStyle w:val="Hyperlink"/>
            <w:sz w:val="16"/>
          </w:rPr>
          <w:t>http://xbrl.squarespace.com/journal/2010/6/1/differentiating-syntax-and-semantics.html</w:t>
        </w:r>
      </w:hyperlink>
      <w:r>
        <w:rPr>
          <w:sz w:val="16"/>
        </w:rPr>
        <w:t xml:space="preserve"> </w:t>
      </w:r>
    </w:p>
  </w:footnote>
  <w:footnote w:id="4">
    <w:p w14:paraId="3649A6A0" w14:textId="77777777" w:rsidR="00200A70" w:rsidRDefault="00200A70" w:rsidP="002C62B9">
      <w:pPr>
        <w:pStyle w:val="FootnoteText"/>
        <w:jc w:val="left"/>
      </w:pPr>
      <w:r>
        <w:rPr>
          <w:rStyle w:val="FootnoteReference"/>
        </w:rPr>
        <w:footnoteRef/>
      </w:r>
      <w:r>
        <w:t xml:space="preserve"> </w:t>
      </w:r>
      <w:r w:rsidRPr="00EA257C">
        <w:rPr>
          <w:i/>
          <w:sz w:val="16"/>
        </w:rPr>
        <w:t>Understand that Business Professionals Can Understand Business Rules</w:t>
      </w:r>
      <w:r w:rsidRPr="00EA257C">
        <w:rPr>
          <w:sz w:val="16"/>
        </w:rPr>
        <w:t xml:space="preserve">,  </w:t>
      </w:r>
      <w:hyperlink r:id="rId4" w:history="1">
        <w:r w:rsidRPr="009060F4">
          <w:rPr>
            <w:rStyle w:val="Hyperlink"/>
            <w:sz w:val="16"/>
          </w:rPr>
          <w:t>http://xbrl.squarespace.com/journal/2015/8/30/understanding-that-business-professionals-can-understand-bus.html</w:t>
        </w:r>
      </w:hyperlink>
      <w:r>
        <w:rPr>
          <w:sz w:val="16"/>
        </w:rPr>
        <w:t xml:space="preserve"> </w:t>
      </w:r>
    </w:p>
  </w:footnote>
  <w:footnote w:id="5">
    <w:p w14:paraId="428A1EBE" w14:textId="77777777" w:rsidR="00200A70" w:rsidRDefault="00200A70" w:rsidP="002C62B9">
      <w:pPr>
        <w:pStyle w:val="FootnoteText"/>
        <w:jc w:val="left"/>
      </w:pPr>
      <w:r>
        <w:rPr>
          <w:rStyle w:val="FootnoteReference"/>
        </w:rPr>
        <w:footnoteRef/>
      </w:r>
      <w:r>
        <w:t xml:space="preserve"> </w:t>
      </w:r>
      <w:r w:rsidRPr="00EA257C">
        <w:rPr>
          <w:i/>
          <w:sz w:val="16"/>
        </w:rPr>
        <w:t>Digital Financial Reporting will Change Accounting Work Practices</w:t>
      </w:r>
      <w:r w:rsidRPr="00EA257C">
        <w:rPr>
          <w:sz w:val="16"/>
        </w:rPr>
        <w:t xml:space="preserve">, </w:t>
      </w:r>
      <w:hyperlink r:id="rId5" w:history="1">
        <w:r w:rsidRPr="00EA257C">
          <w:rPr>
            <w:rStyle w:val="Hyperlink"/>
            <w:sz w:val="16"/>
          </w:rPr>
          <w:t>http://xbrl.squarespace.com/journal/2014/3/20/digital-financial-reporting-will-change-accounting-work-prac.html</w:t>
        </w:r>
      </w:hyperlink>
      <w:r w:rsidRPr="00EA257C">
        <w:rPr>
          <w:sz w:val="16"/>
        </w:rPr>
        <w:t xml:space="preserve"> </w:t>
      </w:r>
    </w:p>
  </w:footnote>
  <w:footnote w:id="6">
    <w:p w14:paraId="47CA37F7" w14:textId="77777777" w:rsidR="00200A70" w:rsidRDefault="00200A70" w:rsidP="00215A84">
      <w:pPr>
        <w:pStyle w:val="FootnoteText"/>
        <w:jc w:val="left"/>
      </w:pPr>
      <w:r>
        <w:rPr>
          <w:rStyle w:val="FootnoteReference"/>
        </w:rPr>
        <w:footnoteRef/>
      </w:r>
      <w:r>
        <w:t xml:space="preserve"> </w:t>
      </w:r>
      <w:r w:rsidRPr="00215A84">
        <w:rPr>
          <w:sz w:val="16"/>
        </w:rPr>
        <w:t xml:space="preserve">Wikipedia, </w:t>
      </w:r>
      <w:r w:rsidRPr="00215A84">
        <w:rPr>
          <w:i/>
          <w:sz w:val="16"/>
        </w:rPr>
        <w:t>Accounting Equation</w:t>
      </w:r>
      <w:r w:rsidRPr="00215A84">
        <w:rPr>
          <w:sz w:val="16"/>
        </w:rPr>
        <w:t xml:space="preserve">, </w:t>
      </w:r>
      <w:hyperlink r:id="rId6" w:history="1">
        <w:r w:rsidRPr="00215A84">
          <w:rPr>
            <w:rStyle w:val="Hyperlink"/>
            <w:sz w:val="16"/>
          </w:rPr>
          <w:t>https://en.wikipedia.org/wiki/Accounting_equation</w:t>
        </w:r>
      </w:hyperlink>
      <w:r>
        <w:t xml:space="preserve"> </w:t>
      </w:r>
    </w:p>
  </w:footnote>
  <w:footnote w:id="7">
    <w:p w14:paraId="33D1C983" w14:textId="77777777" w:rsidR="00200A70" w:rsidRDefault="00200A70" w:rsidP="00A3609C">
      <w:pPr>
        <w:pStyle w:val="FootnoteText"/>
        <w:jc w:val="left"/>
      </w:pPr>
      <w:r>
        <w:rPr>
          <w:rStyle w:val="FootnoteReference"/>
        </w:rPr>
        <w:footnoteRef/>
      </w:r>
      <w:r>
        <w:t xml:space="preserve"> </w:t>
      </w:r>
      <w:r w:rsidRPr="00A3609C">
        <w:rPr>
          <w:i/>
          <w:sz w:val="16"/>
        </w:rPr>
        <w:t>Intelligent XBRL-based Digital Financial Reports</w:t>
      </w:r>
      <w:r w:rsidRPr="00A3609C">
        <w:rPr>
          <w:sz w:val="16"/>
        </w:rPr>
        <w:t xml:space="preserve">, </w:t>
      </w:r>
      <w:hyperlink r:id="rId7" w:history="1">
        <w:r w:rsidRPr="00A3609C">
          <w:rPr>
            <w:rStyle w:val="Hyperlink"/>
            <w:sz w:val="16"/>
          </w:rPr>
          <w:t>http://xbrl.squarespace.com/journal/2017/1/1/intelligent-xbrl-based-digital-financial-reports.html</w:t>
        </w:r>
      </w:hyperlink>
      <w:r w:rsidRPr="00A3609C">
        <w:rPr>
          <w:sz w:val="16"/>
        </w:rPr>
        <w:t xml:space="preserve"> </w:t>
      </w:r>
    </w:p>
  </w:footnote>
  <w:footnote w:id="8">
    <w:p w14:paraId="122C64B5" w14:textId="77777777" w:rsidR="00200A70" w:rsidRDefault="00200A70" w:rsidP="00A3609C">
      <w:pPr>
        <w:pStyle w:val="FootnoteText"/>
        <w:jc w:val="left"/>
      </w:pPr>
      <w:r>
        <w:rPr>
          <w:rStyle w:val="FootnoteReference"/>
        </w:rPr>
        <w:footnoteRef/>
      </w:r>
      <w:r>
        <w:t xml:space="preserve"> </w:t>
      </w:r>
      <w:r w:rsidRPr="00A3609C">
        <w:rPr>
          <w:i/>
          <w:sz w:val="16"/>
        </w:rPr>
        <w:t xml:space="preserve">Understanding </w:t>
      </w:r>
      <w:r>
        <w:rPr>
          <w:i/>
          <w:sz w:val="16"/>
        </w:rPr>
        <w:t>Disclosure Mechanics</w:t>
      </w:r>
      <w:r w:rsidRPr="00A3609C">
        <w:rPr>
          <w:sz w:val="16"/>
        </w:rPr>
        <w:t xml:space="preserve">, </w:t>
      </w:r>
      <w:hyperlink r:id="rId8" w:history="1">
        <w:r w:rsidRPr="001C37E8">
          <w:rPr>
            <w:rStyle w:val="Hyperlink"/>
            <w:sz w:val="16"/>
          </w:rPr>
          <w:t>http://xbrlsite.azurewebsites.net/2016/Analysis/UnderstandingDisclosureMechanics.pdf</w:t>
        </w:r>
      </w:hyperlink>
      <w:r>
        <w:rPr>
          <w:sz w:val="16"/>
        </w:rPr>
        <w:t xml:space="preserve"> </w:t>
      </w:r>
    </w:p>
  </w:footnote>
  <w:footnote w:id="9">
    <w:p w14:paraId="4C203D7C" w14:textId="77777777" w:rsidR="00200A70" w:rsidRDefault="00200A70" w:rsidP="008B4B7D">
      <w:pPr>
        <w:pStyle w:val="FootnoteText"/>
        <w:jc w:val="left"/>
      </w:pPr>
      <w:r>
        <w:rPr>
          <w:rStyle w:val="FootnoteReference"/>
        </w:rPr>
        <w:footnoteRef/>
      </w:r>
      <w:r>
        <w:t xml:space="preserve"> </w:t>
      </w:r>
      <w:r w:rsidRPr="008B4B7D">
        <w:rPr>
          <w:i/>
          <w:sz w:val="16"/>
        </w:rPr>
        <w:t>Analysis of Disclosures</w:t>
      </w:r>
      <w:r w:rsidRPr="008B4B7D">
        <w:rPr>
          <w:sz w:val="16"/>
        </w:rPr>
        <w:t xml:space="preserve"> (10-K financial filings as of March 31, 2016), </w:t>
      </w:r>
      <w:hyperlink r:id="rId9" w:history="1">
        <w:r w:rsidRPr="008B4B7D">
          <w:rPr>
            <w:rStyle w:val="Hyperlink"/>
            <w:sz w:val="16"/>
          </w:rPr>
          <w:t>http://xbrlsite.azurewebsites.net/2016/Analysis/SummaryTable.pdf</w:t>
        </w:r>
      </w:hyperlink>
      <w:r>
        <w:t xml:space="preserve"> </w:t>
      </w:r>
    </w:p>
  </w:footnote>
  <w:footnote w:id="10">
    <w:p w14:paraId="0BE38DB3" w14:textId="77777777" w:rsidR="00200A70" w:rsidRDefault="00200A70" w:rsidP="002C62B9">
      <w:pPr>
        <w:pStyle w:val="FootnoteText"/>
        <w:jc w:val="left"/>
      </w:pPr>
      <w:r>
        <w:rPr>
          <w:rStyle w:val="FootnoteReference"/>
        </w:rPr>
        <w:footnoteRef/>
      </w:r>
      <w:r>
        <w:t xml:space="preserve"> </w:t>
      </w:r>
      <w:r w:rsidRPr="00D67E09">
        <w:rPr>
          <w:i/>
          <w:sz w:val="16"/>
        </w:rPr>
        <w:t>Understanding the Law of Conservation of Complexity</w:t>
      </w:r>
      <w:r w:rsidRPr="00D67E09">
        <w:rPr>
          <w:sz w:val="16"/>
        </w:rPr>
        <w:t xml:space="preserve">,  </w:t>
      </w:r>
      <w:hyperlink r:id="rId10" w:history="1">
        <w:r w:rsidRPr="00D67E09">
          <w:rPr>
            <w:rStyle w:val="Hyperlink"/>
            <w:sz w:val="16"/>
          </w:rPr>
          <w:t>http://xbrl.squarespace.com/journal/2015/5/24/understanding-the-law-of-conservation-of-complexity.html</w:t>
        </w:r>
      </w:hyperlink>
      <w:r>
        <w:t xml:space="preserve"> </w:t>
      </w:r>
    </w:p>
  </w:footnote>
  <w:footnote w:id="11">
    <w:p w14:paraId="33BFC2BA" w14:textId="77777777" w:rsidR="00200A70" w:rsidRDefault="00200A70" w:rsidP="00A244B5">
      <w:pPr>
        <w:pStyle w:val="FootnoteText"/>
        <w:jc w:val="left"/>
      </w:pPr>
      <w:r>
        <w:rPr>
          <w:rStyle w:val="FootnoteReference"/>
        </w:rPr>
        <w:footnoteRef/>
      </w:r>
      <w:r>
        <w:t xml:space="preserve"> </w:t>
      </w:r>
      <w:r w:rsidRPr="00A244B5">
        <w:rPr>
          <w:sz w:val="16"/>
        </w:rPr>
        <w:t xml:space="preserve">These terms are used by the US GAAP Taxonomy Architecture, see </w:t>
      </w:r>
      <w:hyperlink r:id="rId11" w:history="1">
        <w:r w:rsidRPr="00A244B5">
          <w:rPr>
            <w:rStyle w:val="Hyperlink"/>
            <w:sz w:val="16"/>
          </w:rPr>
          <w:t>http://xbrl.us/Documents/SECOFM-USGAAPT-Architecture-20080428.pdf</w:t>
        </w:r>
      </w:hyperlink>
      <w:r w:rsidRPr="00A244B5">
        <w:rPr>
          <w:sz w:val="16"/>
        </w:rPr>
        <w:t xml:space="preserve"> </w:t>
      </w:r>
    </w:p>
  </w:footnote>
  <w:footnote w:id="12">
    <w:p w14:paraId="5E9E23F9" w14:textId="77777777" w:rsidR="00200A70" w:rsidRDefault="00200A70" w:rsidP="002C62B9">
      <w:pPr>
        <w:pStyle w:val="FootnoteText"/>
      </w:pPr>
      <w:r>
        <w:rPr>
          <w:rStyle w:val="FootnoteReference"/>
        </w:rPr>
        <w:footnoteRef/>
      </w:r>
      <w:r>
        <w:t xml:space="preserve"> </w:t>
      </w:r>
      <w:r w:rsidRPr="005E3EB2">
        <w:rPr>
          <w:i/>
          <w:sz w:val="16"/>
        </w:rPr>
        <w:t>Report level model structure</w:t>
      </w:r>
      <w:r w:rsidRPr="0065280A">
        <w:rPr>
          <w:sz w:val="16"/>
        </w:rPr>
        <w:t xml:space="preserve">, </w:t>
      </w:r>
      <w:hyperlink r:id="rId12" w:history="1">
        <w:r w:rsidRPr="00B80BD3">
          <w:rPr>
            <w:rStyle w:val="Hyperlink"/>
            <w:sz w:val="16"/>
          </w:rPr>
          <w:t>http://xbrl.squarespace.com/journal/2014/3/16/report-level-model-structure-update-insights-obtained.html</w:t>
        </w:r>
      </w:hyperlink>
      <w:r>
        <w:rPr>
          <w:sz w:val="16"/>
        </w:rPr>
        <w:t xml:space="preserve"> </w:t>
      </w:r>
    </w:p>
  </w:footnote>
  <w:footnote w:id="13">
    <w:p w14:paraId="73D6EF74" w14:textId="77777777" w:rsidR="00200A70" w:rsidRDefault="00200A70" w:rsidP="002C62B9">
      <w:pPr>
        <w:pStyle w:val="FootnoteText"/>
        <w:jc w:val="left"/>
      </w:pPr>
      <w:r>
        <w:rPr>
          <w:rStyle w:val="FootnoteReference"/>
        </w:rPr>
        <w:footnoteRef/>
      </w:r>
      <w:r>
        <w:t xml:space="preserve"> </w:t>
      </w:r>
      <w:r w:rsidRPr="000D554D">
        <w:rPr>
          <w:sz w:val="16"/>
        </w:rPr>
        <w:t xml:space="preserve">You can use the application to view the report components at this URL: </w:t>
      </w:r>
      <w:hyperlink r:id="rId13" w:history="1">
        <w:r w:rsidRPr="009060F4">
          <w:rPr>
            <w:rStyle w:val="Hyperlink"/>
            <w:sz w:val="16"/>
          </w:rPr>
          <w:t>http://www.xbrlsite.com/LinkedData/Exemplars/Disclosures2.aspx</w:t>
        </w:r>
      </w:hyperlink>
      <w:r>
        <w:rPr>
          <w:sz w:val="16"/>
        </w:rPr>
        <w:t xml:space="preserve"> </w:t>
      </w:r>
    </w:p>
  </w:footnote>
  <w:footnote w:id="14">
    <w:p w14:paraId="17AD39D7" w14:textId="77777777" w:rsidR="00200A70" w:rsidRDefault="00200A70" w:rsidP="002C62B9">
      <w:pPr>
        <w:pStyle w:val="FootnoteText"/>
        <w:jc w:val="left"/>
      </w:pPr>
      <w:r>
        <w:rPr>
          <w:rStyle w:val="FootnoteReference"/>
        </w:rPr>
        <w:footnoteRef/>
      </w:r>
      <w:r>
        <w:t xml:space="preserve"> </w:t>
      </w:r>
      <w:r w:rsidRPr="00FC0F58">
        <w:rPr>
          <w:sz w:val="16"/>
        </w:rPr>
        <w:t xml:space="preserve">You can click the blue “View” button and look at any XBRL-based public company financial filing here, </w:t>
      </w:r>
      <w:hyperlink r:id="rId14" w:history="1">
        <w:r w:rsidRPr="00FC0F58">
          <w:rPr>
            <w:rStyle w:val="Hyperlink"/>
            <w:sz w:val="16"/>
          </w:rPr>
          <w:t>https://edgardashboard.xbrlcloud.com/edgar-dashboard/</w:t>
        </w:r>
      </w:hyperlink>
      <w:r>
        <w:t xml:space="preserve"> </w:t>
      </w:r>
    </w:p>
  </w:footnote>
  <w:footnote w:id="15">
    <w:p w14:paraId="6B90BAF4" w14:textId="77777777" w:rsidR="00200A70" w:rsidRPr="005E3EB2" w:rsidRDefault="00200A70" w:rsidP="002C62B9">
      <w:pPr>
        <w:pStyle w:val="FootnoteText"/>
        <w:jc w:val="left"/>
        <w:rPr>
          <w:sz w:val="16"/>
        </w:rPr>
      </w:pPr>
      <w:r w:rsidRPr="005E3EB2">
        <w:rPr>
          <w:rStyle w:val="FootnoteReference"/>
          <w:sz w:val="16"/>
        </w:rPr>
        <w:footnoteRef/>
      </w:r>
      <w:r w:rsidRPr="005E3EB2">
        <w:rPr>
          <w:sz w:val="16"/>
        </w:rPr>
        <w:t xml:space="preserve"> </w:t>
      </w:r>
      <w:r w:rsidRPr="005E3EB2">
        <w:rPr>
          <w:i/>
          <w:sz w:val="16"/>
        </w:rPr>
        <w:t>Fundamental Accounting Concepts</w:t>
      </w:r>
      <w:r w:rsidRPr="005E3EB2">
        <w:rPr>
          <w:sz w:val="16"/>
        </w:rPr>
        <w:t>, http://fundamentalaccountingconcepts.wikispaces.com/</w:t>
      </w:r>
    </w:p>
  </w:footnote>
  <w:footnote w:id="16">
    <w:p w14:paraId="2A611848" w14:textId="77777777" w:rsidR="00200A70" w:rsidRPr="005E3EB2" w:rsidRDefault="00200A70" w:rsidP="002C62B9">
      <w:pPr>
        <w:pStyle w:val="FootnoteText"/>
        <w:jc w:val="left"/>
        <w:rPr>
          <w:sz w:val="16"/>
        </w:rPr>
      </w:pPr>
      <w:r w:rsidRPr="005E3EB2">
        <w:rPr>
          <w:rStyle w:val="FootnoteReference"/>
          <w:sz w:val="16"/>
        </w:rPr>
        <w:footnoteRef/>
      </w:r>
      <w:r w:rsidRPr="005E3EB2">
        <w:rPr>
          <w:sz w:val="16"/>
        </w:rPr>
        <w:t xml:space="preserve"> For details of the analysis see </w:t>
      </w:r>
      <w:hyperlink r:id="rId15" w:history="1">
        <w:r w:rsidRPr="00B80BD3">
          <w:rPr>
            <w:rStyle w:val="Hyperlink"/>
            <w:sz w:val="16"/>
          </w:rPr>
          <w:t>http://xbrl.squarespace.com/journal/2014/3/16/fundamental-accounting-concepts-update-insights-obtained.html</w:t>
        </w:r>
      </w:hyperlink>
      <w:r>
        <w:rPr>
          <w:sz w:val="16"/>
        </w:rPr>
        <w:t xml:space="preserve"> </w:t>
      </w:r>
    </w:p>
  </w:footnote>
  <w:footnote w:id="17">
    <w:p w14:paraId="69ED3C86" w14:textId="77777777" w:rsidR="00200A70" w:rsidRPr="00406083" w:rsidRDefault="00200A70" w:rsidP="00681639">
      <w:pPr>
        <w:pStyle w:val="FootnoteText"/>
        <w:rPr>
          <w:sz w:val="16"/>
        </w:rPr>
      </w:pPr>
      <w:r w:rsidRPr="00406083">
        <w:rPr>
          <w:rStyle w:val="FootnoteReference"/>
          <w:sz w:val="16"/>
        </w:rPr>
        <w:footnoteRef/>
      </w:r>
      <w:r w:rsidRPr="00406083">
        <w:rPr>
          <w:sz w:val="16"/>
        </w:rPr>
        <w:t xml:space="preserve"> See, </w:t>
      </w:r>
      <w:hyperlink r:id="rId16" w:history="1">
        <w:r w:rsidRPr="00406083">
          <w:rPr>
            <w:rStyle w:val="Hyperlink"/>
            <w:sz w:val="16"/>
          </w:rPr>
          <w:t>http://www.xbrlsite.com/2014/Protototype/ReportFrames/ReportFrames.html</w:t>
        </w:r>
      </w:hyperlink>
      <w:r w:rsidRPr="00406083">
        <w:rPr>
          <w:sz w:val="16"/>
        </w:rPr>
        <w:t xml:space="preserve"> </w:t>
      </w:r>
    </w:p>
  </w:footnote>
  <w:footnote w:id="18">
    <w:p w14:paraId="4D37CDA0" w14:textId="77777777" w:rsidR="00200A70" w:rsidRPr="00406083" w:rsidRDefault="00200A70" w:rsidP="00681639">
      <w:pPr>
        <w:pStyle w:val="FootnoteText"/>
        <w:jc w:val="left"/>
        <w:rPr>
          <w:sz w:val="16"/>
        </w:rPr>
      </w:pPr>
      <w:r w:rsidRPr="00406083">
        <w:rPr>
          <w:rStyle w:val="FootnoteReference"/>
          <w:sz w:val="16"/>
        </w:rPr>
        <w:footnoteRef/>
      </w:r>
      <w:r w:rsidRPr="00406083">
        <w:rPr>
          <w:sz w:val="16"/>
        </w:rPr>
        <w:t xml:space="preserve"> </w:t>
      </w:r>
      <w:r>
        <w:rPr>
          <w:sz w:val="16"/>
        </w:rPr>
        <w:t>For a detailed analysis of how report frames were derived, please see this resource</w:t>
      </w:r>
      <w:r w:rsidRPr="00406083">
        <w:rPr>
          <w:sz w:val="16"/>
        </w:rPr>
        <w:t xml:space="preserve">, </w:t>
      </w:r>
      <w:hyperlink r:id="rId17" w:history="1">
        <w:r w:rsidRPr="000D11FF">
          <w:rPr>
            <w:rStyle w:val="Hyperlink"/>
            <w:sz w:val="16"/>
          </w:rPr>
          <w:t>http://www.xbrlsite.com/2014/Library/SummaryInformationAboutConformanceWithFundamentalAccountingConceptRelations.pdf</w:t>
        </w:r>
      </w:hyperlink>
      <w:r>
        <w:rPr>
          <w:sz w:val="16"/>
        </w:rPr>
        <w:t xml:space="preserve"> </w:t>
      </w:r>
    </w:p>
  </w:footnote>
  <w:footnote w:id="19">
    <w:p w14:paraId="70D85102" w14:textId="77777777" w:rsidR="00200A70" w:rsidRDefault="00200A70" w:rsidP="002C62B9">
      <w:pPr>
        <w:pStyle w:val="FootnoteText"/>
        <w:jc w:val="left"/>
      </w:pPr>
      <w:r>
        <w:rPr>
          <w:rStyle w:val="FootnoteReference"/>
        </w:rPr>
        <w:footnoteRef/>
      </w:r>
      <w:r>
        <w:t xml:space="preserve"> </w:t>
      </w:r>
      <w:r w:rsidRPr="00F113A7">
        <w:rPr>
          <w:i/>
          <w:sz w:val="16"/>
        </w:rPr>
        <w:t>Understanding Blocks, Slots, Templates and Exemplars</w:t>
      </w:r>
      <w:r w:rsidRPr="00F113A7">
        <w:rPr>
          <w:sz w:val="16"/>
        </w:rPr>
        <w:t xml:space="preserve">, </w:t>
      </w:r>
      <w:hyperlink r:id="rId18" w:history="1">
        <w:r w:rsidRPr="009060F4">
          <w:rPr>
            <w:rStyle w:val="Hyperlink"/>
            <w:sz w:val="16"/>
          </w:rPr>
          <w:t>http://xbrl.squarespace.com/journal/2015/5/11/understanding-blocks-slots-templates-and-exemplars.html</w:t>
        </w:r>
      </w:hyperlink>
      <w:r>
        <w:rPr>
          <w:sz w:val="16"/>
        </w:rPr>
        <w:t xml:space="preserve"> </w:t>
      </w:r>
    </w:p>
  </w:footnote>
  <w:footnote w:id="20">
    <w:p w14:paraId="35A8AA6B" w14:textId="77777777" w:rsidR="00200A70" w:rsidRDefault="00200A70" w:rsidP="002C62B9">
      <w:pPr>
        <w:pStyle w:val="FootnoteText"/>
        <w:jc w:val="left"/>
      </w:pPr>
      <w:r>
        <w:rPr>
          <w:rStyle w:val="FootnoteReference"/>
        </w:rPr>
        <w:footnoteRef/>
      </w:r>
      <w:r>
        <w:t xml:space="preserve"> </w:t>
      </w:r>
      <w:r w:rsidRPr="00561CF2">
        <w:rPr>
          <w:sz w:val="16"/>
        </w:rPr>
        <w:t xml:space="preserve">Stanford Encyclopedia of Philosophy, </w:t>
      </w:r>
      <w:r w:rsidRPr="00561CF2">
        <w:rPr>
          <w:i/>
          <w:sz w:val="16"/>
        </w:rPr>
        <w:t>Mereology</w:t>
      </w:r>
      <w:r w:rsidRPr="00561CF2">
        <w:rPr>
          <w:sz w:val="16"/>
        </w:rPr>
        <w:t xml:space="preserve">, </w:t>
      </w:r>
      <w:hyperlink r:id="rId19" w:history="1">
        <w:r w:rsidRPr="00561CF2">
          <w:rPr>
            <w:rStyle w:val="Hyperlink"/>
            <w:sz w:val="16"/>
          </w:rPr>
          <w:t>http://plato.stanford.edu/entries/mereology/</w:t>
        </w:r>
      </w:hyperlink>
      <w:r w:rsidRPr="00561CF2">
        <w:rPr>
          <w:sz w:val="16"/>
        </w:rPr>
        <w:t xml:space="preserve"> </w:t>
      </w:r>
    </w:p>
  </w:footnote>
  <w:footnote w:id="21">
    <w:p w14:paraId="229EABE8" w14:textId="77777777" w:rsidR="00200A70" w:rsidRDefault="00200A70" w:rsidP="002C62B9">
      <w:pPr>
        <w:pStyle w:val="FootnoteText"/>
        <w:jc w:val="left"/>
      </w:pPr>
      <w:r>
        <w:rPr>
          <w:rStyle w:val="FootnoteReference"/>
        </w:rPr>
        <w:footnoteRef/>
      </w:r>
      <w:r>
        <w:t xml:space="preserve"> </w:t>
      </w:r>
      <w:r w:rsidRPr="005A6E9E">
        <w:rPr>
          <w:i/>
          <w:sz w:val="16"/>
        </w:rPr>
        <w:t>A Taxonomy of Part-Whole Relations</w:t>
      </w:r>
      <w:r w:rsidRPr="005A6E9E">
        <w:rPr>
          <w:sz w:val="16"/>
        </w:rPr>
        <w:t xml:space="preserve">, </w:t>
      </w:r>
      <w:hyperlink r:id="rId20" w:history="1">
        <w:r w:rsidRPr="00B80BD3">
          <w:rPr>
            <w:rStyle w:val="Hyperlink"/>
            <w:sz w:val="16"/>
          </w:rPr>
          <w:t>http://csjarchive.cogsci.rpi.edu/1987v11/i04/p0417p0444/MAIN.PDF</w:t>
        </w:r>
      </w:hyperlink>
      <w:r>
        <w:rPr>
          <w:sz w:val="16"/>
        </w:rPr>
        <w:t xml:space="preserve"> </w:t>
      </w:r>
    </w:p>
  </w:footnote>
  <w:footnote w:id="22">
    <w:p w14:paraId="3C359F60" w14:textId="77777777" w:rsidR="00200A70" w:rsidRDefault="00200A70" w:rsidP="002C62B9">
      <w:pPr>
        <w:pStyle w:val="FootnoteText"/>
        <w:jc w:val="left"/>
      </w:pPr>
      <w:r>
        <w:rPr>
          <w:rStyle w:val="FootnoteReference"/>
        </w:rPr>
        <w:footnoteRef/>
      </w:r>
      <w:r>
        <w:t xml:space="preserve"> </w:t>
      </w:r>
      <w:r w:rsidRPr="00F113A7">
        <w:rPr>
          <w:i/>
          <w:sz w:val="16"/>
        </w:rPr>
        <w:t>State-of-the-art Use of XBRL Definition Relations</w:t>
      </w:r>
      <w:r w:rsidRPr="00F113A7">
        <w:rPr>
          <w:sz w:val="16"/>
        </w:rPr>
        <w:t xml:space="preserve">,  </w:t>
      </w:r>
      <w:hyperlink r:id="rId21" w:history="1">
        <w:r w:rsidRPr="00F113A7">
          <w:rPr>
            <w:rStyle w:val="Hyperlink"/>
            <w:sz w:val="16"/>
          </w:rPr>
          <w:t>http://xbrl.squarespace.com/journal/2015/2/18/state-of-the-art-use-of-xbrl-definition-relations-to-express.html</w:t>
        </w:r>
      </w:hyperlink>
      <w:r w:rsidRPr="00F113A7">
        <w:rPr>
          <w:sz w:val="16"/>
        </w:rPr>
        <w:t xml:space="preserve"> </w:t>
      </w:r>
    </w:p>
  </w:footnote>
  <w:footnote w:id="23">
    <w:p w14:paraId="702FF346" w14:textId="77777777" w:rsidR="00200A70" w:rsidRPr="00E13CFE" w:rsidRDefault="00200A70" w:rsidP="002C62B9">
      <w:pPr>
        <w:pStyle w:val="FootnoteText"/>
        <w:rPr>
          <w:sz w:val="16"/>
        </w:rPr>
      </w:pPr>
      <w:r w:rsidRPr="00E13CFE">
        <w:rPr>
          <w:rStyle w:val="FootnoteReference"/>
          <w:sz w:val="16"/>
        </w:rPr>
        <w:footnoteRef/>
      </w:r>
      <w:r w:rsidRPr="00E13CFE">
        <w:rPr>
          <w:sz w:val="16"/>
        </w:rPr>
        <w:t xml:space="preserve"> For more information see, </w:t>
      </w:r>
      <w:hyperlink r:id="rId22" w:history="1">
        <w:r w:rsidRPr="000D11FF">
          <w:rPr>
            <w:rStyle w:val="Hyperlink"/>
            <w:sz w:val="16"/>
          </w:rPr>
          <w:t>http://www.xbrlsite.com/2014/Library/DisclosureChecklist.pdf</w:t>
        </w:r>
      </w:hyperlink>
      <w:r>
        <w:rPr>
          <w:sz w:val="16"/>
        </w:rPr>
        <w:t xml:space="preserve"> </w:t>
      </w:r>
    </w:p>
  </w:footnote>
  <w:footnote w:id="24">
    <w:p w14:paraId="7A94B69E" w14:textId="77777777" w:rsidR="00200A70" w:rsidRDefault="00200A70" w:rsidP="002C62B9">
      <w:pPr>
        <w:pStyle w:val="FootnoteText"/>
        <w:jc w:val="left"/>
      </w:pPr>
      <w:r>
        <w:rPr>
          <w:rStyle w:val="FootnoteReference"/>
        </w:rPr>
        <w:footnoteRef/>
      </w:r>
      <w:r>
        <w:t xml:space="preserve"> </w:t>
      </w:r>
      <w:r w:rsidRPr="007E5E3F">
        <w:rPr>
          <w:i/>
          <w:sz w:val="16"/>
        </w:rPr>
        <w:t>Understanding the Minimum Processing Tests</w:t>
      </w:r>
      <w:r w:rsidRPr="007E5E3F">
        <w:rPr>
          <w:sz w:val="16"/>
        </w:rPr>
        <w:t xml:space="preserve">, </w:t>
      </w:r>
      <w:hyperlink r:id="rId23" w:history="1">
        <w:r w:rsidRPr="00C512A9">
          <w:rPr>
            <w:rStyle w:val="Hyperlink"/>
            <w:sz w:val="16"/>
          </w:rPr>
          <w:t>http://www.xbrlsite.com/2014/Library/UnderstandingMinimumProcessSteps-2014-02-14.pdf</w:t>
        </w:r>
      </w:hyperlink>
    </w:p>
  </w:footnote>
  <w:footnote w:id="25">
    <w:p w14:paraId="362EC4B5" w14:textId="77777777" w:rsidR="00200A70" w:rsidRPr="008108F3" w:rsidRDefault="00200A70" w:rsidP="002C62B9">
      <w:pPr>
        <w:pStyle w:val="FootnoteText"/>
        <w:rPr>
          <w:sz w:val="16"/>
        </w:rPr>
      </w:pPr>
      <w:r w:rsidRPr="008108F3">
        <w:rPr>
          <w:rStyle w:val="FootnoteReference"/>
          <w:sz w:val="16"/>
        </w:rPr>
        <w:footnoteRef/>
      </w:r>
      <w:r w:rsidRPr="008108F3">
        <w:rPr>
          <w:sz w:val="16"/>
        </w:rPr>
        <w:t xml:space="preserve"> For more information see, </w:t>
      </w:r>
      <w:hyperlink r:id="rId24" w:history="1">
        <w:r w:rsidRPr="000D11FF">
          <w:rPr>
            <w:rStyle w:val="Hyperlink"/>
            <w:sz w:val="16"/>
          </w:rPr>
          <w:t>http://www.xbrlsite.com/2014/Protototype/Classes/</w:t>
        </w:r>
      </w:hyperlink>
      <w:r>
        <w:rPr>
          <w:sz w:val="16"/>
        </w:rPr>
        <w:t xml:space="preserve"> </w:t>
      </w:r>
    </w:p>
  </w:footnote>
  <w:footnote w:id="26">
    <w:p w14:paraId="3B3D3097" w14:textId="77777777" w:rsidR="00200A70" w:rsidRDefault="00200A70" w:rsidP="002C62B9">
      <w:pPr>
        <w:pStyle w:val="FootnoteText"/>
      </w:pPr>
      <w:r w:rsidRPr="008108F3">
        <w:rPr>
          <w:rStyle w:val="FootnoteReference"/>
          <w:sz w:val="16"/>
        </w:rPr>
        <w:footnoteRef/>
      </w:r>
      <w:r w:rsidRPr="008108F3">
        <w:rPr>
          <w:sz w:val="16"/>
        </w:rPr>
        <w:t xml:space="preserve"> For more information see, </w:t>
      </w:r>
      <w:hyperlink r:id="rId25" w:history="1">
        <w:r w:rsidRPr="000D11FF">
          <w:rPr>
            <w:rStyle w:val="Hyperlink"/>
            <w:sz w:val="16"/>
          </w:rPr>
          <w:t>http://xbrl.squarespace.com/journal/2014/12/31/understanding-the-benefits-of-classification.html</w:t>
        </w:r>
      </w:hyperlink>
      <w:r>
        <w:rPr>
          <w:sz w:val="16"/>
        </w:rPr>
        <w:t xml:space="preserve"> </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2B24A44" w14:textId="1E92872D" w:rsidR="00AB700A" w:rsidRPr="00D76D5F" w:rsidRDefault="00C5321A" w:rsidP="000528B2">
    <w:pPr>
      <w:pStyle w:val="Header"/>
      <w:jc w:val="center"/>
      <w:rPr>
        <w:sz w:val="18"/>
        <w:szCs w:val="18"/>
      </w:rPr>
    </w:pPr>
    <w:r>
      <w:rPr>
        <w:smallCaps/>
        <w:sz w:val="16"/>
        <w:szCs w:val="18"/>
      </w:rPr>
      <w:t>Mastering XBRL-based</w:t>
    </w:r>
    <w:r w:rsidR="000528B2" w:rsidRPr="00D76D5F">
      <w:rPr>
        <w:smallCaps/>
        <w:sz w:val="16"/>
        <w:szCs w:val="18"/>
      </w:rPr>
      <w:t xml:space="preserve"> Digital Financial Reporting – Part 3: Working with Digital Financial Re</w:t>
    </w:r>
    <w:r w:rsidR="00C46A7A" w:rsidRPr="00D76D5F">
      <w:rPr>
        <w:smallCaps/>
        <w:sz w:val="16"/>
        <w:szCs w:val="18"/>
      </w:rPr>
      <w:t xml:space="preserve">ports – </w:t>
    </w:r>
    <w:r w:rsidR="000528B2" w:rsidRPr="00D76D5F">
      <w:rPr>
        <w:smallCaps/>
        <w:sz w:val="16"/>
        <w:szCs w:val="18"/>
      </w:rPr>
      <w:t xml:space="preserve">Digital Financial Report Creation </w:t>
    </w:r>
    <w:r w:rsidR="00C46A7A" w:rsidRPr="00D76D5F">
      <w:rPr>
        <w:smallCaps/>
        <w:sz w:val="16"/>
        <w:szCs w:val="18"/>
      </w:rPr>
      <w:t>Best Practices</w:t>
    </w:r>
    <w:r w:rsidR="000528B2" w:rsidRPr="00D76D5F">
      <w:rPr>
        <w:smallCaps/>
        <w:sz w:val="16"/>
        <w:szCs w:val="18"/>
      </w:rPr>
      <w:t xml:space="preserve"> – Charles Hoffman, CPA</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308649EC"/>
    <w:multiLevelType w:val="hybridMultilevel"/>
    <w:tmpl w:val="621C42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3B823006"/>
    <w:multiLevelType w:val="hybridMultilevel"/>
    <w:tmpl w:val="4070864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4B7B7D95"/>
    <w:multiLevelType w:val="hybridMultilevel"/>
    <w:tmpl w:val="FF0AEC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70B10AC0"/>
    <w:multiLevelType w:val="multilevel"/>
    <w:tmpl w:val="82661BBC"/>
    <w:lvl w:ilvl="0">
      <w:start w:val="1"/>
      <w:numFmt w:val="decimal"/>
      <w:pStyle w:val="Heading1"/>
      <w:lvlText w:val="%1."/>
      <w:lvlJc w:val="left"/>
      <w:pPr>
        <w:tabs>
          <w:tab w:val="num" w:pos="-360"/>
        </w:tabs>
        <w:ind w:left="-360" w:firstLine="360"/>
      </w:pPr>
      <w:rPr>
        <w:rFonts w:hint="default"/>
      </w:rPr>
    </w:lvl>
    <w:lvl w:ilvl="1">
      <w:start w:val="1"/>
      <w:numFmt w:val="decimal"/>
      <w:pStyle w:val="Heading2"/>
      <w:lvlText w:val="%1.%2."/>
      <w:lvlJc w:val="left"/>
      <w:pPr>
        <w:tabs>
          <w:tab w:val="num" w:pos="-360"/>
        </w:tabs>
        <w:ind w:left="0" w:firstLine="0"/>
      </w:pPr>
      <w:rPr>
        <w:rFonts w:hint="default"/>
      </w:rPr>
    </w:lvl>
    <w:lvl w:ilvl="2">
      <w:start w:val="1"/>
      <w:numFmt w:val="decimal"/>
      <w:pStyle w:val="Heading3"/>
      <w:lvlText w:val="%1.%2.%3."/>
      <w:lvlJc w:val="left"/>
      <w:pPr>
        <w:tabs>
          <w:tab w:val="num" w:pos="360"/>
        </w:tabs>
        <w:ind w:left="504" w:hanging="504"/>
      </w:pPr>
      <w:rPr>
        <w:rFonts w:hint="default"/>
      </w:rPr>
    </w:lvl>
    <w:lvl w:ilvl="3">
      <w:start w:val="1"/>
      <w:numFmt w:val="decimal"/>
      <w:pStyle w:val="Heading4"/>
      <w:lvlText w:val="%1.%2.%3.%4."/>
      <w:lvlJc w:val="left"/>
      <w:pPr>
        <w:tabs>
          <w:tab w:val="num" w:pos="1080"/>
        </w:tabs>
        <w:ind w:left="1008" w:hanging="648"/>
      </w:pPr>
      <w:rPr>
        <w:rFonts w:hint="default"/>
      </w:rPr>
    </w:lvl>
    <w:lvl w:ilvl="4">
      <w:start w:val="1"/>
      <w:numFmt w:val="decimal"/>
      <w:pStyle w:val="Heading5"/>
      <w:lvlText w:val="%1.%2.%3.%4.%5."/>
      <w:lvlJc w:val="left"/>
      <w:pPr>
        <w:tabs>
          <w:tab w:val="num" w:pos="1800"/>
        </w:tabs>
        <w:ind w:left="1512" w:hanging="792"/>
      </w:pPr>
      <w:rPr>
        <w:rFonts w:hint="default"/>
      </w:rPr>
    </w:lvl>
    <w:lvl w:ilvl="5">
      <w:start w:val="1"/>
      <w:numFmt w:val="decimal"/>
      <w:pStyle w:val="Heading6"/>
      <w:lvlText w:val="%1.%2.%3.%4.%5.%6."/>
      <w:lvlJc w:val="left"/>
      <w:pPr>
        <w:tabs>
          <w:tab w:val="num" w:pos="2160"/>
        </w:tabs>
        <w:ind w:left="2016" w:hanging="936"/>
      </w:pPr>
      <w:rPr>
        <w:rFonts w:hint="default"/>
      </w:rPr>
    </w:lvl>
    <w:lvl w:ilvl="6">
      <w:start w:val="1"/>
      <w:numFmt w:val="decimal"/>
      <w:lvlText w:val="%1.%2.%3.%4.%5.%6.%7."/>
      <w:lvlJc w:val="left"/>
      <w:pPr>
        <w:tabs>
          <w:tab w:val="num" w:pos="2880"/>
        </w:tabs>
        <w:ind w:left="2520" w:hanging="1080"/>
      </w:pPr>
      <w:rPr>
        <w:rFonts w:hint="default"/>
      </w:rPr>
    </w:lvl>
    <w:lvl w:ilvl="7">
      <w:start w:val="1"/>
      <w:numFmt w:val="decimal"/>
      <w:lvlText w:val="%1.%2.%3.%4.%5.%6.%7.%8."/>
      <w:lvlJc w:val="left"/>
      <w:pPr>
        <w:tabs>
          <w:tab w:val="num" w:pos="3240"/>
        </w:tabs>
        <w:ind w:left="3024" w:hanging="1224"/>
      </w:pPr>
      <w:rPr>
        <w:rFonts w:hint="default"/>
      </w:rPr>
    </w:lvl>
    <w:lvl w:ilvl="8">
      <w:start w:val="1"/>
      <w:numFmt w:val="decimal"/>
      <w:lvlText w:val="%1.%2.%3.%4.%5.%6.%7.%8.%9."/>
      <w:lvlJc w:val="left"/>
      <w:pPr>
        <w:tabs>
          <w:tab w:val="num" w:pos="3960"/>
        </w:tabs>
        <w:ind w:left="3600" w:hanging="1440"/>
      </w:pPr>
      <w:rPr>
        <w:rFonts w:hint="default"/>
      </w:rPr>
    </w:lvl>
  </w:abstractNum>
  <w:abstractNum w:abstractNumId="4" w15:restartNumberingAfterBreak="0">
    <w:nsid w:val="72DD4E62"/>
    <w:multiLevelType w:val="hybridMultilevel"/>
    <w:tmpl w:val="7FFEBE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748D0EC9"/>
    <w:multiLevelType w:val="hybridMultilevel"/>
    <w:tmpl w:val="B5ECCA4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3"/>
  </w:num>
  <w:num w:numId="2">
    <w:abstractNumId w:val="5"/>
  </w:num>
  <w:num w:numId="3">
    <w:abstractNumId w:val="0"/>
  </w:num>
  <w:num w:numId="4">
    <w:abstractNumId w:val="1"/>
  </w:num>
  <w:num w:numId="5">
    <w:abstractNumId w:val="2"/>
  </w:num>
  <w:num w:numId="6">
    <w:abstractNumId w:val="4"/>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displayBackgroundShape/>
  <w:embedSystemFonts/>
  <w:proofState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noPunctuationKerning/>
  <w:characterSpacingControl w:val="doNotCompress"/>
  <w:hdrShapeDefaults>
    <o:shapedefaults v:ext="edit" spidmax="2049"/>
  </w:hdrShapeDefaults>
  <w:footnotePr>
    <w:footnote w:id="-1"/>
    <w:footnote w:id="0"/>
  </w:footnotePr>
  <w:endnotePr>
    <w:numFmt w:val="decimal"/>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FC65EA"/>
    <w:rsid w:val="000016E6"/>
    <w:rsid w:val="00001EE5"/>
    <w:rsid w:val="000032A9"/>
    <w:rsid w:val="00005A76"/>
    <w:rsid w:val="00006482"/>
    <w:rsid w:val="00006D58"/>
    <w:rsid w:val="00007240"/>
    <w:rsid w:val="00010D7E"/>
    <w:rsid w:val="000122A0"/>
    <w:rsid w:val="000148C1"/>
    <w:rsid w:val="000155DC"/>
    <w:rsid w:val="00015684"/>
    <w:rsid w:val="000161D2"/>
    <w:rsid w:val="00016253"/>
    <w:rsid w:val="000164DB"/>
    <w:rsid w:val="00016B82"/>
    <w:rsid w:val="000177CF"/>
    <w:rsid w:val="00017BBA"/>
    <w:rsid w:val="0002109F"/>
    <w:rsid w:val="00021DCD"/>
    <w:rsid w:val="000228D3"/>
    <w:rsid w:val="00023724"/>
    <w:rsid w:val="000237CC"/>
    <w:rsid w:val="000237EB"/>
    <w:rsid w:val="00025FD5"/>
    <w:rsid w:val="00030B6D"/>
    <w:rsid w:val="00032644"/>
    <w:rsid w:val="00035771"/>
    <w:rsid w:val="000358B0"/>
    <w:rsid w:val="00035C81"/>
    <w:rsid w:val="0003759F"/>
    <w:rsid w:val="000403A0"/>
    <w:rsid w:val="00043122"/>
    <w:rsid w:val="000434D4"/>
    <w:rsid w:val="00043E99"/>
    <w:rsid w:val="00044165"/>
    <w:rsid w:val="000443D5"/>
    <w:rsid w:val="00045251"/>
    <w:rsid w:val="0004574A"/>
    <w:rsid w:val="00045D0D"/>
    <w:rsid w:val="0004620D"/>
    <w:rsid w:val="00046CEA"/>
    <w:rsid w:val="000472AF"/>
    <w:rsid w:val="000509B7"/>
    <w:rsid w:val="00051469"/>
    <w:rsid w:val="00051908"/>
    <w:rsid w:val="0005192B"/>
    <w:rsid w:val="00051A74"/>
    <w:rsid w:val="00052000"/>
    <w:rsid w:val="000526FF"/>
    <w:rsid w:val="000528AC"/>
    <w:rsid w:val="000528B2"/>
    <w:rsid w:val="00053768"/>
    <w:rsid w:val="00053C14"/>
    <w:rsid w:val="000546A6"/>
    <w:rsid w:val="00054863"/>
    <w:rsid w:val="0005514B"/>
    <w:rsid w:val="00055240"/>
    <w:rsid w:val="0005563E"/>
    <w:rsid w:val="00055F80"/>
    <w:rsid w:val="00056607"/>
    <w:rsid w:val="000570AE"/>
    <w:rsid w:val="00060120"/>
    <w:rsid w:val="000609B0"/>
    <w:rsid w:val="00061B60"/>
    <w:rsid w:val="000637EB"/>
    <w:rsid w:val="00063DBD"/>
    <w:rsid w:val="00063F84"/>
    <w:rsid w:val="000653B6"/>
    <w:rsid w:val="000659DD"/>
    <w:rsid w:val="000659E8"/>
    <w:rsid w:val="00065BD3"/>
    <w:rsid w:val="000715DD"/>
    <w:rsid w:val="00072ABF"/>
    <w:rsid w:val="00072F95"/>
    <w:rsid w:val="00073599"/>
    <w:rsid w:val="00074E20"/>
    <w:rsid w:val="00074E5B"/>
    <w:rsid w:val="000770E7"/>
    <w:rsid w:val="00077496"/>
    <w:rsid w:val="000803CD"/>
    <w:rsid w:val="00080C5A"/>
    <w:rsid w:val="00082761"/>
    <w:rsid w:val="00084349"/>
    <w:rsid w:val="00084367"/>
    <w:rsid w:val="00084532"/>
    <w:rsid w:val="0008471D"/>
    <w:rsid w:val="00085A93"/>
    <w:rsid w:val="00086CD7"/>
    <w:rsid w:val="000902B5"/>
    <w:rsid w:val="00090664"/>
    <w:rsid w:val="000915E4"/>
    <w:rsid w:val="00096E5C"/>
    <w:rsid w:val="000A03AF"/>
    <w:rsid w:val="000A08F0"/>
    <w:rsid w:val="000A135D"/>
    <w:rsid w:val="000A2463"/>
    <w:rsid w:val="000A3DAF"/>
    <w:rsid w:val="000A408C"/>
    <w:rsid w:val="000A4F2F"/>
    <w:rsid w:val="000A6B47"/>
    <w:rsid w:val="000A7166"/>
    <w:rsid w:val="000A76D3"/>
    <w:rsid w:val="000A778C"/>
    <w:rsid w:val="000A7F97"/>
    <w:rsid w:val="000B0384"/>
    <w:rsid w:val="000B1561"/>
    <w:rsid w:val="000B1811"/>
    <w:rsid w:val="000B1A7F"/>
    <w:rsid w:val="000B1EDD"/>
    <w:rsid w:val="000B319F"/>
    <w:rsid w:val="000B320F"/>
    <w:rsid w:val="000B5569"/>
    <w:rsid w:val="000B6043"/>
    <w:rsid w:val="000B6F4E"/>
    <w:rsid w:val="000C0251"/>
    <w:rsid w:val="000C06DE"/>
    <w:rsid w:val="000C2D28"/>
    <w:rsid w:val="000C2E51"/>
    <w:rsid w:val="000C31BA"/>
    <w:rsid w:val="000C38E4"/>
    <w:rsid w:val="000C3A71"/>
    <w:rsid w:val="000C3AA2"/>
    <w:rsid w:val="000C3D77"/>
    <w:rsid w:val="000C5221"/>
    <w:rsid w:val="000C56E9"/>
    <w:rsid w:val="000C58F2"/>
    <w:rsid w:val="000C65F1"/>
    <w:rsid w:val="000C6B12"/>
    <w:rsid w:val="000C6CBB"/>
    <w:rsid w:val="000C7A92"/>
    <w:rsid w:val="000C7D1A"/>
    <w:rsid w:val="000D05F6"/>
    <w:rsid w:val="000D1438"/>
    <w:rsid w:val="000D17A6"/>
    <w:rsid w:val="000D1F0B"/>
    <w:rsid w:val="000D25AD"/>
    <w:rsid w:val="000D3601"/>
    <w:rsid w:val="000D37D0"/>
    <w:rsid w:val="000D3A04"/>
    <w:rsid w:val="000D4CF5"/>
    <w:rsid w:val="000D5414"/>
    <w:rsid w:val="000D6234"/>
    <w:rsid w:val="000D63DA"/>
    <w:rsid w:val="000D75CC"/>
    <w:rsid w:val="000E000E"/>
    <w:rsid w:val="000E0BB4"/>
    <w:rsid w:val="000E280A"/>
    <w:rsid w:val="000E2A8A"/>
    <w:rsid w:val="000E2F58"/>
    <w:rsid w:val="000E33F2"/>
    <w:rsid w:val="000E39DD"/>
    <w:rsid w:val="000E4816"/>
    <w:rsid w:val="000E5885"/>
    <w:rsid w:val="000E5A13"/>
    <w:rsid w:val="000E6454"/>
    <w:rsid w:val="000E6563"/>
    <w:rsid w:val="000E69DE"/>
    <w:rsid w:val="000E725C"/>
    <w:rsid w:val="000E760D"/>
    <w:rsid w:val="000E79D4"/>
    <w:rsid w:val="000E7EDB"/>
    <w:rsid w:val="000F0420"/>
    <w:rsid w:val="000F0570"/>
    <w:rsid w:val="000F0DD9"/>
    <w:rsid w:val="000F0EAD"/>
    <w:rsid w:val="000F249C"/>
    <w:rsid w:val="000F25BF"/>
    <w:rsid w:val="000F3253"/>
    <w:rsid w:val="000F3B30"/>
    <w:rsid w:val="000F41FF"/>
    <w:rsid w:val="000F5154"/>
    <w:rsid w:val="000F5B01"/>
    <w:rsid w:val="000F5DFD"/>
    <w:rsid w:val="000F6AF8"/>
    <w:rsid w:val="000F6D28"/>
    <w:rsid w:val="00101989"/>
    <w:rsid w:val="00101C2E"/>
    <w:rsid w:val="00102144"/>
    <w:rsid w:val="00102446"/>
    <w:rsid w:val="00102474"/>
    <w:rsid w:val="00102A68"/>
    <w:rsid w:val="00102BD9"/>
    <w:rsid w:val="001048F2"/>
    <w:rsid w:val="00104DF5"/>
    <w:rsid w:val="00104E4F"/>
    <w:rsid w:val="00104E90"/>
    <w:rsid w:val="00105961"/>
    <w:rsid w:val="0010607A"/>
    <w:rsid w:val="00106332"/>
    <w:rsid w:val="00106A41"/>
    <w:rsid w:val="00106D07"/>
    <w:rsid w:val="00106D73"/>
    <w:rsid w:val="00107C14"/>
    <w:rsid w:val="00107D24"/>
    <w:rsid w:val="0011076A"/>
    <w:rsid w:val="00111839"/>
    <w:rsid w:val="001118C7"/>
    <w:rsid w:val="001127B1"/>
    <w:rsid w:val="001146A6"/>
    <w:rsid w:val="00114B66"/>
    <w:rsid w:val="001152B9"/>
    <w:rsid w:val="001156D1"/>
    <w:rsid w:val="00116990"/>
    <w:rsid w:val="00117313"/>
    <w:rsid w:val="001202E3"/>
    <w:rsid w:val="00120D76"/>
    <w:rsid w:val="00121AB0"/>
    <w:rsid w:val="00122B56"/>
    <w:rsid w:val="00123CEA"/>
    <w:rsid w:val="00123F69"/>
    <w:rsid w:val="001245CE"/>
    <w:rsid w:val="0012470B"/>
    <w:rsid w:val="0012632D"/>
    <w:rsid w:val="001266F3"/>
    <w:rsid w:val="00126DD7"/>
    <w:rsid w:val="00131753"/>
    <w:rsid w:val="0013252B"/>
    <w:rsid w:val="00132B78"/>
    <w:rsid w:val="001339F4"/>
    <w:rsid w:val="00134182"/>
    <w:rsid w:val="001342E2"/>
    <w:rsid w:val="001348ED"/>
    <w:rsid w:val="00134A9C"/>
    <w:rsid w:val="0013547C"/>
    <w:rsid w:val="00135578"/>
    <w:rsid w:val="00135BA3"/>
    <w:rsid w:val="00136A53"/>
    <w:rsid w:val="00137EF0"/>
    <w:rsid w:val="001408B3"/>
    <w:rsid w:val="001418D9"/>
    <w:rsid w:val="0014285D"/>
    <w:rsid w:val="0014406C"/>
    <w:rsid w:val="001444BB"/>
    <w:rsid w:val="001446FF"/>
    <w:rsid w:val="0014473F"/>
    <w:rsid w:val="001448A2"/>
    <w:rsid w:val="00144EE2"/>
    <w:rsid w:val="00146772"/>
    <w:rsid w:val="00146ACE"/>
    <w:rsid w:val="00147103"/>
    <w:rsid w:val="001474C9"/>
    <w:rsid w:val="0014758A"/>
    <w:rsid w:val="0014770F"/>
    <w:rsid w:val="001501AA"/>
    <w:rsid w:val="0015030E"/>
    <w:rsid w:val="00150830"/>
    <w:rsid w:val="00150B2F"/>
    <w:rsid w:val="001514F1"/>
    <w:rsid w:val="00151B96"/>
    <w:rsid w:val="00152139"/>
    <w:rsid w:val="00153124"/>
    <w:rsid w:val="0015353E"/>
    <w:rsid w:val="00153F7E"/>
    <w:rsid w:val="001541E4"/>
    <w:rsid w:val="00155C8F"/>
    <w:rsid w:val="00157842"/>
    <w:rsid w:val="00160098"/>
    <w:rsid w:val="00160642"/>
    <w:rsid w:val="00160CB6"/>
    <w:rsid w:val="001613DC"/>
    <w:rsid w:val="001617B5"/>
    <w:rsid w:val="0016208B"/>
    <w:rsid w:val="0016397B"/>
    <w:rsid w:val="001646D3"/>
    <w:rsid w:val="00165318"/>
    <w:rsid w:val="0016531B"/>
    <w:rsid w:val="00166D45"/>
    <w:rsid w:val="00166F28"/>
    <w:rsid w:val="00167D35"/>
    <w:rsid w:val="0017091F"/>
    <w:rsid w:val="00170BB2"/>
    <w:rsid w:val="00171742"/>
    <w:rsid w:val="001729F1"/>
    <w:rsid w:val="00173D01"/>
    <w:rsid w:val="0017612D"/>
    <w:rsid w:val="00180AE0"/>
    <w:rsid w:val="00180CA1"/>
    <w:rsid w:val="00181043"/>
    <w:rsid w:val="00181353"/>
    <w:rsid w:val="00182624"/>
    <w:rsid w:val="001826AA"/>
    <w:rsid w:val="0018452F"/>
    <w:rsid w:val="00184AB8"/>
    <w:rsid w:val="001850BF"/>
    <w:rsid w:val="0018759B"/>
    <w:rsid w:val="001875E1"/>
    <w:rsid w:val="0018789E"/>
    <w:rsid w:val="00192D59"/>
    <w:rsid w:val="0019309F"/>
    <w:rsid w:val="001935CE"/>
    <w:rsid w:val="00193E70"/>
    <w:rsid w:val="00194758"/>
    <w:rsid w:val="00195144"/>
    <w:rsid w:val="001967A5"/>
    <w:rsid w:val="001968E6"/>
    <w:rsid w:val="001972EC"/>
    <w:rsid w:val="0019783E"/>
    <w:rsid w:val="0019789F"/>
    <w:rsid w:val="001979E8"/>
    <w:rsid w:val="001A00DB"/>
    <w:rsid w:val="001A017E"/>
    <w:rsid w:val="001A0462"/>
    <w:rsid w:val="001A04D7"/>
    <w:rsid w:val="001A12AC"/>
    <w:rsid w:val="001A1A39"/>
    <w:rsid w:val="001A2EB5"/>
    <w:rsid w:val="001A42FD"/>
    <w:rsid w:val="001A4EF0"/>
    <w:rsid w:val="001A743F"/>
    <w:rsid w:val="001A7FEB"/>
    <w:rsid w:val="001B0194"/>
    <w:rsid w:val="001B039A"/>
    <w:rsid w:val="001B03B1"/>
    <w:rsid w:val="001B0607"/>
    <w:rsid w:val="001B0642"/>
    <w:rsid w:val="001B070F"/>
    <w:rsid w:val="001B127A"/>
    <w:rsid w:val="001B1F81"/>
    <w:rsid w:val="001B23AD"/>
    <w:rsid w:val="001B261D"/>
    <w:rsid w:val="001B4CC0"/>
    <w:rsid w:val="001B5253"/>
    <w:rsid w:val="001B5AF7"/>
    <w:rsid w:val="001B6F98"/>
    <w:rsid w:val="001B7B73"/>
    <w:rsid w:val="001C1847"/>
    <w:rsid w:val="001C1F76"/>
    <w:rsid w:val="001C26FD"/>
    <w:rsid w:val="001C28B5"/>
    <w:rsid w:val="001C2C2F"/>
    <w:rsid w:val="001C3B82"/>
    <w:rsid w:val="001C3CDE"/>
    <w:rsid w:val="001C3FD9"/>
    <w:rsid w:val="001C55CA"/>
    <w:rsid w:val="001C5C16"/>
    <w:rsid w:val="001C683B"/>
    <w:rsid w:val="001C78A5"/>
    <w:rsid w:val="001C7B83"/>
    <w:rsid w:val="001C7E67"/>
    <w:rsid w:val="001D0CF5"/>
    <w:rsid w:val="001D12C5"/>
    <w:rsid w:val="001D18C0"/>
    <w:rsid w:val="001D1C6B"/>
    <w:rsid w:val="001D215A"/>
    <w:rsid w:val="001D273F"/>
    <w:rsid w:val="001D3E6C"/>
    <w:rsid w:val="001D4A45"/>
    <w:rsid w:val="001D56FC"/>
    <w:rsid w:val="001D5AE5"/>
    <w:rsid w:val="001D6E0C"/>
    <w:rsid w:val="001D778C"/>
    <w:rsid w:val="001E00E3"/>
    <w:rsid w:val="001E02A4"/>
    <w:rsid w:val="001E0946"/>
    <w:rsid w:val="001E289C"/>
    <w:rsid w:val="001E33AD"/>
    <w:rsid w:val="001E3728"/>
    <w:rsid w:val="001E3B18"/>
    <w:rsid w:val="001E3FF3"/>
    <w:rsid w:val="001E4CAB"/>
    <w:rsid w:val="001E65C3"/>
    <w:rsid w:val="001E6757"/>
    <w:rsid w:val="001E6D6A"/>
    <w:rsid w:val="001E7225"/>
    <w:rsid w:val="001E7D7D"/>
    <w:rsid w:val="001F0088"/>
    <w:rsid w:val="001F1654"/>
    <w:rsid w:val="001F1DC5"/>
    <w:rsid w:val="001F5F20"/>
    <w:rsid w:val="001F70AB"/>
    <w:rsid w:val="001F71BB"/>
    <w:rsid w:val="001F7223"/>
    <w:rsid w:val="001F725F"/>
    <w:rsid w:val="001F7538"/>
    <w:rsid w:val="001F77AC"/>
    <w:rsid w:val="001F7CBF"/>
    <w:rsid w:val="00200A70"/>
    <w:rsid w:val="00200D5A"/>
    <w:rsid w:val="00201438"/>
    <w:rsid w:val="00201702"/>
    <w:rsid w:val="0020177A"/>
    <w:rsid w:val="00201BED"/>
    <w:rsid w:val="0020332C"/>
    <w:rsid w:val="002039E0"/>
    <w:rsid w:val="00203FFF"/>
    <w:rsid w:val="0020439B"/>
    <w:rsid w:val="002047F4"/>
    <w:rsid w:val="002048EF"/>
    <w:rsid w:val="00205A4A"/>
    <w:rsid w:val="00206186"/>
    <w:rsid w:val="002063A7"/>
    <w:rsid w:val="00207321"/>
    <w:rsid w:val="00207FCA"/>
    <w:rsid w:val="00211BAF"/>
    <w:rsid w:val="00211D4D"/>
    <w:rsid w:val="00212028"/>
    <w:rsid w:val="002120C0"/>
    <w:rsid w:val="0021234D"/>
    <w:rsid w:val="00212A37"/>
    <w:rsid w:val="00212AB2"/>
    <w:rsid w:val="00213647"/>
    <w:rsid w:val="00213A35"/>
    <w:rsid w:val="002140EE"/>
    <w:rsid w:val="00214CEE"/>
    <w:rsid w:val="00214EE0"/>
    <w:rsid w:val="00215A84"/>
    <w:rsid w:val="00216137"/>
    <w:rsid w:val="002165D8"/>
    <w:rsid w:val="002172E2"/>
    <w:rsid w:val="00217664"/>
    <w:rsid w:val="00217B38"/>
    <w:rsid w:val="00217FDA"/>
    <w:rsid w:val="00220A1A"/>
    <w:rsid w:val="00220D88"/>
    <w:rsid w:val="00222661"/>
    <w:rsid w:val="00222D5C"/>
    <w:rsid w:val="0022341C"/>
    <w:rsid w:val="0022341F"/>
    <w:rsid w:val="00223708"/>
    <w:rsid w:val="00223BAE"/>
    <w:rsid w:val="0022543F"/>
    <w:rsid w:val="002254FB"/>
    <w:rsid w:val="002268C6"/>
    <w:rsid w:val="00226B4C"/>
    <w:rsid w:val="00227501"/>
    <w:rsid w:val="00230B99"/>
    <w:rsid w:val="00231E24"/>
    <w:rsid w:val="00231EC4"/>
    <w:rsid w:val="00231FD0"/>
    <w:rsid w:val="0023200D"/>
    <w:rsid w:val="00232868"/>
    <w:rsid w:val="00232F1A"/>
    <w:rsid w:val="00233B37"/>
    <w:rsid w:val="00233F3C"/>
    <w:rsid w:val="0023604C"/>
    <w:rsid w:val="00236541"/>
    <w:rsid w:val="002375A8"/>
    <w:rsid w:val="00237F73"/>
    <w:rsid w:val="002401AA"/>
    <w:rsid w:val="00240961"/>
    <w:rsid w:val="00240C65"/>
    <w:rsid w:val="00241485"/>
    <w:rsid w:val="00241637"/>
    <w:rsid w:val="00242029"/>
    <w:rsid w:val="002423E9"/>
    <w:rsid w:val="002427D3"/>
    <w:rsid w:val="002435C0"/>
    <w:rsid w:val="00243CC7"/>
    <w:rsid w:val="002473B6"/>
    <w:rsid w:val="00247A70"/>
    <w:rsid w:val="00250A74"/>
    <w:rsid w:val="002513A8"/>
    <w:rsid w:val="00252745"/>
    <w:rsid w:val="00252781"/>
    <w:rsid w:val="00252A99"/>
    <w:rsid w:val="00252EC9"/>
    <w:rsid w:val="002532C6"/>
    <w:rsid w:val="00253EAC"/>
    <w:rsid w:val="00254B13"/>
    <w:rsid w:val="00254E06"/>
    <w:rsid w:val="00256677"/>
    <w:rsid w:val="00257142"/>
    <w:rsid w:val="00260B48"/>
    <w:rsid w:val="00260B4F"/>
    <w:rsid w:val="00260F61"/>
    <w:rsid w:val="00261416"/>
    <w:rsid w:val="00261FC2"/>
    <w:rsid w:val="002622EF"/>
    <w:rsid w:val="002623DC"/>
    <w:rsid w:val="002624B9"/>
    <w:rsid w:val="00262590"/>
    <w:rsid w:val="002633B3"/>
    <w:rsid w:val="002663E0"/>
    <w:rsid w:val="00266920"/>
    <w:rsid w:val="00266EB7"/>
    <w:rsid w:val="00267127"/>
    <w:rsid w:val="00271937"/>
    <w:rsid w:val="00272DCD"/>
    <w:rsid w:val="00272EB8"/>
    <w:rsid w:val="002732C5"/>
    <w:rsid w:val="002732FC"/>
    <w:rsid w:val="00273E52"/>
    <w:rsid w:val="002743B9"/>
    <w:rsid w:val="00274953"/>
    <w:rsid w:val="00275B1D"/>
    <w:rsid w:val="00275DD8"/>
    <w:rsid w:val="00275F2D"/>
    <w:rsid w:val="002774AB"/>
    <w:rsid w:val="002800B3"/>
    <w:rsid w:val="002817D2"/>
    <w:rsid w:val="00281C32"/>
    <w:rsid w:val="002821E6"/>
    <w:rsid w:val="00282296"/>
    <w:rsid w:val="002827AC"/>
    <w:rsid w:val="00282A89"/>
    <w:rsid w:val="002858A2"/>
    <w:rsid w:val="00285FE4"/>
    <w:rsid w:val="00287743"/>
    <w:rsid w:val="00287B9D"/>
    <w:rsid w:val="00290E4B"/>
    <w:rsid w:val="002910DA"/>
    <w:rsid w:val="002920B0"/>
    <w:rsid w:val="00293F8A"/>
    <w:rsid w:val="00294EB5"/>
    <w:rsid w:val="002953B4"/>
    <w:rsid w:val="002958A2"/>
    <w:rsid w:val="00297554"/>
    <w:rsid w:val="002A039F"/>
    <w:rsid w:val="002A1407"/>
    <w:rsid w:val="002A23E1"/>
    <w:rsid w:val="002A2A90"/>
    <w:rsid w:val="002A338D"/>
    <w:rsid w:val="002A3FF3"/>
    <w:rsid w:val="002A438E"/>
    <w:rsid w:val="002A476C"/>
    <w:rsid w:val="002A4AFA"/>
    <w:rsid w:val="002A65F6"/>
    <w:rsid w:val="002A68B7"/>
    <w:rsid w:val="002A735D"/>
    <w:rsid w:val="002B0111"/>
    <w:rsid w:val="002B07A3"/>
    <w:rsid w:val="002B128A"/>
    <w:rsid w:val="002B1611"/>
    <w:rsid w:val="002B24EB"/>
    <w:rsid w:val="002B27B4"/>
    <w:rsid w:val="002B2B45"/>
    <w:rsid w:val="002B2E2D"/>
    <w:rsid w:val="002B31E6"/>
    <w:rsid w:val="002B3262"/>
    <w:rsid w:val="002B378A"/>
    <w:rsid w:val="002B43F6"/>
    <w:rsid w:val="002B49C8"/>
    <w:rsid w:val="002B56C2"/>
    <w:rsid w:val="002B5D05"/>
    <w:rsid w:val="002B641C"/>
    <w:rsid w:val="002B673F"/>
    <w:rsid w:val="002B69F3"/>
    <w:rsid w:val="002B6FC2"/>
    <w:rsid w:val="002B70C4"/>
    <w:rsid w:val="002B72A6"/>
    <w:rsid w:val="002B7370"/>
    <w:rsid w:val="002B7576"/>
    <w:rsid w:val="002B781C"/>
    <w:rsid w:val="002B7BA8"/>
    <w:rsid w:val="002C01FA"/>
    <w:rsid w:val="002C556A"/>
    <w:rsid w:val="002C5CC9"/>
    <w:rsid w:val="002C61B1"/>
    <w:rsid w:val="002C62B9"/>
    <w:rsid w:val="002C689C"/>
    <w:rsid w:val="002C6D02"/>
    <w:rsid w:val="002D0954"/>
    <w:rsid w:val="002D0A4F"/>
    <w:rsid w:val="002D1431"/>
    <w:rsid w:val="002D1AE4"/>
    <w:rsid w:val="002D1D9A"/>
    <w:rsid w:val="002D2081"/>
    <w:rsid w:val="002D224B"/>
    <w:rsid w:val="002D23FF"/>
    <w:rsid w:val="002D2A6E"/>
    <w:rsid w:val="002D2CA5"/>
    <w:rsid w:val="002D3449"/>
    <w:rsid w:val="002D369E"/>
    <w:rsid w:val="002D377B"/>
    <w:rsid w:val="002D3806"/>
    <w:rsid w:val="002D7667"/>
    <w:rsid w:val="002D79A3"/>
    <w:rsid w:val="002D7D6D"/>
    <w:rsid w:val="002E219A"/>
    <w:rsid w:val="002E2566"/>
    <w:rsid w:val="002E3BCB"/>
    <w:rsid w:val="002E415E"/>
    <w:rsid w:val="002E439D"/>
    <w:rsid w:val="002E55A9"/>
    <w:rsid w:val="002E5C91"/>
    <w:rsid w:val="002E5CE1"/>
    <w:rsid w:val="002E65F8"/>
    <w:rsid w:val="002E6CA9"/>
    <w:rsid w:val="002F04C1"/>
    <w:rsid w:val="002F04DD"/>
    <w:rsid w:val="002F1B0B"/>
    <w:rsid w:val="002F3C0E"/>
    <w:rsid w:val="002F7580"/>
    <w:rsid w:val="002F7668"/>
    <w:rsid w:val="0030085C"/>
    <w:rsid w:val="00301BEB"/>
    <w:rsid w:val="003023BC"/>
    <w:rsid w:val="00303C53"/>
    <w:rsid w:val="00304C3B"/>
    <w:rsid w:val="00305E80"/>
    <w:rsid w:val="00306109"/>
    <w:rsid w:val="003063F6"/>
    <w:rsid w:val="0030708B"/>
    <w:rsid w:val="003071DC"/>
    <w:rsid w:val="00307CD1"/>
    <w:rsid w:val="00310E5A"/>
    <w:rsid w:val="003112C0"/>
    <w:rsid w:val="00312076"/>
    <w:rsid w:val="00312858"/>
    <w:rsid w:val="00312865"/>
    <w:rsid w:val="003129E7"/>
    <w:rsid w:val="00313244"/>
    <w:rsid w:val="00313410"/>
    <w:rsid w:val="0031425E"/>
    <w:rsid w:val="003147FF"/>
    <w:rsid w:val="003148BA"/>
    <w:rsid w:val="00315366"/>
    <w:rsid w:val="003165AE"/>
    <w:rsid w:val="00316705"/>
    <w:rsid w:val="00317161"/>
    <w:rsid w:val="00317A66"/>
    <w:rsid w:val="00317CDD"/>
    <w:rsid w:val="0032009C"/>
    <w:rsid w:val="00320140"/>
    <w:rsid w:val="0032076B"/>
    <w:rsid w:val="003210D6"/>
    <w:rsid w:val="003222D6"/>
    <w:rsid w:val="00322899"/>
    <w:rsid w:val="003253A2"/>
    <w:rsid w:val="00325F6D"/>
    <w:rsid w:val="00326864"/>
    <w:rsid w:val="003271B2"/>
    <w:rsid w:val="003303B8"/>
    <w:rsid w:val="003304A5"/>
    <w:rsid w:val="003307DC"/>
    <w:rsid w:val="003316BB"/>
    <w:rsid w:val="00331FD6"/>
    <w:rsid w:val="003322FB"/>
    <w:rsid w:val="0033460F"/>
    <w:rsid w:val="003350AD"/>
    <w:rsid w:val="00335DC2"/>
    <w:rsid w:val="0033698F"/>
    <w:rsid w:val="00336AFA"/>
    <w:rsid w:val="00336BBE"/>
    <w:rsid w:val="00336F98"/>
    <w:rsid w:val="003373E7"/>
    <w:rsid w:val="00337F7F"/>
    <w:rsid w:val="0034007F"/>
    <w:rsid w:val="00341617"/>
    <w:rsid w:val="00341882"/>
    <w:rsid w:val="00342534"/>
    <w:rsid w:val="00342813"/>
    <w:rsid w:val="00343786"/>
    <w:rsid w:val="00343A03"/>
    <w:rsid w:val="00343C95"/>
    <w:rsid w:val="0034576A"/>
    <w:rsid w:val="003461A9"/>
    <w:rsid w:val="0034688C"/>
    <w:rsid w:val="00347B58"/>
    <w:rsid w:val="00347D5A"/>
    <w:rsid w:val="003510F8"/>
    <w:rsid w:val="0035237F"/>
    <w:rsid w:val="00352814"/>
    <w:rsid w:val="003530E0"/>
    <w:rsid w:val="003537D9"/>
    <w:rsid w:val="0035389D"/>
    <w:rsid w:val="0035416D"/>
    <w:rsid w:val="00354E31"/>
    <w:rsid w:val="003558C4"/>
    <w:rsid w:val="00356EFB"/>
    <w:rsid w:val="003603DA"/>
    <w:rsid w:val="00360618"/>
    <w:rsid w:val="003606A3"/>
    <w:rsid w:val="00360702"/>
    <w:rsid w:val="00361C80"/>
    <w:rsid w:val="00361F69"/>
    <w:rsid w:val="003627F7"/>
    <w:rsid w:val="00362B10"/>
    <w:rsid w:val="00364979"/>
    <w:rsid w:val="003650D3"/>
    <w:rsid w:val="00366FC6"/>
    <w:rsid w:val="003674C4"/>
    <w:rsid w:val="00367911"/>
    <w:rsid w:val="00370DB3"/>
    <w:rsid w:val="003728A5"/>
    <w:rsid w:val="00372B29"/>
    <w:rsid w:val="00373F73"/>
    <w:rsid w:val="00374273"/>
    <w:rsid w:val="00376989"/>
    <w:rsid w:val="003772C5"/>
    <w:rsid w:val="00380546"/>
    <w:rsid w:val="0038110F"/>
    <w:rsid w:val="00381499"/>
    <w:rsid w:val="00382BCF"/>
    <w:rsid w:val="00382F24"/>
    <w:rsid w:val="00383938"/>
    <w:rsid w:val="00383AB6"/>
    <w:rsid w:val="00383ACA"/>
    <w:rsid w:val="00385162"/>
    <w:rsid w:val="00385AFE"/>
    <w:rsid w:val="003862B3"/>
    <w:rsid w:val="003876E1"/>
    <w:rsid w:val="00387A35"/>
    <w:rsid w:val="00390128"/>
    <w:rsid w:val="00393B7D"/>
    <w:rsid w:val="00393DC4"/>
    <w:rsid w:val="003951FC"/>
    <w:rsid w:val="0039544B"/>
    <w:rsid w:val="00395ED4"/>
    <w:rsid w:val="00396C0C"/>
    <w:rsid w:val="003A1B5C"/>
    <w:rsid w:val="003A1F82"/>
    <w:rsid w:val="003A20C0"/>
    <w:rsid w:val="003A2E5F"/>
    <w:rsid w:val="003A313C"/>
    <w:rsid w:val="003A45B9"/>
    <w:rsid w:val="003A6D77"/>
    <w:rsid w:val="003B0237"/>
    <w:rsid w:val="003B059E"/>
    <w:rsid w:val="003B1518"/>
    <w:rsid w:val="003B1D68"/>
    <w:rsid w:val="003B1F7A"/>
    <w:rsid w:val="003B2899"/>
    <w:rsid w:val="003B29F5"/>
    <w:rsid w:val="003B3219"/>
    <w:rsid w:val="003B3812"/>
    <w:rsid w:val="003B4170"/>
    <w:rsid w:val="003B41E8"/>
    <w:rsid w:val="003B466F"/>
    <w:rsid w:val="003B5961"/>
    <w:rsid w:val="003B72E2"/>
    <w:rsid w:val="003C08EB"/>
    <w:rsid w:val="003C0A8D"/>
    <w:rsid w:val="003C1AC1"/>
    <w:rsid w:val="003C251D"/>
    <w:rsid w:val="003C2F6F"/>
    <w:rsid w:val="003C3260"/>
    <w:rsid w:val="003C466C"/>
    <w:rsid w:val="003C46C0"/>
    <w:rsid w:val="003C5816"/>
    <w:rsid w:val="003C6792"/>
    <w:rsid w:val="003D1100"/>
    <w:rsid w:val="003D1918"/>
    <w:rsid w:val="003D1AF3"/>
    <w:rsid w:val="003D29B9"/>
    <w:rsid w:val="003D2FB1"/>
    <w:rsid w:val="003D446C"/>
    <w:rsid w:val="003D5470"/>
    <w:rsid w:val="003D55B1"/>
    <w:rsid w:val="003D5780"/>
    <w:rsid w:val="003D66D2"/>
    <w:rsid w:val="003D753B"/>
    <w:rsid w:val="003E01E7"/>
    <w:rsid w:val="003E0479"/>
    <w:rsid w:val="003E2BFB"/>
    <w:rsid w:val="003E3038"/>
    <w:rsid w:val="003E305D"/>
    <w:rsid w:val="003E3BE0"/>
    <w:rsid w:val="003E4110"/>
    <w:rsid w:val="003E4C31"/>
    <w:rsid w:val="003E6B4D"/>
    <w:rsid w:val="003E6D92"/>
    <w:rsid w:val="003E7AAF"/>
    <w:rsid w:val="003E7AF9"/>
    <w:rsid w:val="003E7D16"/>
    <w:rsid w:val="003F0138"/>
    <w:rsid w:val="003F27C5"/>
    <w:rsid w:val="003F2908"/>
    <w:rsid w:val="003F33C9"/>
    <w:rsid w:val="003F595B"/>
    <w:rsid w:val="003F5F4B"/>
    <w:rsid w:val="0040052D"/>
    <w:rsid w:val="004009B7"/>
    <w:rsid w:val="004011F7"/>
    <w:rsid w:val="00401C47"/>
    <w:rsid w:val="00402F09"/>
    <w:rsid w:val="00403D69"/>
    <w:rsid w:val="00403DD9"/>
    <w:rsid w:val="00404236"/>
    <w:rsid w:val="00404586"/>
    <w:rsid w:val="0040500A"/>
    <w:rsid w:val="00410188"/>
    <w:rsid w:val="00412805"/>
    <w:rsid w:val="00413500"/>
    <w:rsid w:val="00413AAB"/>
    <w:rsid w:val="004142DF"/>
    <w:rsid w:val="004147EF"/>
    <w:rsid w:val="00415667"/>
    <w:rsid w:val="00415D84"/>
    <w:rsid w:val="00416606"/>
    <w:rsid w:val="004168AC"/>
    <w:rsid w:val="00416EFC"/>
    <w:rsid w:val="00417313"/>
    <w:rsid w:val="0041739F"/>
    <w:rsid w:val="0042128B"/>
    <w:rsid w:val="00421A4E"/>
    <w:rsid w:val="00422130"/>
    <w:rsid w:val="0042274D"/>
    <w:rsid w:val="00422E9A"/>
    <w:rsid w:val="00422F82"/>
    <w:rsid w:val="00423220"/>
    <w:rsid w:val="004240FA"/>
    <w:rsid w:val="004251B6"/>
    <w:rsid w:val="004253DE"/>
    <w:rsid w:val="00426F9E"/>
    <w:rsid w:val="0042729C"/>
    <w:rsid w:val="00427719"/>
    <w:rsid w:val="00430578"/>
    <w:rsid w:val="00430B8A"/>
    <w:rsid w:val="004334FC"/>
    <w:rsid w:val="004345FE"/>
    <w:rsid w:val="00434D9F"/>
    <w:rsid w:val="004354DB"/>
    <w:rsid w:val="004357A0"/>
    <w:rsid w:val="0043581C"/>
    <w:rsid w:val="00437172"/>
    <w:rsid w:val="004371DF"/>
    <w:rsid w:val="00437239"/>
    <w:rsid w:val="00437941"/>
    <w:rsid w:val="00437DEE"/>
    <w:rsid w:val="00441B72"/>
    <w:rsid w:val="00443008"/>
    <w:rsid w:val="004433D9"/>
    <w:rsid w:val="00444425"/>
    <w:rsid w:val="004445B7"/>
    <w:rsid w:val="004455A0"/>
    <w:rsid w:val="0044669C"/>
    <w:rsid w:val="00447A27"/>
    <w:rsid w:val="004507CD"/>
    <w:rsid w:val="00451C32"/>
    <w:rsid w:val="00451C53"/>
    <w:rsid w:val="00452D90"/>
    <w:rsid w:val="00452F72"/>
    <w:rsid w:val="0045363B"/>
    <w:rsid w:val="00453FC0"/>
    <w:rsid w:val="004548FA"/>
    <w:rsid w:val="00454A73"/>
    <w:rsid w:val="00454DC5"/>
    <w:rsid w:val="0045565A"/>
    <w:rsid w:val="00456212"/>
    <w:rsid w:val="00457634"/>
    <w:rsid w:val="00460FF9"/>
    <w:rsid w:val="0046199A"/>
    <w:rsid w:val="00461AAA"/>
    <w:rsid w:val="00462BA7"/>
    <w:rsid w:val="00464893"/>
    <w:rsid w:val="00465102"/>
    <w:rsid w:val="00466104"/>
    <w:rsid w:val="004664A8"/>
    <w:rsid w:val="00466CC3"/>
    <w:rsid w:val="0047006B"/>
    <w:rsid w:val="0047079E"/>
    <w:rsid w:val="00470D83"/>
    <w:rsid w:val="00470EB2"/>
    <w:rsid w:val="0047205B"/>
    <w:rsid w:val="0047322D"/>
    <w:rsid w:val="0047373B"/>
    <w:rsid w:val="00473ECD"/>
    <w:rsid w:val="0047758E"/>
    <w:rsid w:val="004777E5"/>
    <w:rsid w:val="00477C9D"/>
    <w:rsid w:val="00477E29"/>
    <w:rsid w:val="00480BC6"/>
    <w:rsid w:val="00480D86"/>
    <w:rsid w:val="004820D7"/>
    <w:rsid w:val="0048240E"/>
    <w:rsid w:val="004827A6"/>
    <w:rsid w:val="00482A74"/>
    <w:rsid w:val="00482E23"/>
    <w:rsid w:val="00483011"/>
    <w:rsid w:val="004832EF"/>
    <w:rsid w:val="00483827"/>
    <w:rsid w:val="00484CA5"/>
    <w:rsid w:val="00485129"/>
    <w:rsid w:val="00485776"/>
    <w:rsid w:val="00485B87"/>
    <w:rsid w:val="0048631B"/>
    <w:rsid w:val="00486E95"/>
    <w:rsid w:val="00487B7D"/>
    <w:rsid w:val="00487F13"/>
    <w:rsid w:val="00490A07"/>
    <w:rsid w:val="00490ECB"/>
    <w:rsid w:val="004917F9"/>
    <w:rsid w:val="00491A02"/>
    <w:rsid w:val="004923CD"/>
    <w:rsid w:val="00494040"/>
    <w:rsid w:val="004949B3"/>
    <w:rsid w:val="00495EB7"/>
    <w:rsid w:val="00495FE1"/>
    <w:rsid w:val="004961E7"/>
    <w:rsid w:val="00496570"/>
    <w:rsid w:val="0049671E"/>
    <w:rsid w:val="004973EA"/>
    <w:rsid w:val="00497CB6"/>
    <w:rsid w:val="004A0446"/>
    <w:rsid w:val="004A046A"/>
    <w:rsid w:val="004A1168"/>
    <w:rsid w:val="004A1697"/>
    <w:rsid w:val="004A1928"/>
    <w:rsid w:val="004A1A39"/>
    <w:rsid w:val="004A1FB7"/>
    <w:rsid w:val="004A246A"/>
    <w:rsid w:val="004A24F1"/>
    <w:rsid w:val="004A38E9"/>
    <w:rsid w:val="004A3A2F"/>
    <w:rsid w:val="004A3EC7"/>
    <w:rsid w:val="004A44EB"/>
    <w:rsid w:val="004A5601"/>
    <w:rsid w:val="004A5CFE"/>
    <w:rsid w:val="004A5DBF"/>
    <w:rsid w:val="004A6DC4"/>
    <w:rsid w:val="004A6DDE"/>
    <w:rsid w:val="004B12B4"/>
    <w:rsid w:val="004B140D"/>
    <w:rsid w:val="004B3820"/>
    <w:rsid w:val="004B3979"/>
    <w:rsid w:val="004B51D5"/>
    <w:rsid w:val="004B6B40"/>
    <w:rsid w:val="004B76C3"/>
    <w:rsid w:val="004C0909"/>
    <w:rsid w:val="004C0B19"/>
    <w:rsid w:val="004C1928"/>
    <w:rsid w:val="004C234F"/>
    <w:rsid w:val="004C34D9"/>
    <w:rsid w:val="004C34E4"/>
    <w:rsid w:val="004C3CE8"/>
    <w:rsid w:val="004C3D7A"/>
    <w:rsid w:val="004C3E6C"/>
    <w:rsid w:val="004C440A"/>
    <w:rsid w:val="004C4672"/>
    <w:rsid w:val="004C5280"/>
    <w:rsid w:val="004C5616"/>
    <w:rsid w:val="004C5961"/>
    <w:rsid w:val="004C5B85"/>
    <w:rsid w:val="004C5EC3"/>
    <w:rsid w:val="004C6BDA"/>
    <w:rsid w:val="004C75F6"/>
    <w:rsid w:val="004C77D6"/>
    <w:rsid w:val="004D06F4"/>
    <w:rsid w:val="004D083D"/>
    <w:rsid w:val="004D091B"/>
    <w:rsid w:val="004D16BD"/>
    <w:rsid w:val="004D1C87"/>
    <w:rsid w:val="004D2116"/>
    <w:rsid w:val="004D315A"/>
    <w:rsid w:val="004D37F6"/>
    <w:rsid w:val="004D3B10"/>
    <w:rsid w:val="004D47A2"/>
    <w:rsid w:val="004D498B"/>
    <w:rsid w:val="004D499F"/>
    <w:rsid w:val="004D54F6"/>
    <w:rsid w:val="004D5992"/>
    <w:rsid w:val="004D7760"/>
    <w:rsid w:val="004D79CB"/>
    <w:rsid w:val="004E13C7"/>
    <w:rsid w:val="004E18EF"/>
    <w:rsid w:val="004E1AB5"/>
    <w:rsid w:val="004E2623"/>
    <w:rsid w:val="004E406C"/>
    <w:rsid w:val="004E6A16"/>
    <w:rsid w:val="004E6A6A"/>
    <w:rsid w:val="004E6AB9"/>
    <w:rsid w:val="004E7041"/>
    <w:rsid w:val="004E766F"/>
    <w:rsid w:val="004F2131"/>
    <w:rsid w:val="004F2ED4"/>
    <w:rsid w:val="004F3B83"/>
    <w:rsid w:val="004F4AD0"/>
    <w:rsid w:val="004F4B53"/>
    <w:rsid w:val="004F4FDC"/>
    <w:rsid w:val="004F57C9"/>
    <w:rsid w:val="004F5A9E"/>
    <w:rsid w:val="004F5E6B"/>
    <w:rsid w:val="004F624A"/>
    <w:rsid w:val="004F6432"/>
    <w:rsid w:val="004F75F9"/>
    <w:rsid w:val="0050045A"/>
    <w:rsid w:val="00500DA1"/>
    <w:rsid w:val="005037B2"/>
    <w:rsid w:val="0050407F"/>
    <w:rsid w:val="00504C3E"/>
    <w:rsid w:val="00505226"/>
    <w:rsid w:val="00505C72"/>
    <w:rsid w:val="0050731C"/>
    <w:rsid w:val="00507655"/>
    <w:rsid w:val="0051035E"/>
    <w:rsid w:val="00510B8A"/>
    <w:rsid w:val="00510DA0"/>
    <w:rsid w:val="00511E51"/>
    <w:rsid w:val="00512DA3"/>
    <w:rsid w:val="005137C3"/>
    <w:rsid w:val="005138C1"/>
    <w:rsid w:val="0051468A"/>
    <w:rsid w:val="00514690"/>
    <w:rsid w:val="005149FC"/>
    <w:rsid w:val="00515CE6"/>
    <w:rsid w:val="00515E01"/>
    <w:rsid w:val="00516152"/>
    <w:rsid w:val="00517428"/>
    <w:rsid w:val="005202A9"/>
    <w:rsid w:val="00521E2E"/>
    <w:rsid w:val="00522A69"/>
    <w:rsid w:val="005235EF"/>
    <w:rsid w:val="00524785"/>
    <w:rsid w:val="00525679"/>
    <w:rsid w:val="005258A2"/>
    <w:rsid w:val="0052601A"/>
    <w:rsid w:val="0052635F"/>
    <w:rsid w:val="00527A64"/>
    <w:rsid w:val="00527E30"/>
    <w:rsid w:val="005305E3"/>
    <w:rsid w:val="00530A6A"/>
    <w:rsid w:val="00531627"/>
    <w:rsid w:val="00531AA6"/>
    <w:rsid w:val="00531DFB"/>
    <w:rsid w:val="00532E6D"/>
    <w:rsid w:val="00533616"/>
    <w:rsid w:val="005338AB"/>
    <w:rsid w:val="005346B3"/>
    <w:rsid w:val="005346DC"/>
    <w:rsid w:val="00535A8E"/>
    <w:rsid w:val="00535AAE"/>
    <w:rsid w:val="0053623A"/>
    <w:rsid w:val="005368A7"/>
    <w:rsid w:val="005378B0"/>
    <w:rsid w:val="00537D49"/>
    <w:rsid w:val="005411E0"/>
    <w:rsid w:val="005418F1"/>
    <w:rsid w:val="00542486"/>
    <w:rsid w:val="005427A3"/>
    <w:rsid w:val="0054290A"/>
    <w:rsid w:val="00542B5E"/>
    <w:rsid w:val="00543255"/>
    <w:rsid w:val="00543948"/>
    <w:rsid w:val="00544556"/>
    <w:rsid w:val="0054463C"/>
    <w:rsid w:val="005446AA"/>
    <w:rsid w:val="00544BD6"/>
    <w:rsid w:val="00546951"/>
    <w:rsid w:val="005472B4"/>
    <w:rsid w:val="005520AC"/>
    <w:rsid w:val="0055278E"/>
    <w:rsid w:val="0055389D"/>
    <w:rsid w:val="00554858"/>
    <w:rsid w:val="005549FC"/>
    <w:rsid w:val="00555D78"/>
    <w:rsid w:val="0056029B"/>
    <w:rsid w:val="00560832"/>
    <w:rsid w:val="00560AA3"/>
    <w:rsid w:val="00560C1C"/>
    <w:rsid w:val="00560D39"/>
    <w:rsid w:val="00561ACF"/>
    <w:rsid w:val="00561E1D"/>
    <w:rsid w:val="0056261B"/>
    <w:rsid w:val="00563162"/>
    <w:rsid w:val="00563254"/>
    <w:rsid w:val="00563658"/>
    <w:rsid w:val="00563FCE"/>
    <w:rsid w:val="00564C0E"/>
    <w:rsid w:val="00565FB8"/>
    <w:rsid w:val="00566255"/>
    <w:rsid w:val="005668EB"/>
    <w:rsid w:val="00567158"/>
    <w:rsid w:val="0057023F"/>
    <w:rsid w:val="00570FB6"/>
    <w:rsid w:val="005711ED"/>
    <w:rsid w:val="00571257"/>
    <w:rsid w:val="00571579"/>
    <w:rsid w:val="0057508A"/>
    <w:rsid w:val="00575B78"/>
    <w:rsid w:val="00576EA8"/>
    <w:rsid w:val="005801D5"/>
    <w:rsid w:val="00580ED9"/>
    <w:rsid w:val="0058103F"/>
    <w:rsid w:val="00582B54"/>
    <w:rsid w:val="00582F06"/>
    <w:rsid w:val="00583BCE"/>
    <w:rsid w:val="005840D6"/>
    <w:rsid w:val="005848EA"/>
    <w:rsid w:val="00585BE2"/>
    <w:rsid w:val="005868E2"/>
    <w:rsid w:val="00587162"/>
    <w:rsid w:val="00587276"/>
    <w:rsid w:val="0058728D"/>
    <w:rsid w:val="005872FA"/>
    <w:rsid w:val="005877AB"/>
    <w:rsid w:val="00587811"/>
    <w:rsid w:val="00587FF9"/>
    <w:rsid w:val="0059002B"/>
    <w:rsid w:val="0059082A"/>
    <w:rsid w:val="00590FCD"/>
    <w:rsid w:val="00592468"/>
    <w:rsid w:val="00592C07"/>
    <w:rsid w:val="00593E1C"/>
    <w:rsid w:val="005941E1"/>
    <w:rsid w:val="00594FB2"/>
    <w:rsid w:val="00595CF9"/>
    <w:rsid w:val="005A001D"/>
    <w:rsid w:val="005A045F"/>
    <w:rsid w:val="005A1495"/>
    <w:rsid w:val="005A1D05"/>
    <w:rsid w:val="005A1FF4"/>
    <w:rsid w:val="005A2156"/>
    <w:rsid w:val="005A2852"/>
    <w:rsid w:val="005A2DFA"/>
    <w:rsid w:val="005A3621"/>
    <w:rsid w:val="005A3946"/>
    <w:rsid w:val="005A5245"/>
    <w:rsid w:val="005A55C4"/>
    <w:rsid w:val="005A59B0"/>
    <w:rsid w:val="005A747B"/>
    <w:rsid w:val="005A78CF"/>
    <w:rsid w:val="005A7960"/>
    <w:rsid w:val="005B01EC"/>
    <w:rsid w:val="005B0412"/>
    <w:rsid w:val="005B1205"/>
    <w:rsid w:val="005B1513"/>
    <w:rsid w:val="005B238D"/>
    <w:rsid w:val="005B3CEE"/>
    <w:rsid w:val="005B4222"/>
    <w:rsid w:val="005B46E3"/>
    <w:rsid w:val="005B507B"/>
    <w:rsid w:val="005B548E"/>
    <w:rsid w:val="005B58E2"/>
    <w:rsid w:val="005B5CAA"/>
    <w:rsid w:val="005B691B"/>
    <w:rsid w:val="005B6F80"/>
    <w:rsid w:val="005B7557"/>
    <w:rsid w:val="005B75B2"/>
    <w:rsid w:val="005B7811"/>
    <w:rsid w:val="005B79EC"/>
    <w:rsid w:val="005C020D"/>
    <w:rsid w:val="005C1200"/>
    <w:rsid w:val="005C12AF"/>
    <w:rsid w:val="005C166A"/>
    <w:rsid w:val="005C3ADE"/>
    <w:rsid w:val="005C4D16"/>
    <w:rsid w:val="005C4D91"/>
    <w:rsid w:val="005C561F"/>
    <w:rsid w:val="005C5900"/>
    <w:rsid w:val="005C5D1E"/>
    <w:rsid w:val="005C6164"/>
    <w:rsid w:val="005D03FC"/>
    <w:rsid w:val="005D12D3"/>
    <w:rsid w:val="005D194F"/>
    <w:rsid w:val="005D217A"/>
    <w:rsid w:val="005D2457"/>
    <w:rsid w:val="005D30F6"/>
    <w:rsid w:val="005D4E64"/>
    <w:rsid w:val="005D6D75"/>
    <w:rsid w:val="005D723A"/>
    <w:rsid w:val="005D7B3E"/>
    <w:rsid w:val="005E0B75"/>
    <w:rsid w:val="005E1A49"/>
    <w:rsid w:val="005E3E4B"/>
    <w:rsid w:val="005E45EB"/>
    <w:rsid w:val="005E509D"/>
    <w:rsid w:val="005E5153"/>
    <w:rsid w:val="005E633D"/>
    <w:rsid w:val="005E6E38"/>
    <w:rsid w:val="005F0E27"/>
    <w:rsid w:val="005F1B1D"/>
    <w:rsid w:val="005F22BB"/>
    <w:rsid w:val="005F360F"/>
    <w:rsid w:val="005F3696"/>
    <w:rsid w:val="005F383F"/>
    <w:rsid w:val="005F3D04"/>
    <w:rsid w:val="005F4053"/>
    <w:rsid w:val="005F430A"/>
    <w:rsid w:val="005F4492"/>
    <w:rsid w:val="005F490B"/>
    <w:rsid w:val="005F5381"/>
    <w:rsid w:val="005F5640"/>
    <w:rsid w:val="005F640B"/>
    <w:rsid w:val="005F70F8"/>
    <w:rsid w:val="005F7171"/>
    <w:rsid w:val="005F7C5D"/>
    <w:rsid w:val="00600E72"/>
    <w:rsid w:val="0060190B"/>
    <w:rsid w:val="00602070"/>
    <w:rsid w:val="006026E2"/>
    <w:rsid w:val="00602C44"/>
    <w:rsid w:val="00602E26"/>
    <w:rsid w:val="00603434"/>
    <w:rsid w:val="006034E7"/>
    <w:rsid w:val="00603AA2"/>
    <w:rsid w:val="00604BE6"/>
    <w:rsid w:val="00604D3A"/>
    <w:rsid w:val="00605440"/>
    <w:rsid w:val="006062D0"/>
    <w:rsid w:val="006104A0"/>
    <w:rsid w:val="006105C9"/>
    <w:rsid w:val="00610CF1"/>
    <w:rsid w:val="00611F5D"/>
    <w:rsid w:val="006129EF"/>
    <w:rsid w:val="006133BB"/>
    <w:rsid w:val="006133DE"/>
    <w:rsid w:val="00613E87"/>
    <w:rsid w:val="00614734"/>
    <w:rsid w:val="0061501D"/>
    <w:rsid w:val="00615CD2"/>
    <w:rsid w:val="00616E42"/>
    <w:rsid w:val="006178E2"/>
    <w:rsid w:val="00617CF5"/>
    <w:rsid w:val="0062140F"/>
    <w:rsid w:val="006225DA"/>
    <w:rsid w:val="006229EC"/>
    <w:rsid w:val="00623329"/>
    <w:rsid w:val="006233B0"/>
    <w:rsid w:val="00623A62"/>
    <w:rsid w:val="00623C78"/>
    <w:rsid w:val="00624607"/>
    <w:rsid w:val="00624C94"/>
    <w:rsid w:val="00624E35"/>
    <w:rsid w:val="00625A14"/>
    <w:rsid w:val="006265A6"/>
    <w:rsid w:val="00626A84"/>
    <w:rsid w:val="0062792A"/>
    <w:rsid w:val="0063048D"/>
    <w:rsid w:val="00632687"/>
    <w:rsid w:val="0063274A"/>
    <w:rsid w:val="00632824"/>
    <w:rsid w:val="006342CA"/>
    <w:rsid w:val="006344DD"/>
    <w:rsid w:val="00634E98"/>
    <w:rsid w:val="00635EB8"/>
    <w:rsid w:val="00636C60"/>
    <w:rsid w:val="0063743D"/>
    <w:rsid w:val="00641C5F"/>
    <w:rsid w:val="006425DB"/>
    <w:rsid w:val="00645692"/>
    <w:rsid w:val="00645A01"/>
    <w:rsid w:val="00645D39"/>
    <w:rsid w:val="00645F33"/>
    <w:rsid w:val="00646631"/>
    <w:rsid w:val="00646B46"/>
    <w:rsid w:val="00646CFF"/>
    <w:rsid w:val="006474B4"/>
    <w:rsid w:val="00650D9C"/>
    <w:rsid w:val="00650E5E"/>
    <w:rsid w:val="00651B55"/>
    <w:rsid w:val="00652E60"/>
    <w:rsid w:val="006530B0"/>
    <w:rsid w:val="00653185"/>
    <w:rsid w:val="006540EA"/>
    <w:rsid w:val="006546ED"/>
    <w:rsid w:val="00654A49"/>
    <w:rsid w:val="00654AEF"/>
    <w:rsid w:val="0065630A"/>
    <w:rsid w:val="0066076A"/>
    <w:rsid w:val="00660849"/>
    <w:rsid w:val="00661596"/>
    <w:rsid w:val="0066223A"/>
    <w:rsid w:val="00663CE1"/>
    <w:rsid w:val="00665B88"/>
    <w:rsid w:val="00665FEA"/>
    <w:rsid w:val="006667F8"/>
    <w:rsid w:val="00666986"/>
    <w:rsid w:val="00666C43"/>
    <w:rsid w:val="00666EBB"/>
    <w:rsid w:val="00667261"/>
    <w:rsid w:val="00667611"/>
    <w:rsid w:val="006700DF"/>
    <w:rsid w:val="006732E7"/>
    <w:rsid w:val="0067348E"/>
    <w:rsid w:val="00675016"/>
    <w:rsid w:val="006750D2"/>
    <w:rsid w:val="00675FC3"/>
    <w:rsid w:val="006765FF"/>
    <w:rsid w:val="0067718F"/>
    <w:rsid w:val="00677E70"/>
    <w:rsid w:val="00677FA0"/>
    <w:rsid w:val="00681639"/>
    <w:rsid w:val="006816C1"/>
    <w:rsid w:val="00681B06"/>
    <w:rsid w:val="00681D5F"/>
    <w:rsid w:val="00681F1F"/>
    <w:rsid w:val="006827E7"/>
    <w:rsid w:val="006835E3"/>
    <w:rsid w:val="006844EA"/>
    <w:rsid w:val="00684655"/>
    <w:rsid w:val="006847B5"/>
    <w:rsid w:val="00684C6D"/>
    <w:rsid w:val="00684FB1"/>
    <w:rsid w:val="00685D05"/>
    <w:rsid w:val="0068727A"/>
    <w:rsid w:val="00687302"/>
    <w:rsid w:val="00690FE1"/>
    <w:rsid w:val="00692F4A"/>
    <w:rsid w:val="006933CC"/>
    <w:rsid w:val="00693AA0"/>
    <w:rsid w:val="0069418B"/>
    <w:rsid w:val="00694555"/>
    <w:rsid w:val="00694BED"/>
    <w:rsid w:val="00695197"/>
    <w:rsid w:val="00696801"/>
    <w:rsid w:val="006969BE"/>
    <w:rsid w:val="00696FC4"/>
    <w:rsid w:val="006A192D"/>
    <w:rsid w:val="006A27E6"/>
    <w:rsid w:val="006A31B6"/>
    <w:rsid w:val="006A38BA"/>
    <w:rsid w:val="006A4182"/>
    <w:rsid w:val="006A4412"/>
    <w:rsid w:val="006A4511"/>
    <w:rsid w:val="006A46E0"/>
    <w:rsid w:val="006A589A"/>
    <w:rsid w:val="006A5EC9"/>
    <w:rsid w:val="006A6439"/>
    <w:rsid w:val="006A6D0E"/>
    <w:rsid w:val="006A6D75"/>
    <w:rsid w:val="006A73D6"/>
    <w:rsid w:val="006A750D"/>
    <w:rsid w:val="006A7A66"/>
    <w:rsid w:val="006B0B95"/>
    <w:rsid w:val="006B1D1C"/>
    <w:rsid w:val="006B1DBD"/>
    <w:rsid w:val="006B1EBE"/>
    <w:rsid w:val="006B29D6"/>
    <w:rsid w:val="006B2C55"/>
    <w:rsid w:val="006B30CE"/>
    <w:rsid w:val="006B3191"/>
    <w:rsid w:val="006B4074"/>
    <w:rsid w:val="006B52C9"/>
    <w:rsid w:val="006B5AF1"/>
    <w:rsid w:val="006B677A"/>
    <w:rsid w:val="006B6E4A"/>
    <w:rsid w:val="006B742F"/>
    <w:rsid w:val="006C0202"/>
    <w:rsid w:val="006C0347"/>
    <w:rsid w:val="006C0A88"/>
    <w:rsid w:val="006C11CA"/>
    <w:rsid w:val="006C1503"/>
    <w:rsid w:val="006C16A5"/>
    <w:rsid w:val="006C17DD"/>
    <w:rsid w:val="006C3933"/>
    <w:rsid w:val="006C5863"/>
    <w:rsid w:val="006C587B"/>
    <w:rsid w:val="006C5DF3"/>
    <w:rsid w:val="006C6392"/>
    <w:rsid w:val="006C6BF6"/>
    <w:rsid w:val="006C73E4"/>
    <w:rsid w:val="006C7B84"/>
    <w:rsid w:val="006D2C7C"/>
    <w:rsid w:val="006D3754"/>
    <w:rsid w:val="006D41AD"/>
    <w:rsid w:val="006D434D"/>
    <w:rsid w:val="006D4898"/>
    <w:rsid w:val="006D4ED4"/>
    <w:rsid w:val="006D562A"/>
    <w:rsid w:val="006D6CE3"/>
    <w:rsid w:val="006E0025"/>
    <w:rsid w:val="006E0B25"/>
    <w:rsid w:val="006E0FEB"/>
    <w:rsid w:val="006E24A2"/>
    <w:rsid w:val="006E3251"/>
    <w:rsid w:val="006E3576"/>
    <w:rsid w:val="006E40F7"/>
    <w:rsid w:val="006E450F"/>
    <w:rsid w:val="006E6484"/>
    <w:rsid w:val="006E75E7"/>
    <w:rsid w:val="006F0242"/>
    <w:rsid w:val="006F02A3"/>
    <w:rsid w:val="006F10A3"/>
    <w:rsid w:val="006F1EA3"/>
    <w:rsid w:val="006F22B9"/>
    <w:rsid w:val="006F60C0"/>
    <w:rsid w:val="006F64A4"/>
    <w:rsid w:val="006F6CE7"/>
    <w:rsid w:val="007000DB"/>
    <w:rsid w:val="00700674"/>
    <w:rsid w:val="00700BA3"/>
    <w:rsid w:val="007016FD"/>
    <w:rsid w:val="00701CD8"/>
    <w:rsid w:val="00702C9F"/>
    <w:rsid w:val="00703EBF"/>
    <w:rsid w:val="00704279"/>
    <w:rsid w:val="007056F3"/>
    <w:rsid w:val="00706E7C"/>
    <w:rsid w:val="00707560"/>
    <w:rsid w:val="0070761E"/>
    <w:rsid w:val="007079DD"/>
    <w:rsid w:val="00710A7D"/>
    <w:rsid w:val="00711DB8"/>
    <w:rsid w:val="00712DAD"/>
    <w:rsid w:val="00714417"/>
    <w:rsid w:val="007152D7"/>
    <w:rsid w:val="0071650D"/>
    <w:rsid w:val="00716730"/>
    <w:rsid w:val="00716FA2"/>
    <w:rsid w:val="00717FA3"/>
    <w:rsid w:val="00720782"/>
    <w:rsid w:val="007209E2"/>
    <w:rsid w:val="00720AB0"/>
    <w:rsid w:val="00722DEE"/>
    <w:rsid w:val="00723716"/>
    <w:rsid w:val="007238E5"/>
    <w:rsid w:val="00723BB3"/>
    <w:rsid w:val="00723E45"/>
    <w:rsid w:val="0072423E"/>
    <w:rsid w:val="00725349"/>
    <w:rsid w:val="007257FC"/>
    <w:rsid w:val="00726063"/>
    <w:rsid w:val="007266C8"/>
    <w:rsid w:val="007267C8"/>
    <w:rsid w:val="00726855"/>
    <w:rsid w:val="00727470"/>
    <w:rsid w:val="007315DF"/>
    <w:rsid w:val="007322BF"/>
    <w:rsid w:val="00733B6A"/>
    <w:rsid w:val="0073412B"/>
    <w:rsid w:val="007348FB"/>
    <w:rsid w:val="00734903"/>
    <w:rsid w:val="00734930"/>
    <w:rsid w:val="007350C9"/>
    <w:rsid w:val="0073617C"/>
    <w:rsid w:val="007367C5"/>
    <w:rsid w:val="00736D13"/>
    <w:rsid w:val="007370DB"/>
    <w:rsid w:val="007371D6"/>
    <w:rsid w:val="0073797C"/>
    <w:rsid w:val="0074000D"/>
    <w:rsid w:val="007403F1"/>
    <w:rsid w:val="00740CB3"/>
    <w:rsid w:val="0074163B"/>
    <w:rsid w:val="00742C6E"/>
    <w:rsid w:val="00743180"/>
    <w:rsid w:val="0074328A"/>
    <w:rsid w:val="0074342B"/>
    <w:rsid w:val="0074380A"/>
    <w:rsid w:val="00744B19"/>
    <w:rsid w:val="00746075"/>
    <w:rsid w:val="0074613B"/>
    <w:rsid w:val="00746E65"/>
    <w:rsid w:val="00746ED3"/>
    <w:rsid w:val="00750CA1"/>
    <w:rsid w:val="00751CA6"/>
    <w:rsid w:val="0075242F"/>
    <w:rsid w:val="007524FE"/>
    <w:rsid w:val="00753061"/>
    <w:rsid w:val="00753F7C"/>
    <w:rsid w:val="00753FEA"/>
    <w:rsid w:val="007544B3"/>
    <w:rsid w:val="00755F78"/>
    <w:rsid w:val="00756928"/>
    <w:rsid w:val="007573C9"/>
    <w:rsid w:val="00760A27"/>
    <w:rsid w:val="00761382"/>
    <w:rsid w:val="007614CB"/>
    <w:rsid w:val="007618C0"/>
    <w:rsid w:val="00761F7E"/>
    <w:rsid w:val="007621AA"/>
    <w:rsid w:val="00762C43"/>
    <w:rsid w:val="0076400C"/>
    <w:rsid w:val="007645D1"/>
    <w:rsid w:val="00764892"/>
    <w:rsid w:val="0076499F"/>
    <w:rsid w:val="00765580"/>
    <w:rsid w:val="00765FFF"/>
    <w:rsid w:val="00767558"/>
    <w:rsid w:val="007700C8"/>
    <w:rsid w:val="0077013F"/>
    <w:rsid w:val="0077026C"/>
    <w:rsid w:val="00770678"/>
    <w:rsid w:val="00770FC4"/>
    <w:rsid w:val="00771143"/>
    <w:rsid w:val="00771930"/>
    <w:rsid w:val="00771D89"/>
    <w:rsid w:val="007720F6"/>
    <w:rsid w:val="00772156"/>
    <w:rsid w:val="00773745"/>
    <w:rsid w:val="00774667"/>
    <w:rsid w:val="00774DF3"/>
    <w:rsid w:val="0077585C"/>
    <w:rsid w:val="00776CDE"/>
    <w:rsid w:val="00776E30"/>
    <w:rsid w:val="00776F3D"/>
    <w:rsid w:val="0078165D"/>
    <w:rsid w:val="00781E74"/>
    <w:rsid w:val="00782DA7"/>
    <w:rsid w:val="00782F3D"/>
    <w:rsid w:val="00783AAC"/>
    <w:rsid w:val="0078489C"/>
    <w:rsid w:val="00784EC2"/>
    <w:rsid w:val="00786FB5"/>
    <w:rsid w:val="00787592"/>
    <w:rsid w:val="0078783B"/>
    <w:rsid w:val="00787CA6"/>
    <w:rsid w:val="00787E30"/>
    <w:rsid w:val="00787E9D"/>
    <w:rsid w:val="00790622"/>
    <w:rsid w:val="00792E90"/>
    <w:rsid w:val="007938C7"/>
    <w:rsid w:val="00794C3D"/>
    <w:rsid w:val="00794FFF"/>
    <w:rsid w:val="007958CD"/>
    <w:rsid w:val="00796254"/>
    <w:rsid w:val="007968D5"/>
    <w:rsid w:val="00797A9C"/>
    <w:rsid w:val="007A080F"/>
    <w:rsid w:val="007A0F32"/>
    <w:rsid w:val="007A14EE"/>
    <w:rsid w:val="007A1ED4"/>
    <w:rsid w:val="007A240A"/>
    <w:rsid w:val="007A2513"/>
    <w:rsid w:val="007A2A8B"/>
    <w:rsid w:val="007A2B34"/>
    <w:rsid w:val="007A47A0"/>
    <w:rsid w:val="007A5F11"/>
    <w:rsid w:val="007A7227"/>
    <w:rsid w:val="007B2565"/>
    <w:rsid w:val="007B2C1C"/>
    <w:rsid w:val="007B3281"/>
    <w:rsid w:val="007B40B5"/>
    <w:rsid w:val="007B444B"/>
    <w:rsid w:val="007B4837"/>
    <w:rsid w:val="007B5824"/>
    <w:rsid w:val="007B635D"/>
    <w:rsid w:val="007B692E"/>
    <w:rsid w:val="007B6C60"/>
    <w:rsid w:val="007B74D3"/>
    <w:rsid w:val="007B7CA9"/>
    <w:rsid w:val="007C1A71"/>
    <w:rsid w:val="007C2318"/>
    <w:rsid w:val="007C27C3"/>
    <w:rsid w:val="007C32DB"/>
    <w:rsid w:val="007C3E54"/>
    <w:rsid w:val="007C437A"/>
    <w:rsid w:val="007C76AD"/>
    <w:rsid w:val="007D01E1"/>
    <w:rsid w:val="007D4279"/>
    <w:rsid w:val="007D6AC0"/>
    <w:rsid w:val="007D7B8E"/>
    <w:rsid w:val="007D7C2A"/>
    <w:rsid w:val="007E0509"/>
    <w:rsid w:val="007E054C"/>
    <w:rsid w:val="007E18F3"/>
    <w:rsid w:val="007E24D6"/>
    <w:rsid w:val="007E25AB"/>
    <w:rsid w:val="007E3E57"/>
    <w:rsid w:val="007E432C"/>
    <w:rsid w:val="007E5021"/>
    <w:rsid w:val="007E5250"/>
    <w:rsid w:val="007E567C"/>
    <w:rsid w:val="007E573F"/>
    <w:rsid w:val="007F0556"/>
    <w:rsid w:val="007F09C0"/>
    <w:rsid w:val="007F12E8"/>
    <w:rsid w:val="007F16D8"/>
    <w:rsid w:val="007F24B6"/>
    <w:rsid w:val="007F3612"/>
    <w:rsid w:val="007F5650"/>
    <w:rsid w:val="007F56E4"/>
    <w:rsid w:val="007F5A27"/>
    <w:rsid w:val="007F663A"/>
    <w:rsid w:val="007F7B78"/>
    <w:rsid w:val="0080077C"/>
    <w:rsid w:val="00801145"/>
    <w:rsid w:val="008015E3"/>
    <w:rsid w:val="0080165E"/>
    <w:rsid w:val="00802516"/>
    <w:rsid w:val="00803D42"/>
    <w:rsid w:val="00805533"/>
    <w:rsid w:val="00807A5D"/>
    <w:rsid w:val="00807B7D"/>
    <w:rsid w:val="00807D7C"/>
    <w:rsid w:val="00811542"/>
    <w:rsid w:val="00811D94"/>
    <w:rsid w:val="008123DC"/>
    <w:rsid w:val="00813543"/>
    <w:rsid w:val="00813F3E"/>
    <w:rsid w:val="00813FA9"/>
    <w:rsid w:val="00814004"/>
    <w:rsid w:val="0081524F"/>
    <w:rsid w:val="00815E44"/>
    <w:rsid w:val="0081690B"/>
    <w:rsid w:val="008175B3"/>
    <w:rsid w:val="00817C9C"/>
    <w:rsid w:val="00820F6F"/>
    <w:rsid w:val="0082104B"/>
    <w:rsid w:val="0082233E"/>
    <w:rsid w:val="00822D51"/>
    <w:rsid w:val="00822F73"/>
    <w:rsid w:val="008235CA"/>
    <w:rsid w:val="00823E27"/>
    <w:rsid w:val="00825BFA"/>
    <w:rsid w:val="00825C60"/>
    <w:rsid w:val="00826BF5"/>
    <w:rsid w:val="00827413"/>
    <w:rsid w:val="00830EBF"/>
    <w:rsid w:val="00832082"/>
    <w:rsid w:val="00832A40"/>
    <w:rsid w:val="0083321A"/>
    <w:rsid w:val="00835F93"/>
    <w:rsid w:val="0083630F"/>
    <w:rsid w:val="00836A2A"/>
    <w:rsid w:val="00836ED2"/>
    <w:rsid w:val="0083725D"/>
    <w:rsid w:val="008402A6"/>
    <w:rsid w:val="00840F29"/>
    <w:rsid w:val="00841EB1"/>
    <w:rsid w:val="0084230A"/>
    <w:rsid w:val="00842B7C"/>
    <w:rsid w:val="00842ECB"/>
    <w:rsid w:val="00843ED4"/>
    <w:rsid w:val="00847FEF"/>
    <w:rsid w:val="00850D39"/>
    <w:rsid w:val="008521BF"/>
    <w:rsid w:val="00852DA3"/>
    <w:rsid w:val="0085361B"/>
    <w:rsid w:val="00853769"/>
    <w:rsid w:val="00854359"/>
    <w:rsid w:val="00856316"/>
    <w:rsid w:val="008604C2"/>
    <w:rsid w:val="00860995"/>
    <w:rsid w:val="00862739"/>
    <w:rsid w:val="00863257"/>
    <w:rsid w:val="00863BB5"/>
    <w:rsid w:val="00864221"/>
    <w:rsid w:val="008643CE"/>
    <w:rsid w:val="0086447D"/>
    <w:rsid w:val="00865843"/>
    <w:rsid w:val="008664C8"/>
    <w:rsid w:val="00866E37"/>
    <w:rsid w:val="00866FF4"/>
    <w:rsid w:val="008671A1"/>
    <w:rsid w:val="0086721F"/>
    <w:rsid w:val="008679F3"/>
    <w:rsid w:val="0087019C"/>
    <w:rsid w:val="0087034E"/>
    <w:rsid w:val="00870494"/>
    <w:rsid w:val="00870C8B"/>
    <w:rsid w:val="00871017"/>
    <w:rsid w:val="00871649"/>
    <w:rsid w:val="00872EBB"/>
    <w:rsid w:val="00873534"/>
    <w:rsid w:val="00873578"/>
    <w:rsid w:val="0087389D"/>
    <w:rsid w:val="008741A2"/>
    <w:rsid w:val="008761C6"/>
    <w:rsid w:val="008775D5"/>
    <w:rsid w:val="00877F6B"/>
    <w:rsid w:val="00880F23"/>
    <w:rsid w:val="00880FB0"/>
    <w:rsid w:val="0088121F"/>
    <w:rsid w:val="00882C5B"/>
    <w:rsid w:val="00885561"/>
    <w:rsid w:val="00885880"/>
    <w:rsid w:val="00885D09"/>
    <w:rsid w:val="00886BCF"/>
    <w:rsid w:val="00887DDB"/>
    <w:rsid w:val="0089019B"/>
    <w:rsid w:val="00890AA6"/>
    <w:rsid w:val="008934AC"/>
    <w:rsid w:val="00893BB2"/>
    <w:rsid w:val="00896034"/>
    <w:rsid w:val="00896490"/>
    <w:rsid w:val="00896990"/>
    <w:rsid w:val="00897919"/>
    <w:rsid w:val="008A0242"/>
    <w:rsid w:val="008A2A4C"/>
    <w:rsid w:val="008A3E02"/>
    <w:rsid w:val="008A49D1"/>
    <w:rsid w:val="008A4D43"/>
    <w:rsid w:val="008A59B7"/>
    <w:rsid w:val="008A629D"/>
    <w:rsid w:val="008A6549"/>
    <w:rsid w:val="008A6B0F"/>
    <w:rsid w:val="008B057F"/>
    <w:rsid w:val="008B0D43"/>
    <w:rsid w:val="008B13A6"/>
    <w:rsid w:val="008B2C8B"/>
    <w:rsid w:val="008B2F4A"/>
    <w:rsid w:val="008B3F62"/>
    <w:rsid w:val="008B48B2"/>
    <w:rsid w:val="008B4B7D"/>
    <w:rsid w:val="008B7C5D"/>
    <w:rsid w:val="008C2250"/>
    <w:rsid w:val="008C22BD"/>
    <w:rsid w:val="008C2522"/>
    <w:rsid w:val="008C3660"/>
    <w:rsid w:val="008C525F"/>
    <w:rsid w:val="008C63A4"/>
    <w:rsid w:val="008C7182"/>
    <w:rsid w:val="008D010D"/>
    <w:rsid w:val="008D0BD0"/>
    <w:rsid w:val="008D164B"/>
    <w:rsid w:val="008D1920"/>
    <w:rsid w:val="008D2EC7"/>
    <w:rsid w:val="008D3C79"/>
    <w:rsid w:val="008D42E3"/>
    <w:rsid w:val="008D5108"/>
    <w:rsid w:val="008D5497"/>
    <w:rsid w:val="008D6835"/>
    <w:rsid w:val="008D698B"/>
    <w:rsid w:val="008D69EB"/>
    <w:rsid w:val="008D7834"/>
    <w:rsid w:val="008D7CC1"/>
    <w:rsid w:val="008D7D95"/>
    <w:rsid w:val="008E25B3"/>
    <w:rsid w:val="008E291C"/>
    <w:rsid w:val="008E3EE3"/>
    <w:rsid w:val="008E5096"/>
    <w:rsid w:val="008E5682"/>
    <w:rsid w:val="008E570A"/>
    <w:rsid w:val="008E5813"/>
    <w:rsid w:val="008E63A6"/>
    <w:rsid w:val="008E6900"/>
    <w:rsid w:val="008E6ADB"/>
    <w:rsid w:val="008F0890"/>
    <w:rsid w:val="008F15B5"/>
    <w:rsid w:val="008F18BC"/>
    <w:rsid w:val="008F2C5E"/>
    <w:rsid w:val="008F2DE8"/>
    <w:rsid w:val="008F325D"/>
    <w:rsid w:val="008F5D38"/>
    <w:rsid w:val="008F5EB1"/>
    <w:rsid w:val="008F6461"/>
    <w:rsid w:val="008F671D"/>
    <w:rsid w:val="008F6D80"/>
    <w:rsid w:val="008F6E17"/>
    <w:rsid w:val="009007C5"/>
    <w:rsid w:val="00900B9C"/>
    <w:rsid w:val="00901A98"/>
    <w:rsid w:val="00901F78"/>
    <w:rsid w:val="009022A6"/>
    <w:rsid w:val="0090271A"/>
    <w:rsid w:val="00902C30"/>
    <w:rsid w:val="00903F05"/>
    <w:rsid w:val="00905C31"/>
    <w:rsid w:val="00906313"/>
    <w:rsid w:val="00907F9A"/>
    <w:rsid w:val="009100B1"/>
    <w:rsid w:val="00910EDF"/>
    <w:rsid w:val="00911F34"/>
    <w:rsid w:val="00913162"/>
    <w:rsid w:val="00913804"/>
    <w:rsid w:val="0091572C"/>
    <w:rsid w:val="00915E5E"/>
    <w:rsid w:val="00916D91"/>
    <w:rsid w:val="009172B1"/>
    <w:rsid w:val="009175E9"/>
    <w:rsid w:val="00920384"/>
    <w:rsid w:val="0092076B"/>
    <w:rsid w:val="00920CEA"/>
    <w:rsid w:val="00920D5F"/>
    <w:rsid w:val="009221E1"/>
    <w:rsid w:val="00922E46"/>
    <w:rsid w:val="009231A4"/>
    <w:rsid w:val="009259DF"/>
    <w:rsid w:val="0092605A"/>
    <w:rsid w:val="0092707D"/>
    <w:rsid w:val="0092782D"/>
    <w:rsid w:val="009303DF"/>
    <w:rsid w:val="0093099C"/>
    <w:rsid w:val="00931B14"/>
    <w:rsid w:val="009337F2"/>
    <w:rsid w:val="00933CB9"/>
    <w:rsid w:val="00935985"/>
    <w:rsid w:val="00935CAF"/>
    <w:rsid w:val="009362F1"/>
    <w:rsid w:val="00936513"/>
    <w:rsid w:val="009365CE"/>
    <w:rsid w:val="0093771B"/>
    <w:rsid w:val="00940773"/>
    <w:rsid w:val="00940A88"/>
    <w:rsid w:val="00941396"/>
    <w:rsid w:val="0094398E"/>
    <w:rsid w:val="00943B26"/>
    <w:rsid w:val="00944C9A"/>
    <w:rsid w:val="00944DC7"/>
    <w:rsid w:val="009459C9"/>
    <w:rsid w:val="00946D97"/>
    <w:rsid w:val="00946E07"/>
    <w:rsid w:val="00950F53"/>
    <w:rsid w:val="00951E30"/>
    <w:rsid w:val="00951FA4"/>
    <w:rsid w:val="009525ED"/>
    <w:rsid w:val="00952BB5"/>
    <w:rsid w:val="00952CED"/>
    <w:rsid w:val="0095339A"/>
    <w:rsid w:val="009538DD"/>
    <w:rsid w:val="00955B54"/>
    <w:rsid w:val="00955DBE"/>
    <w:rsid w:val="00956571"/>
    <w:rsid w:val="009575B6"/>
    <w:rsid w:val="0095793C"/>
    <w:rsid w:val="0096106C"/>
    <w:rsid w:val="00961A92"/>
    <w:rsid w:val="00962127"/>
    <w:rsid w:val="009626AC"/>
    <w:rsid w:val="00962913"/>
    <w:rsid w:val="00962DCE"/>
    <w:rsid w:val="00963056"/>
    <w:rsid w:val="009642D2"/>
    <w:rsid w:val="0096451E"/>
    <w:rsid w:val="00965EDA"/>
    <w:rsid w:val="00966A32"/>
    <w:rsid w:val="00966E74"/>
    <w:rsid w:val="0097031A"/>
    <w:rsid w:val="00970B7F"/>
    <w:rsid w:val="00970D35"/>
    <w:rsid w:val="00970D5A"/>
    <w:rsid w:val="00971581"/>
    <w:rsid w:val="009718AE"/>
    <w:rsid w:val="009719FE"/>
    <w:rsid w:val="00972591"/>
    <w:rsid w:val="009725E9"/>
    <w:rsid w:val="009738C3"/>
    <w:rsid w:val="00975C75"/>
    <w:rsid w:val="00980A48"/>
    <w:rsid w:val="00980FE3"/>
    <w:rsid w:val="00981F02"/>
    <w:rsid w:val="009821EC"/>
    <w:rsid w:val="00982B88"/>
    <w:rsid w:val="00984178"/>
    <w:rsid w:val="009843BE"/>
    <w:rsid w:val="00985977"/>
    <w:rsid w:val="00985C26"/>
    <w:rsid w:val="009866A6"/>
    <w:rsid w:val="00987251"/>
    <w:rsid w:val="00990C68"/>
    <w:rsid w:val="00991583"/>
    <w:rsid w:val="00991EF5"/>
    <w:rsid w:val="00992211"/>
    <w:rsid w:val="00992C30"/>
    <w:rsid w:val="00992EA9"/>
    <w:rsid w:val="009930E3"/>
    <w:rsid w:val="009933F5"/>
    <w:rsid w:val="00993A2F"/>
    <w:rsid w:val="00993C3F"/>
    <w:rsid w:val="00993F18"/>
    <w:rsid w:val="00994032"/>
    <w:rsid w:val="00994FF3"/>
    <w:rsid w:val="0099593A"/>
    <w:rsid w:val="00995F20"/>
    <w:rsid w:val="009960A1"/>
    <w:rsid w:val="00996D2E"/>
    <w:rsid w:val="00996D35"/>
    <w:rsid w:val="00996F8B"/>
    <w:rsid w:val="009A131B"/>
    <w:rsid w:val="009A1A32"/>
    <w:rsid w:val="009A22FC"/>
    <w:rsid w:val="009A2BEF"/>
    <w:rsid w:val="009A2DB6"/>
    <w:rsid w:val="009A33CC"/>
    <w:rsid w:val="009A36D4"/>
    <w:rsid w:val="009A40E8"/>
    <w:rsid w:val="009A40F7"/>
    <w:rsid w:val="009A48DC"/>
    <w:rsid w:val="009A5C37"/>
    <w:rsid w:val="009A77E3"/>
    <w:rsid w:val="009B145F"/>
    <w:rsid w:val="009B19A8"/>
    <w:rsid w:val="009B34DF"/>
    <w:rsid w:val="009B3B4F"/>
    <w:rsid w:val="009B3F1A"/>
    <w:rsid w:val="009B463F"/>
    <w:rsid w:val="009B4919"/>
    <w:rsid w:val="009B4A0E"/>
    <w:rsid w:val="009B5429"/>
    <w:rsid w:val="009B590D"/>
    <w:rsid w:val="009B5C65"/>
    <w:rsid w:val="009B68DE"/>
    <w:rsid w:val="009B6911"/>
    <w:rsid w:val="009B7001"/>
    <w:rsid w:val="009B7092"/>
    <w:rsid w:val="009B7601"/>
    <w:rsid w:val="009C0992"/>
    <w:rsid w:val="009C1622"/>
    <w:rsid w:val="009C270B"/>
    <w:rsid w:val="009C2DBF"/>
    <w:rsid w:val="009C38F6"/>
    <w:rsid w:val="009C3B14"/>
    <w:rsid w:val="009C42DE"/>
    <w:rsid w:val="009C44BA"/>
    <w:rsid w:val="009C4E91"/>
    <w:rsid w:val="009C510E"/>
    <w:rsid w:val="009C7529"/>
    <w:rsid w:val="009D0A52"/>
    <w:rsid w:val="009D0DD9"/>
    <w:rsid w:val="009D27B6"/>
    <w:rsid w:val="009D2CAF"/>
    <w:rsid w:val="009D37DE"/>
    <w:rsid w:val="009D472A"/>
    <w:rsid w:val="009D492F"/>
    <w:rsid w:val="009D6421"/>
    <w:rsid w:val="009D6C87"/>
    <w:rsid w:val="009E061C"/>
    <w:rsid w:val="009E27B7"/>
    <w:rsid w:val="009E2DD3"/>
    <w:rsid w:val="009E3A78"/>
    <w:rsid w:val="009E4D73"/>
    <w:rsid w:val="009E557E"/>
    <w:rsid w:val="009E56E8"/>
    <w:rsid w:val="009E5F17"/>
    <w:rsid w:val="009E6A43"/>
    <w:rsid w:val="009E6F4F"/>
    <w:rsid w:val="009E762E"/>
    <w:rsid w:val="009F00AA"/>
    <w:rsid w:val="009F0441"/>
    <w:rsid w:val="009F0D48"/>
    <w:rsid w:val="009F18CD"/>
    <w:rsid w:val="009F19EE"/>
    <w:rsid w:val="009F3550"/>
    <w:rsid w:val="009F406D"/>
    <w:rsid w:val="009F5AA1"/>
    <w:rsid w:val="009F613D"/>
    <w:rsid w:val="00A00113"/>
    <w:rsid w:val="00A0050E"/>
    <w:rsid w:val="00A00FD8"/>
    <w:rsid w:val="00A020A7"/>
    <w:rsid w:val="00A026F0"/>
    <w:rsid w:val="00A0283D"/>
    <w:rsid w:val="00A02CA0"/>
    <w:rsid w:val="00A02EC4"/>
    <w:rsid w:val="00A03C13"/>
    <w:rsid w:val="00A03FB6"/>
    <w:rsid w:val="00A041D9"/>
    <w:rsid w:val="00A049F3"/>
    <w:rsid w:val="00A04B52"/>
    <w:rsid w:val="00A04FE5"/>
    <w:rsid w:val="00A05EF9"/>
    <w:rsid w:val="00A05F28"/>
    <w:rsid w:val="00A0637F"/>
    <w:rsid w:val="00A075AB"/>
    <w:rsid w:val="00A07BD8"/>
    <w:rsid w:val="00A104D8"/>
    <w:rsid w:val="00A11734"/>
    <w:rsid w:val="00A11CC8"/>
    <w:rsid w:val="00A11E84"/>
    <w:rsid w:val="00A1249E"/>
    <w:rsid w:val="00A12905"/>
    <w:rsid w:val="00A138CE"/>
    <w:rsid w:val="00A139C7"/>
    <w:rsid w:val="00A16105"/>
    <w:rsid w:val="00A16F93"/>
    <w:rsid w:val="00A177C1"/>
    <w:rsid w:val="00A204BF"/>
    <w:rsid w:val="00A2050F"/>
    <w:rsid w:val="00A20513"/>
    <w:rsid w:val="00A20D53"/>
    <w:rsid w:val="00A214F5"/>
    <w:rsid w:val="00A21EF9"/>
    <w:rsid w:val="00A22A4C"/>
    <w:rsid w:val="00A22A83"/>
    <w:rsid w:val="00A22B62"/>
    <w:rsid w:val="00A23136"/>
    <w:rsid w:val="00A23360"/>
    <w:rsid w:val="00A23616"/>
    <w:rsid w:val="00A23DA6"/>
    <w:rsid w:val="00A24346"/>
    <w:rsid w:val="00A244B5"/>
    <w:rsid w:val="00A24DF6"/>
    <w:rsid w:val="00A25C90"/>
    <w:rsid w:val="00A26876"/>
    <w:rsid w:val="00A2789C"/>
    <w:rsid w:val="00A27C64"/>
    <w:rsid w:val="00A27CB3"/>
    <w:rsid w:val="00A30061"/>
    <w:rsid w:val="00A30906"/>
    <w:rsid w:val="00A30CA8"/>
    <w:rsid w:val="00A322B4"/>
    <w:rsid w:val="00A32582"/>
    <w:rsid w:val="00A32635"/>
    <w:rsid w:val="00A32F4B"/>
    <w:rsid w:val="00A33D72"/>
    <w:rsid w:val="00A3609C"/>
    <w:rsid w:val="00A361C4"/>
    <w:rsid w:val="00A36480"/>
    <w:rsid w:val="00A36E03"/>
    <w:rsid w:val="00A375E2"/>
    <w:rsid w:val="00A418D9"/>
    <w:rsid w:val="00A41B89"/>
    <w:rsid w:val="00A41FAC"/>
    <w:rsid w:val="00A436EB"/>
    <w:rsid w:val="00A4422E"/>
    <w:rsid w:val="00A442B0"/>
    <w:rsid w:val="00A44929"/>
    <w:rsid w:val="00A44960"/>
    <w:rsid w:val="00A44BE6"/>
    <w:rsid w:val="00A453BB"/>
    <w:rsid w:val="00A455A9"/>
    <w:rsid w:val="00A4566E"/>
    <w:rsid w:val="00A4567A"/>
    <w:rsid w:val="00A4627C"/>
    <w:rsid w:val="00A473F4"/>
    <w:rsid w:val="00A51EE4"/>
    <w:rsid w:val="00A52264"/>
    <w:rsid w:val="00A52C3B"/>
    <w:rsid w:val="00A532FF"/>
    <w:rsid w:val="00A53B36"/>
    <w:rsid w:val="00A545B2"/>
    <w:rsid w:val="00A568D8"/>
    <w:rsid w:val="00A61F9F"/>
    <w:rsid w:val="00A620AC"/>
    <w:rsid w:val="00A62C22"/>
    <w:rsid w:val="00A6358D"/>
    <w:rsid w:val="00A63C69"/>
    <w:rsid w:val="00A64BC3"/>
    <w:rsid w:val="00A6556C"/>
    <w:rsid w:val="00A65C84"/>
    <w:rsid w:val="00A65D54"/>
    <w:rsid w:val="00A666B4"/>
    <w:rsid w:val="00A70104"/>
    <w:rsid w:val="00A710A1"/>
    <w:rsid w:val="00A724FA"/>
    <w:rsid w:val="00A732C9"/>
    <w:rsid w:val="00A73E95"/>
    <w:rsid w:val="00A7518D"/>
    <w:rsid w:val="00A752DF"/>
    <w:rsid w:val="00A76A16"/>
    <w:rsid w:val="00A76ACE"/>
    <w:rsid w:val="00A81057"/>
    <w:rsid w:val="00A8145D"/>
    <w:rsid w:val="00A81951"/>
    <w:rsid w:val="00A83BA1"/>
    <w:rsid w:val="00A83E6C"/>
    <w:rsid w:val="00A83EA9"/>
    <w:rsid w:val="00A8483D"/>
    <w:rsid w:val="00A85148"/>
    <w:rsid w:val="00A85590"/>
    <w:rsid w:val="00A85A5D"/>
    <w:rsid w:val="00A85EA5"/>
    <w:rsid w:val="00A865B1"/>
    <w:rsid w:val="00A8773D"/>
    <w:rsid w:val="00A87DE8"/>
    <w:rsid w:val="00A916DA"/>
    <w:rsid w:val="00A924CA"/>
    <w:rsid w:val="00A933F5"/>
    <w:rsid w:val="00A94855"/>
    <w:rsid w:val="00A959C5"/>
    <w:rsid w:val="00A966D5"/>
    <w:rsid w:val="00A97130"/>
    <w:rsid w:val="00A97132"/>
    <w:rsid w:val="00A976DB"/>
    <w:rsid w:val="00AA19BC"/>
    <w:rsid w:val="00AA19C0"/>
    <w:rsid w:val="00AA1A01"/>
    <w:rsid w:val="00AA1D0D"/>
    <w:rsid w:val="00AA33A6"/>
    <w:rsid w:val="00AA49D8"/>
    <w:rsid w:val="00AA4F8A"/>
    <w:rsid w:val="00AA5269"/>
    <w:rsid w:val="00AA68A9"/>
    <w:rsid w:val="00AA6CFB"/>
    <w:rsid w:val="00AB0448"/>
    <w:rsid w:val="00AB0FF4"/>
    <w:rsid w:val="00AB1E74"/>
    <w:rsid w:val="00AB2209"/>
    <w:rsid w:val="00AB260A"/>
    <w:rsid w:val="00AB2B62"/>
    <w:rsid w:val="00AB2F74"/>
    <w:rsid w:val="00AB470E"/>
    <w:rsid w:val="00AB4BEA"/>
    <w:rsid w:val="00AB55F6"/>
    <w:rsid w:val="00AB6EE1"/>
    <w:rsid w:val="00AB700A"/>
    <w:rsid w:val="00AB791D"/>
    <w:rsid w:val="00AB7990"/>
    <w:rsid w:val="00AB7EBD"/>
    <w:rsid w:val="00AC0A14"/>
    <w:rsid w:val="00AC1FE5"/>
    <w:rsid w:val="00AC235A"/>
    <w:rsid w:val="00AC3B31"/>
    <w:rsid w:val="00AC3C95"/>
    <w:rsid w:val="00AC3E00"/>
    <w:rsid w:val="00AC630F"/>
    <w:rsid w:val="00AC697F"/>
    <w:rsid w:val="00AC7789"/>
    <w:rsid w:val="00AD08F4"/>
    <w:rsid w:val="00AD1974"/>
    <w:rsid w:val="00AD1EC8"/>
    <w:rsid w:val="00AD2C5B"/>
    <w:rsid w:val="00AD302A"/>
    <w:rsid w:val="00AD47B7"/>
    <w:rsid w:val="00AD5FB2"/>
    <w:rsid w:val="00AD7917"/>
    <w:rsid w:val="00AD79A6"/>
    <w:rsid w:val="00AE07A3"/>
    <w:rsid w:val="00AE192C"/>
    <w:rsid w:val="00AE2E75"/>
    <w:rsid w:val="00AE2F80"/>
    <w:rsid w:val="00AE3EED"/>
    <w:rsid w:val="00AE4DD2"/>
    <w:rsid w:val="00AE5878"/>
    <w:rsid w:val="00AE5F18"/>
    <w:rsid w:val="00AE6212"/>
    <w:rsid w:val="00AE6A9A"/>
    <w:rsid w:val="00AE6CCE"/>
    <w:rsid w:val="00AF1F5A"/>
    <w:rsid w:val="00AF264A"/>
    <w:rsid w:val="00AF30B5"/>
    <w:rsid w:val="00AF48BC"/>
    <w:rsid w:val="00AF5498"/>
    <w:rsid w:val="00AF78DC"/>
    <w:rsid w:val="00AF79E0"/>
    <w:rsid w:val="00AF7B13"/>
    <w:rsid w:val="00B00CC3"/>
    <w:rsid w:val="00B01E9E"/>
    <w:rsid w:val="00B031CC"/>
    <w:rsid w:val="00B0407D"/>
    <w:rsid w:val="00B04AC3"/>
    <w:rsid w:val="00B054D0"/>
    <w:rsid w:val="00B063A0"/>
    <w:rsid w:val="00B06655"/>
    <w:rsid w:val="00B07703"/>
    <w:rsid w:val="00B1011A"/>
    <w:rsid w:val="00B1038A"/>
    <w:rsid w:val="00B103D2"/>
    <w:rsid w:val="00B1228D"/>
    <w:rsid w:val="00B123E0"/>
    <w:rsid w:val="00B14386"/>
    <w:rsid w:val="00B14B3E"/>
    <w:rsid w:val="00B15012"/>
    <w:rsid w:val="00B1563A"/>
    <w:rsid w:val="00B156CC"/>
    <w:rsid w:val="00B1600E"/>
    <w:rsid w:val="00B16867"/>
    <w:rsid w:val="00B1699E"/>
    <w:rsid w:val="00B1707A"/>
    <w:rsid w:val="00B171E4"/>
    <w:rsid w:val="00B2036A"/>
    <w:rsid w:val="00B217DB"/>
    <w:rsid w:val="00B21E69"/>
    <w:rsid w:val="00B21F99"/>
    <w:rsid w:val="00B223CF"/>
    <w:rsid w:val="00B229F1"/>
    <w:rsid w:val="00B23121"/>
    <w:rsid w:val="00B23206"/>
    <w:rsid w:val="00B24FD4"/>
    <w:rsid w:val="00B259EF"/>
    <w:rsid w:val="00B25C5C"/>
    <w:rsid w:val="00B25C8D"/>
    <w:rsid w:val="00B25E74"/>
    <w:rsid w:val="00B27379"/>
    <w:rsid w:val="00B27D76"/>
    <w:rsid w:val="00B30C90"/>
    <w:rsid w:val="00B31367"/>
    <w:rsid w:val="00B315EF"/>
    <w:rsid w:val="00B321CD"/>
    <w:rsid w:val="00B32935"/>
    <w:rsid w:val="00B339E8"/>
    <w:rsid w:val="00B33E54"/>
    <w:rsid w:val="00B3415A"/>
    <w:rsid w:val="00B35A7F"/>
    <w:rsid w:val="00B35C23"/>
    <w:rsid w:val="00B36339"/>
    <w:rsid w:val="00B36798"/>
    <w:rsid w:val="00B37A96"/>
    <w:rsid w:val="00B37DAB"/>
    <w:rsid w:val="00B401FB"/>
    <w:rsid w:val="00B404B1"/>
    <w:rsid w:val="00B4127E"/>
    <w:rsid w:val="00B41622"/>
    <w:rsid w:val="00B4243C"/>
    <w:rsid w:val="00B42993"/>
    <w:rsid w:val="00B4301E"/>
    <w:rsid w:val="00B440E8"/>
    <w:rsid w:val="00B443FD"/>
    <w:rsid w:val="00B4522F"/>
    <w:rsid w:val="00B4585D"/>
    <w:rsid w:val="00B459D7"/>
    <w:rsid w:val="00B472D2"/>
    <w:rsid w:val="00B4756A"/>
    <w:rsid w:val="00B51073"/>
    <w:rsid w:val="00B52001"/>
    <w:rsid w:val="00B52411"/>
    <w:rsid w:val="00B5336E"/>
    <w:rsid w:val="00B55248"/>
    <w:rsid w:val="00B55609"/>
    <w:rsid w:val="00B55F7B"/>
    <w:rsid w:val="00B56561"/>
    <w:rsid w:val="00B601B9"/>
    <w:rsid w:val="00B60C5E"/>
    <w:rsid w:val="00B618C4"/>
    <w:rsid w:val="00B622E1"/>
    <w:rsid w:val="00B63750"/>
    <w:rsid w:val="00B63963"/>
    <w:rsid w:val="00B63E69"/>
    <w:rsid w:val="00B64389"/>
    <w:rsid w:val="00B6603D"/>
    <w:rsid w:val="00B67953"/>
    <w:rsid w:val="00B70CF8"/>
    <w:rsid w:val="00B70F69"/>
    <w:rsid w:val="00B71515"/>
    <w:rsid w:val="00B71C7C"/>
    <w:rsid w:val="00B7437D"/>
    <w:rsid w:val="00B7554C"/>
    <w:rsid w:val="00B75680"/>
    <w:rsid w:val="00B758A0"/>
    <w:rsid w:val="00B75A75"/>
    <w:rsid w:val="00B76023"/>
    <w:rsid w:val="00B7643C"/>
    <w:rsid w:val="00B7697D"/>
    <w:rsid w:val="00B76E9B"/>
    <w:rsid w:val="00B7768E"/>
    <w:rsid w:val="00B800AF"/>
    <w:rsid w:val="00B80E6E"/>
    <w:rsid w:val="00B81D25"/>
    <w:rsid w:val="00B82E47"/>
    <w:rsid w:val="00B83C30"/>
    <w:rsid w:val="00B842E4"/>
    <w:rsid w:val="00B8469F"/>
    <w:rsid w:val="00B8484F"/>
    <w:rsid w:val="00B858E9"/>
    <w:rsid w:val="00B8633C"/>
    <w:rsid w:val="00B864A8"/>
    <w:rsid w:val="00B868A7"/>
    <w:rsid w:val="00B86FF0"/>
    <w:rsid w:val="00B878ED"/>
    <w:rsid w:val="00B905FB"/>
    <w:rsid w:val="00B90EAD"/>
    <w:rsid w:val="00B914A7"/>
    <w:rsid w:val="00B92362"/>
    <w:rsid w:val="00B923A2"/>
    <w:rsid w:val="00B939FB"/>
    <w:rsid w:val="00B94EEB"/>
    <w:rsid w:val="00B959B0"/>
    <w:rsid w:val="00B95DD7"/>
    <w:rsid w:val="00B96039"/>
    <w:rsid w:val="00B962DF"/>
    <w:rsid w:val="00B96E54"/>
    <w:rsid w:val="00B96FA7"/>
    <w:rsid w:val="00B97678"/>
    <w:rsid w:val="00BA0124"/>
    <w:rsid w:val="00BA1DA0"/>
    <w:rsid w:val="00BA2B5D"/>
    <w:rsid w:val="00BA31AB"/>
    <w:rsid w:val="00BA38CD"/>
    <w:rsid w:val="00BA3E8E"/>
    <w:rsid w:val="00BA412E"/>
    <w:rsid w:val="00BA52ED"/>
    <w:rsid w:val="00BA5422"/>
    <w:rsid w:val="00BA5534"/>
    <w:rsid w:val="00BA60CA"/>
    <w:rsid w:val="00BA61D3"/>
    <w:rsid w:val="00BA6A91"/>
    <w:rsid w:val="00BB0D4F"/>
    <w:rsid w:val="00BB0ED5"/>
    <w:rsid w:val="00BB0F63"/>
    <w:rsid w:val="00BB1B1C"/>
    <w:rsid w:val="00BB2459"/>
    <w:rsid w:val="00BB2FAD"/>
    <w:rsid w:val="00BB37A8"/>
    <w:rsid w:val="00BB42F7"/>
    <w:rsid w:val="00BB47AA"/>
    <w:rsid w:val="00BB47F5"/>
    <w:rsid w:val="00BB5267"/>
    <w:rsid w:val="00BB61CA"/>
    <w:rsid w:val="00BB6C90"/>
    <w:rsid w:val="00BB7F91"/>
    <w:rsid w:val="00BC0343"/>
    <w:rsid w:val="00BC0DE7"/>
    <w:rsid w:val="00BC0F4D"/>
    <w:rsid w:val="00BC1AF1"/>
    <w:rsid w:val="00BC2033"/>
    <w:rsid w:val="00BC2B9C"/>
    <w:rsid w:val="00BC2D72"/>
    <w:rsid w:val="00BC5542"/>
    <w:rsid w:val="00BC5D7F"/>
    <w:rsid w:val="00BC6776"/>
    <w:rsid w:val="00BC7F43"/>
    <w:rsid w:val="00BD33AA"/>
    <w:rsid w:val="00BD43ED"/>
    <w:rsid w:val="00BD4783"/>
    <w:rsid w:val="00BD60A6"/>
    <w:rsid w:val="00BD7B42"/>
    <w:rsid w:val="00BD7BFC"/>
    <w:rsid w:val="00BE0B85"/>
    <w:rsid w:val="00BE0B9E"/>
    <w:rsid w:val="00BE19D1"/>
    <w:rsid w:val="00BE1F1E"/>
    <w:rsid w:val="00BE2209"/>
    <w:rsid w:val="00BE390E"/>
    <w:rsid w:val="00BE42D9"/>
    <w:rsid w:val="00BE5684"/>
    <w:rsid w:val="00BE5998"/>
    <w:rsid w:val="00BE5B8D"/>
    <w:rsid w:val="00BE635A"/>
    <w:rsid w:val="00BE65E6"/>
    <w:rsid w:val="00BE6A21"/>
    <w:rsid w:val="00BF045F"/>
    <w:rsid w:val="00BF0B20"/>
    <w:rsid w:val="00BF1573"/>
    <w:rsid w:val="00BF1D59"/>
    <w:rsid w:val="00BF21CD"/>
    <w:rsid w:val="00BF2AAE"/>
    <w:rsid w:val="00BF2DC6"/>
    <w:rsid w:val="00BF3E8F"/>
    <w:rsid w:val="00BF4D82"/>
    <w:rsid w:val="00BF512B"/>
    <w:rsid w:val="00BF5D5D"/>
    <w:rsid w:val="00BF5F36"/>
    <w:rsid w:val="00BF68B7"/>
    <w:rsid w:val="00C006E1"/>
    <w:rsid w:val="00C00CD9"/>
    <w:rsid w:val="00C0280D"/>
    <w:rsid w:val="00C02FE0"/>
    <w:rsid w:val="00C037D7"/>
    <w:rsid w:val="00C04129"/>
    <w:rsid w:val="00C0494A"/>
    <w:rsid w:val="00C05223"/>
    <w:rsid w:val="00C05445"/>
    <w:rsid w:val="00C05545"/>
    <w:rsid w:val="00C076A4"/>
    <w:rsid w:val="00C07AE3"/>
    <w:rsid w:val="00C10E95"/>
    <w:rsid w:val="00C1126C"/>
    <w:rsid w:val="00C127EC"/>
    <w:rsid w:val="00C12E1C"/>
    <w:rsid w:val="00C13B0B"/>
    <w:rsid w:val="00C14FB7"/>
    <w:rsid w:val="00C169A6"/>
    <w:rsid w:val="00C16BAE"/>
    <w:rsid w:val="00C16E68"/>
    <w:rsid w:val="00C177D1"/>
    <w:rsid w:val="00C17B95"/>
    <w:rsid w:val="00C17D75"/>
    <w:rsid w:val="00C20823"/>
    <w:rsid w:val="00C20FE0"/>
    <w:rsid w:val="00C22494"/>
    <w:rsid w:val="00C230E7"/>
    <w:rsid w:val="00C2370C"/>
    <w:rsid w:val="00C252CE"/>
    <w:rsid w:val="00C25525"/>
    <w:rsid w:val="00C25F00"/>
    <w:rsid w:val="00C26BBD"/>
    <w:rsid w:val="00C30D18"/>
    <w:rsid w:val="00C32DA6"/>
    <w:rsid w:val="00C347B7"/>
    <w:rsid w:val="00C3497B"/>
    <w:rsid w:val="00C34FEB"/>
    <w:rsid w:val="00C35017"/>
    <w:rsid w:val="00C35905"/>
    <w:rsid w:val="00C35A0B"/>
    <w:rsid w:val="00C35C84"/>
    <w:rsid w:val="00C378C7"/>
    <w:rsid w:val="00C40207"/>
    <w:rsid w:val="00C40BDD"/>
    <w:rsid w:val="00C416C6"/>
    <w:rsid w:val="00C41A7A"/>
    <w:rsid w:val="00C432E9"/>
    <w:rsid w:val="00C45C02"/>
    <w:rsid w:val="00C4618C"/>
    <w:rsid w:val="00C46A7A"/>
    <w:rsid w:val="00C46A9B"/>
    <w:rsid w:val="00C47EE3"/>
    <w:rsid w:val="00C5032B"/>
    <w:rsid w:val="00C51A4A"/>
    <w:rsid w:val="00C52D99"/>
    <w:rsid w:val="00C52EC9"/>
    <w:rsid w:val="00C5321A"/>
    <w:rsid w:val="00C54452"/>
    <w:rsid w:val="00C545BF"/>
    <w:rsid w:val="00C54B67"/>
    <w:rsid w:val="00C54E81"/>
    <w:rsid w:val="00C565B1"/>
    <w:rsid w:val="00C56886"/>
    <w:rsid w:val="00C612B3"/>
    <w:rsid w:val="00C6171B"/>
    <w:rsid w:val="00C63443"/>
    <w:rsid w:val="00C63957"/>
    <w:rsid w:val="00C64255"/>
    <w:rsid w:val="00C64F06"/>
    <w:rsid w:val="00C651F5"/>
    <w:rsid w:val="00C6609A"/>
    <w:rsid w:val="00C66E5A"/>
    <w:rsid w:val="00C67821"/>
    <w:rsid w:val="00C67F17"/>
    <w:rsid w:val="00C70F71"/>
    <w:rsid w:val="00C716B5"/>
    <w:rsid w:val="00C73110"/>
    <w:rsid w:val="00C760F1"/>
    <w:rsid w:val="00C764B0"/>
    <w:rsid w:val="00C770B2"/>
    <w:rsid w:val="00C77365"/>
    <w:rsid w:val="00C77415"/>
    <w:rsid w:val="00C7741F"/>
    <w:rsid w:val="00C77563"/>
    <w:rsid w:val="00C81C3A"/>
    <w:rsid w:val="00C81E29"/>
    <w:rsid w:val="00C82A9F"/>
    <w:rsid w:val="00C83A2A"/>
    <w:rsid w:val="00C8442A"/>
    <w:rsid w:val="00C84DB1"/>
    <w:rsid w:val="00C86628"/>
    <w:rsid w:val="00C8775D"/>
    <w:rsid w:val="00C90A24"/>
    <w:rsid w:val="00C90A82"/>
    <w:rsid w:val="00C93773"/>
    <w:rsid w:val="00C94057"/>
    <w:rsid w:val="00C94D61"/>
    <w:rsid w:val="00C95D1A"/>
    <w:rsid w:val="00C95D97"/>
    <w:rsid w:val="00C95E71"/>
    <w:rsid w:val="00C960EA"/>
    <w:rsid w:val="00C9690E"/>
    <w:rsid w:val="00C97B58"/>
    <w:rsid w:val="00C97C99"/>
    <w:rsid w:val="00C97D15"/>
    <w:rsid w:val="00C97E21"/>
    <w:rsid w:val="00C97EDB"/>
    <w:rsid w:val="00CA12AA"/>
    <w:rsid w:val="00CA12E7"/>
    <w:rsid w:val="00CA1B25"/>
    <w:rsid w:val="00CA1C7A"/>
    <w:rsid w:val="00CA28C4"/>
    <w:rsid w:val="00CA37C1"/>
    <w:rsid w:val="00CA49F9"/>
    <w:rsid w:val="00CA56AF"/>
    <w:rsid w:val="00CA577D"/>
    <w:rsid w:val="00CA637B"/>
    <w:rsid w:val="00CA6B9F"/>
    <w:rsid w:val="00CA7503"/>
    <w:rsid w:val="00CA7986"/>
    <w:rsid w:val="00CA7D32"/>
    <w:rsid w:val="00CA7F9D"/>
    <w:rsid w:val="00CB1060"/>
    <w:rsid w:val="00CB1364"/>
    <w:rsid w:val="00CB3455"/>
    <w:rsid w:val="00CB3C61"/>
    <w:rsid w:val="00CB4AC9"/>
    <w:rsid w:val="00CB4F76"/>
    <w:rsid w:val="00CB6A98"/>
    <w:rsid w:val="00CB6E29"/>
    <w:rsid w:val="00CB74E9"/>
    <w:rsid w:val="00CC04E4"/>
    <w:rsid w:val="00CC0A56"/>
    <w:rsid w:val="00CC0E80"/>
    <w:rsid w:val="00CC0FAC"/>
    <w:rsid w:val="00CC12A5"/>
    <w:rsid w:val="00CC1DEF"/>
    <w:rsid w:val="00CC2CC6"/>
    <w:rsid w:val="00CC44C7"/>
    <w:rsid w:val="00CC46F3"/>
    <w:rsid w:val="00CC4F7F"/>
    <w:rsid w:val="00CC68A1"/>
    <w:rsid w:val="00CC73CA"/>
    <w:rsid w:val="00CD0141"/>
    <w:rsid w:val="00CD1083"/>
    <w:rsid w:val="00CD2B2E"/>
    <w:rsid w:val="00CD2F56"/>
    <w:rsid w:val="00CD3CE4"/>
    <w:rsid w:val="00CD479E"/>
    <w:rsid w:val="00CD4D3F"/>
    <w:rsid w:val="00CD5D53"/>
    <w:rsid w:val="00CD6267"/>
    <w:rsid w:val="00CD6E00"/>
    <w:rsid w:val="00CD7745"/>
    <w:rsid w:val="00CE0708"/>
    <w:rsid w:val="00CE087C"/>
    <w:rsid w:val="00CE0EB8"/>
    <w:rsid w:val="00CE3BDF"/>
    <w:rsid w:val="00CE3E2B"/>
    <w:rsid w:val="00CE4126"/>
    <w:rsid w:val="00CE56DB"/>
    <w:rsid w:val="00CE5FB2"/>
    <w:rsid w:val="00CE7EFD"/>
    <w:rsid w:val="00CF0147"/>
    <w:rsid w:val="00CF02FF"/>
    <w:rsid w:val="00CF12F6"/>
    <w:rsid w:val="00CF1E74"/>
    <w:rsid w:val="00CF1F35"/>
    <w:rsid w:val="00CF4455"/>
    <w:rsid w:val="00CF44DF"/>
    <w:rsid w:val="00CF5A37"/>
    <w:rsid w:val="00CF61D1"/>
    <w:rsid w:val="00CF6B7A"/>
    <w:rsid w:val="00D0060C"/>
    <w:rsid w:val="00D010FC"/>
    <w:rsid w:val="00D014CE"/>
    <w:rsid w:val="00D02C11"/>
    <w:rsid w:val="00D0419F"/>
    <w:rsid w:val="00D04D42"/>
    <w:rsid w:val="00D053EF"/>
    <w:rsid w:val="00D0597C"/>
    <w:rsid w:val="00D07151"/>
    <w:rsid w:val="00D072DA"/>
    <w:rsid w:val="00D10934"/>
    <w:rsid w:val="00D110E9"/>
    <w:rsid w:val="00D11C18"/>
    <w:rsid w:val="00D122A8"/>
    <w:rsid w:val="00D12819"/>
    <w:rsid w:val="00D12992"/>
    <w:rsid w:val="00D131DD"/>
    <w:rsid w:val="00D13CBA"/>
    <w:rsid w:val="00D13ED1"/>
    <w:rsid w:val="00D13F05"/>
    <w:rsid w:val="00D14940"/>
    <w:rsid w:val="00D16B43"/>
    <w:rsid w:val="00D17A8B"/>
    <w:rsid w:val="00D2055C"/>
    <w:rsid w:val="00D20897"/>
    <w:rsid w:val="00D211F5"/>
    <w:rsid w:val="00D2137C"/>
    <w:rsid w:val="00D21831"/>
    <w:rsid w:val="00D2187F"/>
    <w:rsid w:val="00D22EF5"/>
    <w:rsid w:val="00D23828"/>
    <w:rsid w:val="00D24B76"/>
    <w:rsid w:val="00D253D6"/>
    <w:rsid w:val="00D26027"/>
    <w:rsid w:val="00D261FD"/>
    <w:rsid w:val="00D26CC1"/>
    <w:rsid w:val="00D27085"/>
    <w:rsid w:val="00D27373"/>
    <w:rsid w:val="00D311F7"/>
    <w:rsid w:val="00D31338"/>
    <w:rsid w:val="00D31967"/>
    <w:rsid w:val="00D325D0"/>
    <w:rsid w:val="00D33296"/>
    <w:rsid w:val="00D35CEB"/>
    <w:rsid w:val="00D36DF4"/>
    <w:rsid w:val="00D409B9"/>
    <w:rsid w:val="00D41145"/>
    <w:rsid w:val="00D417CD"/>
    <w:rsid w:val="00D42A2E"/>
    <w:rsid w:val="00D42A59"/>
    <w:rsid w:val="00D4460C"/>
    <w:rsid w:val="00D45090"/>
    <w:rsid w:val="00D4570A"/>
    <w:rsid w:val="00D470DE"/>
    <w:rsid w:val="00D477C5"/>
    <w:rsid w:val="00D5094C"/>
    <w:rsid w:val="00D50B37"/>
    <w:rsid w:val="00D5119C"/>
    <w:rsid w:val="00D53190"/>
    <w:rsid w:val="00D53259"/>
    <w:rsid w:val="00D5412C"/>
    <w:rsid w:val="00D54FC3"/>
    <w:rsid w:val="00D55A77"/>
    <w:rsid w:val="00D60066"/>
    <w:rsid w:val="00D61D12"/>
    <w:rsid w:val="00D62698"/>
    <w:rsid w:val="00D627B6"/>
    <w:rsid w:val="00D633CD"/>
    <w:rsid w:val="00D64177"/>
    <w:rsid w:val="00D6520D"/>
    <w:rsid w:val="00D65457"/>
    <w:rsid w:val="00D6698E"/>
    <w:rsid w:val="00D67437"/>
    <w:rsid w:val="00D71A36"/>
    <w:rsid w:val="00D71F56"/>
    <w:rsid w:val="00D723BD"/>
    <w:rsid w:val="00D737D5"/>
    <w:rsid w:val="00D7579F"/>
    <w:rsid w:val="00D75DD7"/>
    <w:rsid w:val="00D761A5"/>
    <w:rsid w:val="00D761C5"/>
    <w:rsid w:val="00D76917"/>
    <w:rsid w:val="00D76D5F"/>
    <w:rsid w:val="00D774F3"/>
    <w:rsid w:val="00D775AD"/>
    <w:rsid w:val="00D814CA"/>
    <w:rsid w:val="00D81D72"/>
    <w:rsid w:val="00D81E3E"/>
    <w:rsid w:val="00D81ECC"/>
    <w:rsid w:val="00D82551"/>
    <w:rsid w:val="00D83008"/>
    <w:rsid w:val="00D831F0"/>
    <w:rsid w:val="00D834DB"/>
    <w:rsid w:val="00D83D1D"/>
    <w:rsid w:val="00D84B07"/>
    <w:rsid w:val="00D857B8"/>
    <w:rsid w:val="00D857F7"/>
    <w:rsid w:val="00D86ECC"/>
    <w:rsid w:val="00D915F2"/>
    <w:rsid w:val="00D91ECA"/>
    <w:rsid w:val="00D9456E"/>
    <w:rsid w:val="00D94B15"/>
    <w:rsid w:val="00D95D4B"/>
    <w:rsid w:val="00D97D65"/>
    <w:rsid w:val="00DA1BA5"/>
    <w:rsid w:val="00DA50A3"/>
    <w:rsid w:val="00DA6F62"/>
    <w:rsid w:val="00DA6F93"/>
    <w:rsid w:val="00DB0F58"/>
    <w:rsid w:val="00DB11FC"/>
    <w:rsid w:val="00DB13EE"/>
    <w:rsid w:val="00DB1FAC"/>
    <w:rsid w:val="00DB2D3C"/>
    <w:rsid w:val="00DB2DC1"/>
    <w:rsid w:val="00DB3C1E"/>
    <w:rsid w:val="00DB4B9C"/>
    <w:rsid w:val="00DB4BE9"/>
    <w:rsid w:val="00DB4FA5"/>
    <w:rsid w:val="00DB545B"/>
    <w:rsid w:val="00DB54FC"/>
    <w:rsid w:val="00DB5DE0"/>
    <w:rsid w:val="00DB64FE"/>
    <w:rsid w:val="00DB6594"/>
    <w:rsid w:val="00DB6765"/>
    <w:rsid w:val="00DB7286"/>
    <w:rsid w:val="00DB7786"/>
    <w:rsid w:val="00DB7CA6"/>
    <w:rsid w:val="00DC0FF6"/>
    <w:rsid w:val="00DC2429"/>
    <w:rsid w:val="00DC38C1"/>
    <w:rsid w:val="00DC4BF2"/>
    <w:rsid w:val="00DC673D"/>
    <w:rsid w:val="00DC6A20"/>
    <w:rsid w:val="00DC6BC0"/>
    <w:rsid w:val="00DD01E4"/>
    <w:rsid w:val="00DD052E"/>
    <w:rsid w:val="00DD11D9"/>
    <w:rsid w:val="00DD1D27"/>
    <w:rsid w:val="00DD338B"/>
    <w:rsid w:val="00DD350A"/>
    <w:rsid w:val="00DD3D42"/>
    <w:rsid w:val="00DD4FD0"/>
    <w:rsid w:val="00DD5D19"/>
    <w:rsid w:val="00DE0636"/>
    <w:rsid w:val="00DE0774"/>
    <w:rsid w:val="00DE0A18"/>
    <w:rsid w:val="00DE1F84"/>
    <w:rsid w:val="00DE238D"/>
    <w:rsid w:val="00DE3061"/>
    <w:rsid w:val="00DE394D"/>
    <w:rsid w:val="00DE3D5E"/>
    <w:rsid w:val="00DE4939"/>
    <w:rsid w:val="00DE5B3C"/>
    <w:rsid w:val="00DE5ECA"/>
    <w:rsid w:val="00DE6955"/>
    <w:rsid w:val="00DE6B65"/>
    <w:rsid w:val="00DE6F59"/>
    <w:rsid w:val="00DF0209"/>
    <w:rsid w:val="00DF0F1F"/>
    <w:rsid w:val="00DF19CB"/>
    <w:rsid w:val="00DF1AA3"/>
    <w:rsid w:val="00DF1EC8"/>
    <w:rsid w:val="00DF2F17"/>
    <w:rsid w:val="00DF377F"/>
    <w:rsid w:val="00DF3942"/>
    <w:rsid w:val="00DF5538"/>
    <w:rsid w:val="00DF5982"/>
    <w:rsid w:val="00DF6992"/>
    <w:rsid w:val="00DF7158"/>
    <w:rsid w:val="00DF74B1"/>
    <w:rsid w:val="00E00F81"/>
    <w:rsid w:val="00E02158"/>
    <w:rsid w:val="00E023DE"/>
    <w:rsid w:val="00E03F96"/>
    <w:rsid w:val="00E05F8E"/>
    <w:rsid w:val="00E0605F"/>
    <w:rsid w:val="00E075FB"/>
    <w:rsid w:val="00E07707"/>
    <w:rsid w:val="00E07947"/>
    <w:rsid w:val="00E111E6"/>
    <w:rsid w:val="00E120CA"/>
    <w:rsid w:val="00E13093"/>
    <w:rsid w:val="00E14EAB"/>
    <w:rsid w:val="00E1629E"/>
    <w:rsid w:val="00E167E6"/>
    <w:rsid w:val="00E17FAC"/>
    <w:rsid w:val="00E17FFE"/>
    <w:rsid w:val="00E20325"/>
    <w:rsid w:val="00E20510"/>
    <w:rsid w:val="00E20975"/>
    <w:rsid w:val="00E20EC2"/>
    <w:rsid w:val="00E21554"/>
    <w:rsid w:val="00E220B2"/>
    <w:rsid w:val="00E257D4"/>
    <w:rsid w:val="00E26399"/>
    <w:rsid w:val="00E264C6"/>
    <w:rsid w:val="00E27278"/>
    <w:rsid w:val="00E30B4A"/>
    <w:rsid w:val="00E316C5"/>
    <w:rsid w:val="00E32508"/>
    <w:rsid w:val="00E334B1"/>
    <w:rsid w:val="00E33527"/>
    <w:rsid w:val="00E33789"/>
    <w:rsid w:val="00E33822"/>
    <w:rsid w:val="00E3449C"/>
    <w:rsid w:val="00E347EB"/>
    <w:rsid w:val="00E35D5D"/>
    <w:rsid w:val="00E35DB3"/>
    <w:rsid w:val="00E364E0"/>
    <w:rsid w:val="00E36DD5"/>
    <w:rsid w:val="00E37BDB"/>
    <w:rsid w:val="00E37D7E"/>
    <w:rsid w:val="00E40665"/>
    <w:rsid w:val="00E406B3"/>
    <w:rsid w:val="00E409B3"/>
    <w:rsid w:val="00E40AED"/>
    <w:rsid w:val="00E40D2D"/>
    <w:rsid w:val="00E41075"/>
    <w:rsid w:val="00E4148F"/>
    <w:rsid w:val="00E41B19"/>
    <w:rsid w:val="00E41BE3"/>
    <w:rsid w:val="00E41BFC"/>
    <w:rsid w:val="00E421A3"/>
    <w:rsid w:val="00E4236B"/>
    <w:rsid w:val="00E42C84"/>
    <w:rsid w:val="00E44166"/>
    <w:rsid w:val="00E44841"/>
    <w:rsid w:val="00E44A0B"/>
    <w:rsid w:val="00E50AD6"/>
    <w:rsid w:val="00E51647"/>
    <w:rsid w:val="00E528F0"/>
    <w:rsid w:val="00E52903"/>
    <w:rsid w:val="00E52E3C"/>
    <w:rsid w:val="00E534B9"/>
    <w:rsid w:val="00E550DC"/>
    <w:rsid w:val="00E55124"/>
    <w:rsid w:val="00E55425"/>
    <w:rsid w:val="00E55D48"/>
    <w:rsid w:val="00E60BDA"/>
    <w:rsid w:val="00E620CA"/>
    <w:rsid w:val="00E629F4"/>
    <w:rsid w:val="00E64212"/>
    <w:rsid w:val="00E651F8"/>
    <w:rsid w:val="00E7002D"/>
    <w:rsid w:val="00E70574"/>
    <w:rsid w:val="00E7083F"/>
    <w:rsid w:val="00E71413"/>
    <w:rsid w:val="00E71445"/>
    <w:rsid w:val="00E72887"/>
    <w:rsid w:val="00E72BD8"/>
    <w:rsid w:val="00E745B3"/>
    <w:rsid w:val="00E74632"/>
    <w:rsid w:val="00E75167"/>
    <w:rsid w:val="00E76170"/>
    <w:rsid w:val="00E7632C"/>
    <w:rsid w:val="00E76668"/>
    <w:rsid w:val="00E77410"/>
    <w:rsid w:val="00E7758A"/>
    <w:rsid w:val="00E81750"/>
    <w:rsid w:val="00E81A5B"/>
    <w:rsid w:val="00E84419"/>
    <w:rsid w:val="00E84763"/>
    <w:rsid w:val="00E84B1F"/>
    <w:rsid w:val="00E84E42"/>
    <w:rsid w:val="00E865F8"/>
    <w:rsid w:val="00E87CD3"/>
    <w:rsid w:val="00E9334F"/>
    <w:rsid w:val="00E944CA"/>
    <w:rsid w:val="00E94C29"/>
    <w:rsid w:val="00E94D27"/>
    <w:rsid w:val="00E96C14"/>
    <w:rsid w:val="00E9708F"/>
    <w:rsid w:val="00E97282"/>
    <w:rsid w:val="00E97A68"/>
    <w:rsid w:val="00EA0BEA"/>
    <w:rsid w:val="00EA1F60"/>
    <w:rsid w:val="00EA250D"/>
    <w:rsid w:val="00EA2BFE"/>
    <w:rsid w:val="00EA3A0A"/>
    <w:rsid w:val="00EA3D8A"/>
    <w:rsid w:val="00EA3F59"/>
    <w:rsid w:val="00EA4E4A"/>
    <w:rsid w:val="00EA5453"/>
    <w:rsid w:val="00EA5BAF"/>
    <w:rsid w:val="00EB001C"/>
    <w:rsid w:val="00EB0ED8"/>
    <w:rsid w:val="00EB14BC"/>
    <w:rsid w:val="00EB1AC0"/>
    <w:rsid w:val="00EB1F06"/>
    <w:rsid w:val="00EB2D42"/>
    <w:rsid w:val="00EB3499"/>
    <w:rsid w:val="00EB3735"/>
    <w:rsid w:val="00EB4B9D"/>
    <w:rsid w:val="00EB572E"/>
    <w:rsid w:val="00EB5832"/>
    <w:rsid w:val="00EB6136"/>
    <w:rsid w:val="00EB65F5"/>
    <w:rsid w:val="00EB69CE"/>
    <w:rsid w:val="00EB6C64"/>
    <w:rsid w:val="00EB6C6E"/>
    <w:rsid w:val="00EB7323"/>
    <w:rsid w:val="00EB7511"/>
    <w:rsid w:val="00EB7841"/>
    <w:rsid w:val="00EB7DEF"/>
    <w:rsid w:val="00EC0926"/>
    <w:rsid w:val="00EC0A97"/>
    <w:rsid w:val="00EC10E1"/>
    <w:rsid w:val="00EC12B5"/>
    <w:rsid w:val="00EC135E"/>
    <w:rsid w:val="00EC1F05"/>
    <w:rsid w:val="00EC43BF"/>
    <w:rsid w:val="00EC47F4"/>
    <w:rsid w:val="00EC5687"/>
    <w:rsid w:val="00EC5F6F"/>
    <w:rsid w:val="00EC659E"/>
    <w:rsid w:val="00EC7C56"/>
    <w:rsid w:val="00ED0121"/>
    <w:rsid w:val="00ED020B"/>
    <w:rsid w:val="00ED024F"/>
    <w:rsid w:val="00ED081B"/>
    <w:rsid w:val="00ED0A62"/>
    <w:rsid w:val="00ED2C89"/>
    <w:rsid w:val="00ED33D7"/>
    <w:rsid w:val="00ED3966"/>
    <w:rsid w:val="00ED4AF0"/>
    <w:rsid w:val="00ED501B"/>
    <w:rsid w:val="00ED5965"/>
    <w:rsid w:val="00ED5B41"/>
    <w:rsid w:val="00ED62F3"/>
    <w:rsid w:val="00ED710D"/>
    <w:rsid w:val="00ED7130"/>
    <w:rsid w:val="00ED7290"/>
    <w:rsid w:val="00ED738A"/>
    <w:rsid w:val="00ED76F5"/>
    <w:rsid w:val="00ED7924"/>
    <w:rsid w:val="00ED7EA4"/>
    <w:rsid w:val="00EE12C2"/>
    <w:rsid w:val="00EE275F"/>
    <w:rsid w:val="00EE2C1D"/>
    <w:rsid w:val="00EE2C99"/>
    <w:rsid w:val="00EE2D77"/>
    <w:rsid w:val="00EE33C7"/>
    <w:rsid w:val="00EE36F5"/>
    <w:rsid w:val="00EE3893"/>
    <w:rsid w:val="00EE41D5"/>
    <w:rsid w:val="00EE49FD"/>
    <w:rsid w:val="00EE4E96"/>
    <w:rsid w:val="00EE587C"/>
    <w:rsid w:val="00EE5BDB"/>
    <w:rsid w:val="00EE61F0"/>
    <w:rsid w:val="00EE6370"/>
    <w:rsid w:val="00EE6EB7"/>
    <w:rsid w:val="00EE7405"/>
    <w:rsid w:val="00EE781F"/>
    <w:rsid w:val="00EE7B71"/>
    <w:rsid w:val="00EF17D5"/>
    <w:rsid w:val="00EF1B3E"/>
    <w:rsid w:val="00EF2474"/>
    <w:rsid w:val="00EF2621"/>
    <w:rsid w:val="00EF346F"/>
    <w:rsid w:val="00EF387A"/>
    <w:rsid w:val="00EF6CE1"/>
    <w:rsid w:val="00EF7004"/>
    <w:rsid w:val="00F0004E"/>
    <w:rsid w:val="00F0056B"/>
    <w:rsid w:val="00F00CA4"/>
    <w:rsid w:val="00F011C4"/>
    <w:rsid w:val="00F01273"/>
    <w:rsid w:val="00F01A89"/>
    <w:rsid w:val="00F0211C"/>
    <w:rsid w:val="00F02197"/>
    <w:rsid w:val="00F0239C"/>
    <w:rsid w:val="00F02979"/>
    <w:rsid w:val="00F03188"/>
    <w:rsid w:val="00F041AD"/>
    <w:rsid w:val="00F04B30"/>
    <w:rsid w:val="00F04CBB"/>
    <w:rsid w:val="00F04D94"/>
    <w:rsid w:val="00F05592"/>
    <w:rsid w:val="00F05625"/>
    <w:rsid w:val="00F06743"/>
    <w:rsid w:val="00F079D5"/>
    <w:rsid w:val="00F07FB8"/>
    <w:rsid w:val="00F1190A"/>
    <w:rsid w:val="00F12E44"/>
    <w:rsid w:val="00F1414B"/>
    <w:rsid w:val="00F142C8"/>
    <w:rsid w:val="00F14BAB"/>
    <w:rsid w:val="00F14C6F"/>
    <w:rsid w:val="00F15AEC"/>
    <w:rsid w:val="00F15B27"/>
    <w:rsid w:val="00F166EC"/>
    <w:rsid w:val="00F1698C"/>
    <w:rsid w:val="00F177AC"/>
    <w:rsid w:val="00F216E7"/>
    <w:rsid w:val="00F22B54"/>
    <w:rsid w:val="00F22F9F"/>
    <w:rsid w:val="00F23C8D"/>
    <w:rsid w:val="00F240A0"/>
    <w:rsid w:val="00F251B2"/>
    <w:rsid w:val="00F30DA1"/>
    <w:rsid w:val="00F31813"/>
    <w:rsid w:val="00F3357D"/>
    <w:rsid w:val="00F335C3"/>
    <w:rsid w:val="00F35226"/>
    <w:rsid w:val="00F35240"/>
    <w:rsid w:val="00F36418"/>
    <w:rsid w:val="00F36B8E"/>
    <w:rsid w:val="00F36CCE"/>
    <w:rsid w:val="00F37E40"/>
    <w:rsid w:val="00F4003C"/>
    <w:rsid w:val="00F41F5F"/>
    <w:rsid w:val="00F42223"/>
    <w:rsid w:val="00F422EA"/>
    <w:rsid w:val="00F42D84"/>
    <w:rsid w:val="00F42D86"/>
    <w:rsid w:val="00F4315F"/>
    <w:rsid w:val="00F43312"/>
    <w:rsid w:val="00F442C8"/>
    <w:rsid w:val="00F44791"/>
    <w:rsid w:val="00F4591B"/>
    <w:rsid w:val="00F45EF2"/>
    <w:rsid w:val="00F46081"/>
    <w:rsid w:val="00F46270"/>
    <w:rsid w:val="00F4629E"/>
    <w:rsid w:val="00F47E44"/>
    <w:rsid w:val="00F47EFA"/>
    <w:rsid w:val="00F50A4E"/>
    <w:rsid w:val="00F5149A"/>
    <w:rsid w:val="00F531D4"/>
    <w:rsid w:val="00F53E29"/>
    <w:rsid w:val="00F54164"/>
    <w:rsid w:val="00F542FE"/>
    <w:rsid w:val="00F546DB"/>
    <w:rsid w:val="00F54851"/>
    <w:rsid w:val="00F55120"/>
    <w:rsid w:val="00F556F6"/>
    <w:rsid w:val="00F5752A"/>
    <w:rsid w:val="00F57591"/>
    <w:rsid w:val="00F57694"/>
    <w:rsid w:val="00F577A5"/>
    <w:rsid w:val="00F6047F"/>
    <w:rsid w:val="00F60C36"/>
    <w:rsid w:val="00F6160B"/>
    <w:rsid w:val="00F6294D"/>
    <w:rsid w:val="00F62AA1"/>
    <w:rsid w:val="00F64188"/>
    <w:rsid w:val="00F645FB"/>
    <w:rsid w:val="00F65EE7"/>
    <w:rsid w:val="00F700B2"/>
    <w:rsid w:val="00F700B7"/>
    <w:rsid w:val="00F700C8"/>
    <w:rsid w:val="00F7077F"/>
    <w:rsid w:val="00F710E1"/>
    <w:rsid w:val="00F71517"/>
    <w:rsid w:val="00F736E8"/>
    <w:rsid w:val="00F75619"/>
    <w:rsid w:val="00F75847"/>
    <w:rsid w:val="00F7654F"/>
    <w:rsid w:val="00F76773"/>
    <w:rsid w:val="00F80A03"/>
    <w:rsid w:val="00F80A30"/>
    <w:rsid w:val="00F81871"/>
    <w:rsid w:val="00F81AF8"/>
    <w:rsid w:val="00F81BD4"/>
    <w:rsid w:val="00F82F65"/>
    <w:rsid w:val="00F836B4"/>
    <w:rsid w:val="00F8441E"/>
    <w:rsid w:val="00F86102"/>
    <w:rsid w:val="00F8647A"/>
    <w:rsid w:val="00F87CF7"/>
    <w:rsid w:val="00F9099C"/>
    <w:rsid w:val="00F91DAE"/>
    <w:rsid w:val="00F92547"/>
    <w:rsid w:val="00F9435D"/>
    <w:rsid w:val="00F94BF1"/>
    <w:rsid w:val="00F94D31"/>
    <w:rsid w:val="00F95369"/>
    <w:rsid w:val="00F9593C"/>
    <w:rsid w:val="00F95FC6"/>
    <w:rsid w:val="00F96677"/>
    <w:rsid w:val="00F96AA8"/>
    <w:rsid w:val="00F96BE1"/>
    <w:rsid w:val="00F9702D"/>
    <w:rsid w:val="00FA0973"/>
    <w:rsid w:val="00FA14A6"/>
    <w:rsid w:val="00FA3DAA"/>
    <w:rsid w:val="00FA3E66"/>
    <w:rsid w:val="00FA421F"/>
    <w:rsid w:val="00FA4725"/>
    <w:rsid w:val="00FA4740"/>
    <w:rsid w:val="00FA55E2"/>
    <w:rsid w:val="00FA56D1"/>
    <w:rsid w:val="00FA576A"/>
    <w:rsid w:val="00FA6A9D"/>
    <w:rsid w:val="00FB0014"/>
    <w:rsid w:val="00FB0260"/>
    <w:rsid w:val="00FB15CB"/>
    <w:rsid w:val="00FB16AC"/>
    <w:rsid w:val="00FB38AD"/>
    <w:rsid w:val="00FB3932"/>
    <w:rsid w:val="00FB3D89"/>
    <w:rsid w:val="00FB47D7"/>
    <w:rsid w:val="00FB52B1"/>
    <w:rsid w:val="00FB62C1"/>
    <w:rsid w:val="00FB650A"/>
    <w:rsid w:val="00FB65EA"/>
    <w:rsid w:val="00FB6753"/>
    <w:rsid w:val="00FB685A"/>
    <w:rsid w:val="00FB6A8A"/>
    <w:rsid w:val="00FB713B"/>
    <w:rsid w:val="00FB7277"/>
    <w:rsid w:val="00FB7B96"/>
    <w:rsid w:val="00FC0721"/>
    <w:rsid w:val="00FC0950"/>
    <w:rsid w:val="00FC1FDE"/>
    <w:rsid w:val="00FC2FD0"/>
    <w:rsid w:val="00FC38BC"/>
    <w:rsid w:val="00FC39F0"/>
    <w:rsid w:val="00FC48C9"/>
    <w:rsid w:val="00FC490F"/>
    <w:rsid w:val="00FC60F2"/>
    <w:rsid w:val="00FC65EA"/>
    <w:rsid w:val="00FC7BDB"/>
    <w:rsid w:val="00FC7BEF"/>
    <w:rsid w:val="00FD0AB5"/>
    <w:rsid w:val="00FD1068"/>
    <w:rsid w:val="00FD1D6B"/>
    <w:rsid w:val="00FD1F9E"/>
    <w:rsid w:val="00FD2257"/>
    <w:rsid w:val="00FD394B"/>
    <w:rsid w:val="00FD4031"/>
    <w:rsid w:val="00FD4E58"/>
    <w:rsid w:val="00FD5592"/>
    <w:rsid w:val="00FD5B08"/>
    <w:rsid w:val="00FD5C43"/>
    <w:rsid w:val="00FD67FE"/>
    <w:rsid w:val="00FD6BFF"/>
    <w:rsid w:val="00FD7B3C"/>
    <w:rsid w:val="00FD7EB5"/>
    <w:rsid w:val="00FE12F3"/>
    <w:rsid w:val="00FE15F4"/>
    <w:rsid w:val="00FE1D28"/>
    <w:rsid w:val="00FE5D2D"/>
    <w:rsid w:val="00FE5E70"/>
    <w:rsid w:val="00FE5F4D"/>
    <w:rsid w:val="00FE606F"/>
    <w:rsid w:val="00FE7F72"/>
    <w:rsid w:val="00FF0106"/>
    <w:rsid w:val="00FF0CFA"/>
    <w:rsid w:val="00FF2D5A"/>
    <w:rsid w:val="00FF3786"/>
    <w:rsid w:val="00FF4E6E"/>
    <w:rsid w:val="00FF546E"/>
    <w:rsid w:val="00FF7198"/>
    <w:rsid w:val="00FF7CE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023267AF"/>
  <w15:docId w15:val="{1C4EAE41-2825-48B3-94F9-5EC5A8DA082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uiPriority="9" w:qFormat="1"/>
    <w:lsdException w:name="heading 2" w:semiHidden="1" w:uiPriority="9" w:unhideWhenUsed="1" w:qFormat="1"/>
    <w:lsdException w:name="heading 3" w:semiHidden="1" w:uiPriority="9"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macro" w:semiHidden="1" w:unhideWhenUsed="1"/>
    <w:lsdException w:name="toa heading"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F71BB"/>
    <w:rPr>
      <w:rFonts w:ascii="Verdana" w:hAnsi="Verdana"/>
      <w:szCs w:val="24"/>
    </w:rPr>
  </w:style>
  <w:style w:type="paragraph" w:styleId="Heading1">
    <w:name w:val="heading 1"/>
    <w:basedOn w:val="Normal"/>
    <w:next w:val="BodyText"/>
    <w:link w:val="Heading1Char"/>
    <w:uiPriority w:val="9"/>
    <w:qFormat/>
    <w:rsid w:val="000D3A04"/>
    <w:pPr>
      <w:keepNext/>
      <w:numPr>
        <w:numId w:val="1"/>
      </w:numPr>
      <w:spacing w:before="240" w:after="60"/>
      <w:outlineLvl w:val="0"/>
    </w:pPr>
    <w:rPr>
      <w:rFonts w:ascii="Arial" w:hAnsi="Arial" w:cs="Arial"/>
      <w:b/>
      <w:bCs/>
      <w:color w:val="000080"/>
      <w:kern w:val="32"/>
      <w:sz w:val="40"/>
      <w:szCs w:val="40"/>
    </w:rPr>
  </w:style>
  <w:style w:type="paragraph" w:styleId="Heading2">
    <w:name w:val="heading 2"/>
    <w:basedOn w:val="Normal"/>
    <w:next w:val="BodyText"/>
    <w:link w:val="Heading2Char"/>
    <w:uiPriority w:val="9"/>
    <w:qFormat/>
    <w:rsid w:val="00FA4740"/>
    <w:pPr>
      <w:keepNext/>
      <w:numPr>
        <w:ilvl w:val="1"/>
        <w:numId w:val="1"/>
      </w:numPr>
      <w:spacing w:before="240" w:after="60"/>
      <w:outlineLvl w:val="1"/>
    </w:pPr>
    <w:rPr>
      <w:rFonts w:ascii="Arial" w:hAnsi="Arial" w:cs="Arial"/>
      <w:b/>
      <w:bCs/>
      <w:i/>
      <w:iCs/>
      <w:sz w:val="28"/>
      <w:szCs w:val="28"/>
    </w:rPr>
  </w:style>
  <w:style w:type="paragraph" w:styleId="Heading3">
    <w:name w:val="heading 3"/>
    <w:basedOn w:val="Normal"/>
    <w:next w:val="BodyText"/>
    <w:link w:val="Heading3Char"/>
    <w:uiPriority w:val="9"/>
    <w:qFormat/>
    <w:rsid w:val="006F0242"/>
    <w:pPr>
      <w:keepNext/>
      <w:numPr>
        <w:ilvl w:val="2"/>
        <w:numId w:val="1"/>
      </w:numPr>
      <w:spacing w:before="240" w:after="60"/>
      <w:outlineLvl w:val="2"/>
    </w:pPr>
    <w:rPr>
      <w:rFonts w:ascii="Arial" w:hAnsi="Arial" w:cs="Arial"/>
      <w:b/>
      <w:bCs/>
      <w:i/>
      <w:szCs w:val="26"/>
      <w:lang w:val="en-GB"/>
    </w:rPr>
  </w:style>
  <w:style w:type="paragraph" w:styleId="Heading4">
    <w:name w:val="heading 4"/>
    <w:basedOn w:val="Normal"/>
    <w:next w:val="BodyText"/>
    <w:link w:val="Heading4Char"/>
    <w:qFormat/>
    <w:rsid w:val="00866FF4"/>
    <w:pPr>
      <w:keepNext/>
      <w:numPr>
        <w:ilvl w:val="3"/>
        <w:numId w:val="1"/>
      </w:numPr>
      <w:spacing w:before="240" w:after="60"/>
      <w:outlineLvl w:val="3"/>
    </w:pPr>
    <w:rPr>
      <w:rFonts w:ascii="Arial" w:hAnsi="Arial"/>
      <w:b/>
      <w:bCs/>
      <w:sz w:val="24"/>
      <w:szCs w:val="28"/>
    </w:rPr>
  </w:style>
  <w:style w:type="paragraph" w:styleId="Heading5">
    <w:name w:val="heading 5"/>
    <w:basedOn w:val="Normal"/>
    <w:next w:val="Normal"/>
    <w:link w:val="Heading5Char"/>
    <w:qFormat/>
    <w:rsid w:val="00FA4740"/>
    <w:pPr>
      <w:numPr>
        <w:ilvl w:val="4"/>
        <w:numId w:val="1"/>
      </w:numPr>
      <w:spacing w:before="240" w:after="60"/>
      <w:outlineLvl w:val="4"/>
    </w:pPr>
    <w:rPr>
      <w:b/>
      <w:bCs/>
      <w:i/>
      <w:iCs/>
      <w:sz w:val="26"/>
      <w:szCs w:val="26"/>
    </w:rPr>
  </w:style>
  <w:style w:type="paragraph" w:styleId="Heading6">
    <w:name w:val="heading 6"/>
    <w:basedOn w:val="Normal"/>
    <w:next w:val="Normal"/>
    <w:link w:val="Heading6Char"/>
    <w:qFormat/>
    <w:rsid w:val="00FA4740"/>
    <w:pPr>
      <w:numPr>
        <w:ilvl w:val="5"/>
        <w:numId w:val="1"/>
      </w:numPr>
      <w:spacing w:before="240" w:after="60"/>
      <w:outlineLvl w:val="5"/>
    </w:pPr>
    <w:rPr>
      <w:rFonts w:ascii="Times New Roman" w:hAnsi="Times New Roman"/>
      <w:b/>
      <w:bCs/>
      <w:sz w:val="22"/>
      <w:szCs w:val="22"/>
    </w:rPr>
  </w:style>
  <w:style w:type="paragraph" w:styleId="Heading7">
    <w:name w:val="heading 7"/>
    <w:basedOn w:val="Normal"/>
    <w:next w:val="Normal"/>
    <w:link w:val="Heading7Char"/>
    <w:qFormat/>
    <w:rsid w:val="00FB7B96"/>
    <w:pPr>
      <w:tabs>
        <w:tab w:val="num" w:pos="1296"/>
      </w:tabs>
      <w:spacing w:before="240" w:after="60"/>
      <w:ind w:left="1296" w:hanging="1296"/>
      <w:outlineLvl w:val="6"/>
    </w:pPr>
    <w:rPr>
      <w:rFonts w:ascii="Arial" w:hAnsi="Arial"/>
      <w:sz w:val="24"/>
      <w:szCs w:val="20"/>
    </w:rPr>
  </w:style>
  <w:style w:type="paragraph" w:styleId="Heading8">
    <w:name w:val="heading 8"/>
    <w:basedOn w:val="Normal"/>
    <w:next w:val="Normal"/>
    <w:link w:val="Heading8Char"/>
    <w:qFormat/>
    <w:rsid w:val="00FB7B96"/>
    <w:pPr>
      <w:tabs>
        <w:tab w:val="num" w:pos="1440"/>
      </w:tabs>
      <w:spacing w:before="240" w:after="60"/>
      <w:ind w:left="1440" w:hanging="1440"/>
      <w:outlineLvl w:val="7"/>
    </w:pPr>
    <w:rPr>
      <w:rFonts w:ascii="Arial" w:hAnsi="Arial"/>
      <w:i/>
      <w:sz w:val="24"/>
      <w:szCs w:val="20"/>
    </w:rPr>
  </w:style>
  <w:style w:type="paragraph" w:styleId="Heading9">
    <w:name w:val="heading 9"/>
    <w:basedOn w:val="Normal"/>
    <w:next w:val="Normal"/>
    <w:link w:val="Heading9Char"/>
    <w:qFormat/>
    <w:rsid w:val="00FB7B96"/>
    <w:pPr>
      <w:tabs>
        <w:tab w:val="num" w:pos="1584"/>
      </w:tabs>
      <w:spacing w:before="240" w:after="60"/>
      <w:ind w:left="1584" w:hanging="1584"/>
      <w:outlineLvl w:val="8"/>
    </w:pPr>
    <w:rPr>
      <w:rFonts w:ascii="Arial" w:hAnsi="Arial"/>
      <w:i/>
      <w:sz w:val="18"/>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aliases w:val="Body Text Char1,Body Text Char Char,Body Text Char1 Char Char,Body Text Char,Body Text Char1 Char,Body Text Char3 Char,Body Text Char2 Char Char,Body Text Char1 Char1 Char Char,Body Text Char Char Char Char Char,Body Text Char Char1 Char Char"/>
    <w:basedOn w:val="Normal"/>
    <w:link w:val="BodyTextChar2"/>
    <w:rsid w:val="006B52C9"/>
    <w:pPr>
      <w:spacing w:before="120" w:after="120"/>
      <w:jc w:val="both"/>
    </w:pPr>
  </w:style>
  <w:style w:type="character" w:customStyle="1" w:styleId="BodyTextChar2">
    <w:name w:val="Body Text Char2"/>
    <w:aliases w:val="Body Text Char1 Char1,Body Text Char Char Char,Body Text Char1 Char Char Char,Body Text Char Char1,Body Text Char1 Char Char1,Body Text Char3 Char Char,Body Text Char2 Char Char Char,Body Text Char1 Char1 Char Char Char"/>
    <w:basedOn w:val="DefaultParagraphFont"/>
    <w:link w:val="BodyText"/>
    <w:rsid w:val="004E7041"/>
    <w:rPr>
      <w:rFonts w:ascii="Verdana" w:hAnsi="Verdana"/>
      <w:szCs w:val="24"/>
      <w:lang w:val="en-US" w:eastAsia="en-US" w:bidi="ar-SA"/>
    </w:rPr>
  </w:style>
  <w:style w:type="paragraph" w:styleId="Header">
    <w:name w:val="header"/>
    <w:basedOn w:val="Normal"/>
    <w:link w:val="HeaderChar"/>
    <w:uiPriority w:val="99"/>
    <w:rsid w:val="006B52C9"/>
    <w:pPr>
      <w:tabs>
        <w:tab w:val="center" w:pos="4320"/>
        <w:tab w:val="right" w:pos="8640"/>
      </w:tabs>
    </w:pPr>
  </w:style>
  <w:style w:type="paragraph" w:styleId="Footer">
    <w:name w:val="footer"/>
    <w:basedOn w:val="Normal"/>
    <w:link w:val="FooterChar"/>
    <w:uiPriority w:val="99"/>
    <w:rsid w:val="006B52C9"/>
    <w:pPr>
      <w:tabs>
        <w:tab w:val="center" w:pos="4320"/>
        <w:tab w:val="right" w:pos="8640"/>
      </w:tabs>
    </w:pPr>
  </w:style>
  <w:style w:type="paragraph" w:styleId="Title">
    <w:name w:val="Title"/>
    <w:basedOn w:val="Normal"/>
    <w:link w:val="TitleChar"/>
    <w:qFormat/>
    <w:rsid w:val="006B52C9"/>
    <w:pPr>
      <w:spacing w:before="240" w:after="60"/>
      <w:jc w:val="center"/>
      <w:outlineLvl w:val="0"/>
    </w:pPr>
    <w:rPr>
      <w:rFonts w:cs="Arial"/>
      <w:b/>
      <w:bCs/>
      <w:kern w:val="28"/>
      <w:sz w:val="32"/>
      <w:szCs w:val="32"/>
    </w:rPr>
  </w:style>
  <w:style w:type="paragraph" w:styleId="Subtitle">
    <w:name w:val="Subtitle"/>
    <w:basedOn w:val="Normal"/>
    <w:link w:val="SubtitleChar"/>
    <w:qFormat/>
    <w:rsid w:val="006B52C9"/>
    <w:pPr>
      <w:spacing w:after="60"/>
      <w:jc w:val="center"/>
      <w:outlineLvl w:val="1"/>
    </w:pPr>
    <w:rPr>
      <w:rFonts w:cs="Arial"/>
      <w:sz w:val="24"/>
    </w:rPr>
  </w:style>
  <w:style w:type="character" w:customStyle="1" w:styleId="Code">
    <w:name w:val="Code"/>
    <w:basedOn w:val="DefaultParagraphFont"/>
    <w:rsid w:val="006B52C9"/>
    <w:rPr>
      <w:rFonts w:ascii="Courier New" w:hAnsi="Courier New"/>
      <w:sz w:val="18"/>
    </w:rPr>
  </w:style>
  <w:style w:type="paragraph" w:styleId="BlockText">
    <w:name w:val="Block Text"/>
    <w:basedOn w:val="Normal"/>
    <w:rsid w:val="006B52C9"/>
    <w:pPr>
      <w:spacing w:after="120"/>
      <w:ind w:left="1440" w:right="1440"/>
      <w:jc w:val="both"/>
    </w:pPr>
  </w:style>
  <w:style w:type="character" w:styleId="Hyperlink">
    <w:name w:val="Hyperlink"/>
    <w:basedOn w:val="DefaultParagraphFont"/>
    <w:uiPriority w:val="99"/>
    <w:rsid w:val="006B52C9"/>
    <w:rPr>
      <w:color w:val="0000FF"/>
      <w:u w:val="single"/>
    </w:rPr>
  </w:style>
  <w:style w:type="paragraph" w:styleId="Caption">
    <w:name w:val="caption"/>
    <w:basedOn w:val="Normal"/>
    <w:next w:val="Normal"/>
    <w:qFormat/>
    <w:rsid w:val="006B52C9"/>
    <w:pPr>
      <w:spacing w:before="120" w:after="120"/>
    </w:pPr>
    <w:rPr>
      <w:b/>
      <w:bCs/>
      <w:szCs w:val="20"/>
    </w:rPr>
  </w:style>
  <w:style w:type="character" w:styleId="FollowedHyperlink">
    <w:name w:val="FollowedHyperlink"/>
    <w:basedOn w:val="DefaultParagraphFont"/>
    <w:uiPriority w:val="99"/>
    <w:rsid w:val="006B52C9"/>
    <w:rPr>
      <w:color w:val="800080"/>
      <w:u w:val="single"/>
    </w:rPr>
  </w:style>
  <w:style w:type="paragraph" w:styleId="BalloonText">
    <w:name w:val="Balloon Text"/>
    <w:basedOn w:val="Normal"/>
    <w:link w:val="BalloonTextChar"/>
    <w:uiPriority w:val="99"/>
    <w:rsid w:val="006B52C9"/>
    <w:rPr>
      <w:rFonts w:ascii="Tahoma" w:hAnsi="Tahoma" w:cs="Tahoma"/>
      <w:sz w:val="16"/>
      <w:szCs w:val="16"/>
    </w:rPr>
  </w:style>
  <w:style w:type="character" w:styleId="CommentReference">
    <w:name w:val="annotation reference"/>
    <w:basedOn w:val="DefaultParagraphFont"/>
    <w:semiHidden/>
    <w:rsid w:val="006B52C9"/>
    <w:rPr>
      <w:sz w:val="16"/>
      <w:szCs w:val="16"/>
    </w:rPr>
  </w:style>
  <w:style w:type="paragraph" w:styleId="CommentText">
    <w:name w:val="annotation text"/>
    <w:basedOn w:val="Normal"/>
    <w:link w:val="CommentTextChar"/>
    <w:semiHidden/>
    <w:rsid w:val="006B52C9"/>
    <w:rPr>
      <w:szCs w:val="20"/>
    </w:rPr>
  </w:style>
  <w:style w:type="paragraph" w:styleId="CommentSubject">
    <w:name w:val="annotation subject"/>
    <w:basedOn w:val="CommentText"/>
    <w:next w:val="CommentText"/>
    <w:link w:val="CommentSubjectChar"/>
    <w:semiHidden/>
    <w:rsid w:val="006B52C9"/>
    <w:rPr>
      <w:b/>
      <w:bCs/>
    </w:rPr>
  </w:style>
  <w:style w:type="paragraph" w:customStyle="1" w:styleId="DefinitionList">
    <w:name w:val="Definition List"/>
    <w:basedOn w:val="Normal"/>
    <w:next w:val="Normal"/>
    <w:rsid w:val="006B52C9"/>
    <w:pPr>
      <w:ind w:left="360"/>
    </w:pPr>
    <w:rPr>
      <w:rFonts w:ascii="Times New Roman" w:eastAsia="MS Mincho" w:hAnsi="Times New Roman"/>
      <w:snapToGrid w:val="0"/>
      <w:sz w:val="24"/>
      <w:szCs w:val="20"/>
    </w:rPr>
  </w:style>
  <w:style w:type="paragraph" w:styleId="FootnoteText">
    <w:name w:val="footnote text"/>
    <w:basedOn w:val="Normal"/>
    <w:link w:val="FootnoteTextChar"/>
    <w:rsid w:val="006B52C9"/>
    <w:pPr>
      <w:jc w:val="both"/>
    </w:pPr>
    <w:rPr>
      <w:szCs w:val="20"/>
    </w:rPr>
  </w:style>
  <w:style w:type="character" w:styleId="FootnoteReference">
    <w:name w:val="footnote reference"/>
    <w:basedOn w:val="DefaultParagraphFont"/>
    <w:uiPriority w:val="99"/>
    <w:rsid w:val="006B52C9"/>
    <w:rPr>
      <w:vertAlign w:val="superscript"/>
    </w:rPr>
  </w:style>
  <w:style w:type="character" w:customStyle="1" w:styleId="CODE0">
    <w:name w:val="CODE"/>
    <w:rsid w:val="006B52C9"/>
    <w:rPr>
      <w:rFonts w:ascii="Courier New" w:hAnsi="Courier New"/>
      <w:noProof/>
      <w:spacing w:val="-10"/>
      <w:sz w:val="18"/>
      <w:szCs w:val="20"/>
      <w:lang w:val="en-GB"/>
    </w:rPr>
  </w:style>
  <w:style w:type="paragraph" w:customStyle="1" w:styleId="Preformatted">
    <w:name w:val="Preformatted"/>
    <w:basedOn w:val="Normal"/>
    <w:rsid w:val="006B52C9"/>
    <w:pPr>
      <w:tabs>
        <w:tab w:val="left" w:pos="0"/>
        <w:tab w:val="left" w:pos="959"/>
        <w:tab w:val="left" w:pos="1918"/>
        <w:tab w:val="left" w:pos="2877"/>
        <w:tab w:val="left" w:pos="3836"/>
        <w:tab w:val="left" w:pos="4795"/>
        <w:tab w:val="left" w:pos="5754"/>
        <w:tab w:val="left" w:pos="6713"/>
        <w:tab w:val="left" w:pos="7672"/>
        <w:tab w:val="left" w:pos="8631"/>
        <w:tab w:val="left" w:pos="9590"/>
      </w:tabs>
    </w:pPr>
    <w:rPr>
      <w:rFonts w:ascii="Courier New" w:eastAsia="MS Mincho" w:hAnsi="Courier New"/>
      <w:snapToGrid w:val="0"/>
      <w:szCs w:val="20"/>
    </w:rPr>
  </w:style>
  <w:style w:type="paragraph" w:styleId="TOC1">
    <w:name w:val="toc 1"/>
    <w:basedOn w:val="Normal"/>
    <w:next w:val="Normal"/>
    <w:autoRedefine/>
    <w:uiPriority w:val="39"/>
    <w:rsid w:val="000D3A04"/>
    <w:rPr>
      <w:b/>
      <w:i/>
      <w:color w:val="000080"/>
      <w:sz w:val="36"/>
      <w:szCs w:val="36"/>
    </w:rPr>
  </w:style>
  <w:style w:type="paragraph" w:styleId="TOC2">
    <w:name w:val="toc 2"/>
    <w:basedOn w:val="Normal"/>
    <w:next w:val="Normal"/>
    <w:autoRedefine/>
    <w:uiPriority w:val="39"/>
    <w:rsid w:val="0032009C"/>
    <w:pPr>
      <w:tabs>
        <w:tab w:val="left" w:pos="1200"/>
        <w:tab w:val="right" w:leader="dot" w:pos="8299"/>
      </w:tabs>
      <w:ind w:left="200"/>
    </w:pPr>
    <w:rPr>
      <w:b/>
      <w:sz w:val="24"/>
    </w:rPr>
  </w:style>
  <w:style w:type="table" w:styleId="TableGrid">
    <w:name w:val="Table Grid"/>
    <w:basedOn w:val="TableNormal"/>
    <w:uiPriority w:val="59"/>
    <w:rsid w:val="00F1698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evel1Text">
    <w:name w:val="Level 1 Text"/>
    <w:basedOn w:val="BodyText"/>
    <w:rsid w:val="003B5961"/>
    <w:pPr>
      <w:autoSpaceDE w:val="0"/>
      <w:autoSpaceDN w:val="0"/>
      <w:spacing w:before="0"/>
    </w:pPr>
    <w:rPr>
      <w:rFonts w:cs="Verdana"/>
      <w:sz w:val="18"/>
      <w:szCs w:val="18"/>
      <w:lang w:val="en-GB"/>
    </w:rPr>
  </w:style>
  <w:style w:type="paragraph" w:customStyle="1" w:styleId="Level2Text">
    <w:name w:val="Level 2 Text"/>
    <w:basedOn w:val="BodyText"/>
    <w:rsid w:val="003B5961"/>
    <w:pPr>
      <w:autoSpaceDE w:val="0"/>
      <w:autoSpaceDN w:val="0"/>
      <w:spacing w:before="0"/>
    </w:pPr>
    <w:rPr>
      <w:rFonts w:cs="Verdana"/>
      <w:sz w:val="18"/>
      <w:szCs w:val="18"/>
      <w:lang w:val="en-GB"/>
    </w:rPr>
  </w:style>
  <w:style w:type="paragraph" w:customStyle="1" w:styleId="Level3Text">
    <w:name w:val="Level 3 Text"/>
    <w:basedOn w:val="BodyText"/>
    <w:rsid w:val="003B5961"/>
    <w:pPr>
      <w:tabs>
        <w:tab w:val="left" w:pos="360"/>
        <w:tab w:val="left" w:pos="720"/>
      </w:tabs>
      <w:autoSpaceDE w:val="0"/>
      <w:autoSpaceDN w:val="0"/>
      <w:spacing w:before="0"/>
    </w:pPr>
    <w:rPr>
      <w:rFonts w:cs="Verdana"/>
      <w:sz w:val="18"/>
      <w:szCs w:val="18"/>
      <w:lang w:val="en-GB"/>
    </w:rPr>
  </w:style>
  <w:style w:type="paragraph" w:customStyle="1" w:styleId="TableText">
    <w:name w:val="Table Text"/>
    <w:basedOn w:val="Normal"/>
    <w:rsid w:val="003B5961"/>
    <w:pPr>
      <w:autoSpaceDE w:val="0"/>
      <w:autoSpaceDN w:val="0"/>
    </w:pPr>
    <w:rPr>
      <w:rFonts w:cs="Verdana"/>
      <w:sz w:val="18"/>
      <w:szCs w:val="18"/>
      <w:lang w:val="en-GB"/>
    </w:rPr>
  </w:style>
  <w:style w:type="paragraph" w:customStyle="1" w:styleId="ColumnHeading">
    <w:name w:val="Column Heading"/>
    <w:basedOn w:val="TableText"/>
    <w:next w:val="BodyText"/>
    <w:rsid w:val="003B5961"/>
    <w:pPr>
      <w:jc w:val="center"/>
    </w:pPr>
  </w:style>
  <w:style w:type="paragraph" w:styleId="ListNumber">
    <w:name w:val="List Number"/>
    <w:basedOn w:val="BodyText"/>
    <w:rsid w:val="003B5961"/>
    <w:pPr>
      <w:tabs>
        <w:tab w:val="left" w:pos="360"/>
        <w:tab w:val="num" w:pos="720"/>
      </w:tabs>
      <w:autoSpaceDE w:val="0"/>
      <w:autoSpaceDN w:val="0"/>
      <w:spacing w:before="0"/>
      <w:ind w:left="360" w:hanging="360"/>
    </w:pPr>
    <w:rPr>
      <w:rFonts w:cs="Verdana"/>
      <w:sz w:val="18"/>
      <w:szCs w:val="18"/>
      <w:lang w:val="en-GB"/>
    </w:rPr>
  </w:style>
  <w:style w:type="paragraph" w:styleId="ListBullet">
    <w:name w:val="List Bullet"/>
    <w:basedOn w:val="BodyText"/>
    <w:rsid w:val="003B5961"/>
    <w:pPr>
      <w:tabs>
        <w:tab w:val="num" w:pos="926"/>
      </w:tabs>
      <w:autoSpaceDE w:val="0"/>
      <w:autoSpaceDN w:val="0"/>
      <w:spacing w:before="0"/>
      <w:ind w:left="926" w:hanging="360"/>
    </w:pPr>
    <w:rPr>
      <w:rFonts w:cs="Verdana"/>
      <w:sz w:val="18"/>
      <w:szCs w:val="18"/>
      <w:lang w:val="en-GB"/>
    </w:rPr>
  </w:style>
  <w:style w:type="paragraph" w:customStyle="1" w:styleId="Non-normativeExample">
    <w:name w:val="Non-normative Example"/>
    <w:basedOn w:val="Normal"/>
    <w:rsid w:val="003B5961"/>
    <w:pPr>
      <w:pBdr>
        <w:top w:val="single" w:sz="4" w:space="1" w:color="auto"/>
        <w:left w:val="single" w:sz="4" w:space="4" w:color="auto"/>
        <w:bottom w:val="single" w:sz="4" w:space="1" w:color="auto"/>
        <w:right w:val="single" w:sz="4" w:space="4" w:color="auto"/>
      </w:pBdr>
      <w:shd w:val="clear" w:color="auto" w:fill="00FFFF"/>
      <w:autoSpaceDE w:val="0"/>
      <w:autoSpaceDN w:val="0"/>
      <w:spacing w:after="120"/>
    </w:pPr>
    <w:rPr>
      <w:rFonts w:ascii="Courier New" w:hAnsi="Courier New" w:cs="Batang"/>
      <w:noProof/>
      <w:sz w:val="18"/>
      <w:szCs w:val="18"/>
      <w:lang w:val="en-GB"/>
    </w:rPr>
  </w:style>
  <w:style w:type="paragraph" w:customStyle="1" w:styleId="EditorsComments">
    <w:name w:val="Editor's Comments"/>
    <w:basedOn w:val="BlockText"/>
    <w:rsid w:val="003B5961"/>
    <w:pPr>
      <w:shd w:val="clear" w:color="auto" w:fill="FFFF00"/>
      <w:autoSpaceDE w:val="0"/>
      <w:autoSpaceDN w:val="0"/>
      <w:ind w:left="720" w:right="720"/>
    </w:pPr>
    <w:rPr>
      <w:rFonts w:cs="Batang"/>
      <w:sz w:val="18"/>
      <w:szCs w:val="18"/>
      <w:lang w:val="en-GB"/>
    </w:rPr>
  </w:style>
  <w:style w:type="character" w:customStyle="1" w:styleId="Modal">
    <w:name w:val="Modal"/>
    <w:basedOn w:val="DefaultParagraphFont"/>
    <w:rsid w:val="003B5961"/>
    <w:rPr>
      <w:caps/>
    </w:rPr>
  </w:style>
  <w:style w:type="paragraph" w:customStyle="1" w:styleId="Non-normativeCounterexample">
    <w:name w:val="Non-normative Counterexample"/>
    <w:basedOn w:val="Non-normativeExample"/>
    <w:rsid w:val="003B5961"/>
    <w:pPr>
      <w:shd w:val="clear" w:color="auto" w:fill="FF9999"/>
    </w:pPr>
  </w:style>
  <w:style w:type="paragraph" w:styleId="TOC3">
    <w:name w:val="toc 3"/>
    <w:basedOn w:val="Normal"/>
    <w:next w:val="Normal"/>
    <w:autoRedefine/>
    <w:uiPriority w:val="39"/>
    <w:rsid w:val="0032009C"/>
    <w:pPr>
      <w:ind w:left="720"/>
    </w:pPr>
  </w:style>
  <w:style w:type="paragraph" w:customStyle="1" w:styleId="StyleHeading1Left-025">
    <w:name w:val="Style Heading 1 + Left:  -0.25&quot;"/>
    <w:basedOn w:val="Heading1"/>
    <w:rsid w:val="005C4D16"/>
    <w:pPr>
      <w:numPr>
        <w:numId w:val="0"/>
      </w:numPr>
      <w:ind w:left="-360"/>
    </w:pPr>
    <w:rPr>
      <w:rFonts w:cs="Times New Roman"/>
      <w:szCs w:val="20"/>
    </w:rPr>
  </w:style>
  <w:style w:type="character" w:styleId="PageNumber">
    <w:name w:val="page number"/>
    <w:basedOn w:val="DefaultParagraphFont"/>
    <w:rsid w:val="005C4D16"/>
  </w:style>
  <w:style w:type="paragraph" w:styleId="DocumentMap">
    <w:name w:val="Document Map"/>
    <w:basedOn w:val="Normal"/>
    <w:link w:val="DocumentMapChar"/>
    <w:semiHidden/>
    <w:rsid w:val="005C4D16"/>
    <w:pPr>
      <w:shd w:val="clear" w:color="auto" w:fill="000080"/>
    </w:pPr>
    <w:rPr>
      <w:rFonts w:ascii="Tahoma" w:hAnsi="Tahoma" w:cs="Tahoma"/>
      <w:szCs w:val="20"/>
    </w:rPr>
  </w:style>
  <w:style w:type="paragraph" w:styleId="Index1">
    <w:name w:val="index 1"/>
    <w:basedOn w:val="Normal"/>
    <w:next w:val="Normal"/>
    <w:autoRedefine/>
    <w:semiHidden/>
    <w:rsid w:val="001D5AE5"/>
    <w:pPr>
      <w:ind w:left="200" w:hanging="200"/>
    </w:pPr>
  </w:style>
  <w:style w:type="paragraph" w:styleId="EndnoteText">
    <w:name w:val="endnote text"/>
    <w:basedOn w:val="Normal"/>
    <w:link w:val="EndnoteTextChar"/>
    <w:rsid w:val="00660849"/>
    <w:rPr>
      <w:szCs w:val="20"/>
    </w:rPr>
  </w:style>
  <w:style w:type="character" w:styleId="EndnoteReference">
    <w:name w:val="endnote reference"/>
    <w:basedOn w:val="DefaultParagraphFont"/>
    <w:rsid w:val="00660849"/>
    <w:rPr>
      <w:vertAlign w:val="superscript"/>
    </w:rPr>
  </w:style>
  <w:style w:type="character" w:customStyle="1" w:styleId="CommentTextChar">
    <w:name w:val="Comment Text Char"/>
    <w:basedOn w:val="DefaultParagraphFont"/>
    <w:link w:val="CommentText"/>
    <w:uiPriority w:val="99"/>
    <w:semiHidden/>
    <w:rsid w:val="00905C31"/>
    <w:rPr>
      <w:rFonts w:ascii="Verdana" w:hAnsi="Verdana"/>
    </w:rPr>
  </w:style>
  <w:style w:type="character" w:customStyle="1" w:styleId="FootnoteTextChar">
    <w:name w:val="Footnote Text Char"/>
    <w:basedOn w:val="DefaultParagraphFont"/>
    <w:link w:val="FootnoteText"/>
    <w:uiPriority w:val="99"/>
    <w:semiHidden/>
    <w:rsid w:val="001A7FEB"/>
    <w:rPr>
      <w:rFonts w:ascii="Verdana" w:hAnsi="Verdana"/>
    </w:rPr>
  </w:style>
  <w:style w:type="paragraph" w:styleId="TOCHeading">
    <w:name w:val="TOC Heading"/>
    <w:basedOn w:val="Heading1"/>
    <w:next w:val="Normal"/>
    <w:uiPriority w:val="39"/>
    <w:semiHidden/>
    <w:unhideWhenUsed/>
    <w:qFormat/>
    <w:rsid w:val="00101989"/>
    <w:pPr>
      <w:keepLines/>
      <w:numPr>
        <w:numId w:val="0"/>
      </w:numPr>
      <w:spacing w:before="480" w:after="0" w:line="276" w:lineRule="auto"/>
      <w:outlineLvl w:val="9"/>
    </w:pPr>
    <w:rPr>
      <w:rFonts w:ascii="Cambria" w:hAnsi="Cambria" w:cs="Times New Roman"/>
      <w:color w:val="365F91"/>
      <w:kern w:val="0"/>
      <w:sz w:val="28"/>
      <w:szCs w:val="28"/>
    </w:rPr>
  </w:style>
  <w:style w:type="paragraph" w:styleId="TOC4">
    <w:name w:val="toc 4"/>
    <w:basedOn w:val="Normal"/>
    <w:next w:val="Normal"/>
    <w:autoRedefine/>
    <w:uiPriority w:val="39"/>
    <w:unhideWhenUsed/>
    <w:rsid w:val="00101989"/>
    <w:pPr>
      <w:spacing w:after="100" w:line="276" w:lineRule="auto"/>
      <w:ind w:left="660"/>
    </w:pPr>
    <w:rPr>
      <w:rFonts w:ascii="Calibri" w:hAnsi="Calibri"/>
      <w:sz w:val="22"/>
      <w:szCs w:val="22"/>
    </w:rPr>
  </w:style>
  <w:style w:type="paragraph" w:styleId="TOC5">
    <w:name w:val="toc 5"/>
    <w:basedOn w:val="Normal"/>
    <w:next w:val="Normal"/>
    <w:autoRedefine/>
    <w:uiPriority w:val="39"/>
    <w:unhideWhenUsed/>
    <w:rsid w:val="00101989"/>
    <w:pPr>
      <w:spacing w:after="100" w:line="276" w:lineRule="auto"/>
      <w:ind w:left="880"/>
    </w:pPr>
    <w:rPr>
      <w:rFonts w:ascii="Calibri" w:hAnsi="Calibri"/>
      <w:sz w:val="22"/>
      <w:szCs w:val="22"/>
    </w:rPr>
  </w:style>
  <w:style w:type="paragraph" w:styleId="TOC6">
    <w:name w:val="toc 6"/>
    <w:basedOn w:val="Normal"/>
    <w:next w:val="Normal"/>
    <w:autoRedefine/>
    <w:uiPriority w:val="39"/>
    <w:unhideWhenUsed/>
    <w:rsid w:val="00101989"/>
    <w:pPr>
      <w:spacing w:after="100" w:line="276" w:lineRule="auto"/>
      <w:ind w:left="1100"/>
    </w:pPr>
    <w:rPr>
      <w:rFonts w:ascii="Calibri" w:hAnsi="Calibri"/>
      <w:sz w:val="22"/>
      <w:szCs w:val="22"/>
    </w:rPr>
  </w:style>
  <w:style w:type="paragraph" w:styleId="TOC7">
    <w:name w:val="toc 7"/>
    <w:basedOn w:val="Normal"/>
    <w:next w:val="Normal"/>
    <w:autoRedefine/>
    <w:uiPriority w:val="39"/>
    <w:unhideWhenUsed/>
    <w:rsid w:val="00101989"/>
    <w:pPr>
      <w:spacing w:after="100" w:line="276" w:lineRule="auto"/>
      <w:ind w:left="1320"/>
    </w:pPr>
    <w:rPr>
      <w:rFonts w:ascii="Calibri" w:hAnsi="Calibri"/>
      <w:sz w:val="22"/>
      <w:szCs w:val="22"/>
    </w:rPr>
  </w:style>
  <w:style w:type="paragraph" w:styleId="TOC8">
    <w:name w:val="toc 8"/>
    <w:basedOn w:val="Normal"/>
    <w:next w:val="Normal"/>
    <w:autoRedefine/>
    <w:uiPriority w:val="39"/>
    <w:unhideWhenUsed/>
    <w:rsid w:val="00101989"/>
    <w:pPr>
      <w:spacing w:after="100" w:line="276" w:lineRule="auto"/>
      <w:ind w:left="1540"/>
    </w:pPr>
    <w:rPr>
      <w:rFonts w:ascii="Calibri" w:hAnsi="Calibri"/>
      <w:sz w:val="22"/>
      <w:szCs w:val="22"/>
    </w:rPr>
  </w:style>
  <w:style w:type="paragraph" w:styleId="TOC9">
    <w:name w:val="toc 9"/>
    <w:basedOn w:val="Normal"/>
    <w:next w:val="Normal"/>
    <w:autoRedefine/>
    <w:uiPriority w:val="39"/>
    <w:unhideWhenUsed/>
    <w:rsid w:val="00101989"/>
    <w:pPr>
      <w:spacing w:after="100" w:line="276" w:lineRule="auto"/>
      <w:ind w:left="1760"/>
    </w:pPr>
    <w:rPr>
      <w:rFonts w:ascii="Calibri" w:hAnsi="Calibri"/>
      <w:sz w:val="22"/>
      <w:szCs w:val="22"/>
    </w:rPr>
  </w:style>
  <w:style w:type="character" w:customStyle="1" w:styleId="Heading1Char">
    <w:name w:val="Heading 1 Char"/>
    <w:basedOn w:val="DefaultParagraphFont"/>
    <w:link w:val="Heading1"/>
    <w:uiPriority w:val="9"/>
    <w:rsid w:val="00566255"/>
    <w:rPr>
      <w:rFonts w:ascii="Arial" w:hAnsi="Arial" w:cs="Arial"/>
      <w:b/>
      <w:bCs/>
      <w:color w:val="000080"/>
      <w:kern w:val="32"/>
      <w:sz w:val="40"/>
      <w:szCs w:val="40"/>
    </w:rPr>
  </w:style>
  <w:style w:type="character" w:customStyle="1" w:styleId="Heading2Char">
    <w:name w:val="Heading 2 Char"/>
    <w:basedOn w:val="DefaultParagraphFont"/>
    <w:link w:val="Heading2"/>
    <w:uiPriority w:val="9"/>
    <w:rsid w:val="00566255"/>
    <w:rPr>
      <w:rFonts w:ascii="Arial" w:hAnsi="Arial" w:cs="Arial"/>
      <w:b/>
      <w:bCs/>
      <w:i/>
      <w:iCs/>
      <w:sz w:val="28"/>
      <w:szCs w:val="28"/>
    </w:rPr>
  </w:style>
  <w:style w:type="character" w:customStyle="1" w:styleId="FooterChar">
    <w:name w:val="Footer Char"/>
    <w:basedOn w:val="DefaultParagraphFont"/>
    <w:link w:val="Footer"/>
    <w:uiPriority w:val="99"/>
    <w:rsid w:val="00417313"/>
    <w:rPr>
      <w:rFonts w:ascii="Verdana" w:hAnsi="Verdana"/>
      <w:szCs w:val="24"/>
    </w:rPr>
  </w:style>
  <w:style w:type="paragraph" w:customStyle="1" w:styleId="TBBody">
    <w:name w:val="TB Body"/>
    <w:rsid w:val="00417313"/>
    <w:pPr>
      <w:widowControl w:val="0"/>
      <w:spacing w:before="40" w:after="100" w:line="220" w:lineRule="exact"/>
    </w:pPr>
    <w:rPr>
      <w:rFonts w:ascii="Arial" w:hAnsi="Arial"/>
      <w:sz w:val="19"/>
    </w:rPr>
  </w:style>
  <w:style w:type="paragraph" w:customStyle="1" w:styleId="TBColHead">
    <w:name w:val="TB Col Head"/>
    <w:next w:val="TBBody"/>
    <w:rsid w:val="00417313"/>
    <w:pPr>
      <w:widowControl w:val="0"/>
      <w:pBdr>
        <w:bottom w:val="single" w:sz="4" w:space="4" w:color="auto"/>
      </w:pBdr>
      <w:spacing w:before="40" w:after="100" w:line="220" w:lineRule="exact"/>
    </w:pPr>
    <w:rPr>
      <w:rFonts w:ascii="Arial" w:hAnsi="Arial"/>
      <w:b/>
      <w:i/>
      <w:sz w:val="18"/>
    </w:rPr>
  </w:style>
  <w:style w:type="paragraph" w:customStyle="1" w:styleId="SBHead">
    <w:name w:val="SB Head"/>
    <w:next w:val="SBBody"/>
    <w:rsid w:val="00417313"/>
    <w:pPr>
      <w:keepNext/>
      <w:widowControl w:val="0"/>
      <w:spacing w:before="180" w:after="110" w:line="360" w:lineRule="exact"/>
      <w:jc w:val="center"/>
    </w:pPr>
    <w:rPr>
      <w:rFonts w:ascii="Arial" w:hAnsi="Arial"/>
      <w:b/>
      <w:sz w:val="32"/>
    </w:rPr>
  </w:style>
  <w:style w:type="paragraph" w:customStyle="1" w:styleId="SBBody">
    <w:name w:val="SB Body"/>
    <w:rsid w:val="00417313"/>
    <w:pPr>
      <w:spacing w:after="120" w:line="220" w:lineRule="exact"/>
    </w:pPr>
    <w:rPr>
      <w:rFonts w:ascii="Arial" w:hAnsi="Arial"/>
      <w:sz w:val="18"/>
    </w:rPr>
  </w:style>
  <w:style w:type="paragraph" w:styleId="ListParagraph">
    <w:name w:val="List Paragraph"/>
    <w:basedOn w:val="Normal"/>
    <w:uiPriority w:val="34"/>
    <w:qFormat/>
    <w:rsid w:val="00417313"/>
    <w:pPr>
      <w:ind w:left="720"/>
      <w:contextualSpacing/>
    </w:pPr>
  </w:style>
  <w:style w:type="character" w:customStyle="1" w:styleId="HeaderChar">
    <w:name w:val="Header Char"/>
    <w:basedOn w:val="DefaultParagraphFont"/>
    <w:link w:val="Header"/>
    <w:uiPriority w:val="99"/>
    <w:rsid w:val="0056261B"/>
    <w:rPr>
      <w:rFonts w:ascii="Verdana" w:hAnsi="Verdana"/>
      <w:szCs w:val="24"/>
    </w:rPr>
  </w:style>
  <w:style w:type="character" w:customStyle="1" w:styleId="BalloonTextChar">
    <w:name w:val="Balloon Text Char"/>
    <w:basedOn w:val="DefaultParagraphFont"/>
    <w:link w:val="BalloonText"/>
    <w:uiPriority w:val="99"/>
    <w:semiHidden/>
    <w:rsid w:val="00393B7D"/>
    <w:rPr>
      <w:rFonts w:ascii="Tahoma" w:hAnsi="Tahoma" w:cs="Tahoma"/>
      <w:sz w:val="16"/>
      <w:szCs w:val="16"/>
    </w:rPr>
  </w:style>
  <w:style w:type="character" w:customStyle="1" w:styleId="Heading3Char">
    <w:name w:val="Heading 3 Char"/>
    <w:basedOn w:val="DefaultParagraphFont"/>
    <w:link w:val="Heading3"/>
    <w:uiPriority w:val="9"/>
    <w:rsid w:val="00393B7D"/>
    <w:rPr>
      <w:rFonts w:ascii="Arial" w:hAnsi="Arial" w:cs="Arial"/>
      <w:b/>
      <w:bCs/>
      <w:i/>
      <w:szCs w:val="26"/>
      <w:lang w:val="en-GB"/>
    </w:rPr>
  </w:style>
  <w:style w:type="character" w:customStyle="1" w:styleId="A6">
    <w:name w:val="A6"/>
    <w:basedOn w:val="DefaultParagraphFont"/>
    <w:uiPriority w:val="99"/>
    <w:rsid w:val="0054463C"/>
    <w:rPr>
      <w:rFonts w:ascii="AvantGarde" w:hAnsi="AvantGarde" w:hint="default"/>
      <w:color w:val="000000"/>
    </w:rPr>
  </w:style>
  <w:style w:type="table" w:customStyle="1" w:styleId="TableGrid1">
    <w:name w:val="Table Grid1"/>
    <w:basedOn w:val="TableNormal"/>
    <w:next w:val="TableGrid"/>
    <w:uiPriority w:val="59"/>
    <w:rsid w:val="0054463C"/>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CPBodyText">
    <w:name w:val="XCP Body Text"/>
    <w:rsid w:val="00AC3B31"/>
    <w:pPr>
      <w:pBdr>
        <w:top w:val="nil"/>
        <w:left w:val="nil"/>
        <w:bottom w:val="nil"/>
        <w:right w:val="nil"/>
        <w:between w:val="nil"/>
        <w:bar w:val="nil"/>
      </w:pBdr>
      <w:spacing w:before="200"/>
      <w:ind w:left="900"/>
      <w:jc w:val="both"/>
    </w:pPr>
    <w:rPr>
      <w:rFonts w:ascii="Calibri" w:eastAsia="Calibri" w:hAnsi="Calibri" w:cs="Calibri"/>
      <w:color w:val="000000"/>
      <w:u w:color="000000"/>
      <w:bdr w:val="nil"/>
    </w:rPr>
  </w:style>
  <w:style w:type="character" w:customStyle="1" w:styleId="Heading4Char">
    <w:name w:val="Heading 4 Char"/>
    <w:basedOn w:val="DefaultParagraphFont"/>
    <w:link w:val="Heading4"/>
    <w:rsid w:val="001152B9"/>
    <w:rPr>
      <w:rFonts w:ascii="Arial" w:hAnsi="Arial"/>
      <w:b/>
      <w:bCs/>
      <w:sz w:val="24"/>
      <w:szCs w:val="28"/>
    </w:rPr>
  </w:style>
  <w:style w:type="character" w:customStyle="1" w:styleId="Heading5Char">
    <w:name w:val="Heading 5 Char"/>
    <w:basedOn w:val="DefaultParagraphFont"/>
    <w:link w:val="Heading5"/>
    <w:rsid w:val="001152B9"/>
    <w:rPr>
      <w:rFonts w:ascii="Verdana" w:hAnsi="Verdana"/>
      <w:b/>
      <w:bCs/>
      <w:i/>
      <w:iCs/>
      <w:sz w:val="26"/>
      <w:szCs w:val="26"/>
    </w:rPr>
  </w:style>
  <w:style w:type="character" w:customStyle="1" w:styleId="Heading6Char">
    <w:name w:val="Heading 6 Char"/>
    <w:basedOn w:val="DefaultParagraphFont"/>
    <w:link w:val="Heading6"/>
    <w:rsid w:val="001152B9"/>
    <w:rPr>
      <w:b/>
      <w:bCs/>
      <w:sz w:val="22"/>
      <w:szCs w:val="22"/>
    </w:rPr>
  </w:style>
  <w:style w:type="character" w:customStyle="1" w:styleId="Heading7Char">
    <w:name w:val="Heading 7 Char"/>
    <w:basedOn w:val="DefaultParagraphFont"/>
    <w:link w:val="Heading7"/>
    <w:rsid w:val="001152B9"/>
    <w:rPr>
      <w:rFonts w:ascii="Arial" w:hAnsi="Arial"/>
      <w:sz w:val="24"/>
    </w:rPr>
  </w:style>
  <w:style w:type="character" w:customStyle="1" w:styleId="Heading8Char">
    <w:name w:val="Heading 8 Char"/>
    <w:basedOn w:val="DefaultParagraphFont"/>
    <w:link w:val="Heading8"/>
    <w:rsid w:val="001152B9"/>
    <w:rPr>
      <w:rFonts w:ascii="Arial" w:hAnsi="Arial"/>
      <w:i/>
      <w:sz w:val="24"/>
    </w:rPr>
  </w:style>
  <w:style w:type="character" w:customStyle="1" w:styleId="Heading9Char">
    <w:name w:val="Heading 9 Char"/>
    <w:basedOn w:val="DefaultParagraphFont"/>
    <w:link w:val="Heading9"/>
    <w:rsid w:val="001152B9"/>
    <w:rPr>
      <w:rFonts w:ascii="Arial" w:hAnsi="Arial"/>
      <w:i/>
      <w:sz w:val="18"/>
    </w:rPr>
  </w:style>
  <w:style w:type="character" w:customStyle="1" w:styleId="TitleChar">
    <w:name w:val="Title Char"/>
    <w:basedOn w:val="DefaultParagraphFont"/>
    <w:link w:val="Title"/>
    <w:rsid w:val="001152B9"/>
    <w:rPr>
      <w:rFonts w:ascii="Verdana" w:hAnsi="Verdana" w:cs="Arial"/>
      <w:b/>
      <w:bCs/>
      <w:kern w:val="28"/>
      <w:sz w:val="32"/>
      <w:szCs w:val="32"/>
    </w:rPr>
  </w:style>
  <w:style w:type="character" w:customStyle="1" w:styleId="SubtitleChar">
    <w:name w:val="Subtitle Char"/>
    <w:basedOn w:val="DefaultParagraphFont"/>
    <w:link w:val="Subtitle"/>
    <w:rsid w:val="001152B9"/>
    <w:rPr>
      <w:rFonts w:ascii="Verdana" w:hAnsi="Verdana" w:cs="Arial"/>
      <w:sz w:val="24"/>
      <w:szCs w:val="24"/>
    </w:rPr>
  </w:style>
  <w:style w:type="character" w:customStyle="1" w:styleId="CommentSubjectChar">
    <w:name w:val="Comment Subject Char"/>
    <w:basedOn w:val="CommentTextChar"/>
    <w:link w:val="CommentSubject"/>
    <w:uiPriority w:val="99"/>
    <w:semiHidden/>
    <w:rsid w:val="001152B9"/>
    <w:rPr>
      <w:rFonts w:ascii="Verdana" w:hAnsi="Verdana"/>
      <w:b/>
      <w:bCs/>
    </w:rPr>
  </w:style>
  <w:style w:type="character" w:customStyle="1" w:styleId="DocumentMapChar">
    <w:name w:val="Document Map Char"/>
    <w:basedOn w:val="DefaultParagraphFont"/>
    <w:link w:val="DocumentMap"/>
    <w:uiPriority w:val="99"/>
    <w:semiHidden/>
    <w:rsid w:val="001152B9"/>
    <w:rPr>
      <w:rFonts w:ascii="Tahoma" w:hAnsi="Tahoma" w:cs="Tahoma"/>
      <w:shd w:val="clear" w:color="auto" w:fill="000080"/>
    </w:rPr>
  </w:style>
  <w:style w:type="character" w:customStyle="1" w:styleId="EndnoteTextChar">
    <w:name w:val="Endnote Text Char"/>
    <w:basedOn w:val="DefaultParagraphFont"/>
    <w:link w:val="EndnoteText"/>
    <w:rsid w:val="001152B9"/>
    <w:rPr>
      <w:rFonts w:ascii="Verdana" w:hAnsi="Verdana"/>
    </w:rPr>
  </w:style>
  <w:style w:type="paragraph" w:styleId="NormalWeb">
    <w:name w:val="Normal (Web)"/>
    <w:basedOn w:val="Normal"/>
    <w:uiPriority w:val="99"/>
    <w:unhideWhenUsed/>
    <w:rsid w:val="001152B9"/>
    <w:pPr>
      <w:spacing w:before="100" w:beforeAutospacing="1" w:after="100" w:afterAutospacing="1"/>
    </w:pPr>
    <w:rPr>
      <w:rFonts w:ascii="Times New Roman" w:hAnsi="Times New Roman"/>
      <w:sz w:val="24"/>
    </w:rPr>
  </w:style>
  <w:style w:type="character" w:customStyle="1" w:styleId="FootnoteTextChar1">
    <w:name w:val="Footnote Text Char1"/>
    <w:basedOn w:val="DefaultParagraphFont"/>
    <w:semiHidden/>
    <w:rsid w:val="00200A70"/>
    <w:rPr>
      <w:rFonts w:ascii="Verdana" w:hAnsi="Verdana"/>
    </w:rPr>
  </w:style>
  <w:style w:type="character" w:customStyle="1" w:styleId="FootnoteTextChar2">
    <w:name w:val="Footnote Text Char2"/>
    <w:basedOn w:val="DefaultParagraphFont"/>
    <w:semiHidden/>
    <w:rsid w:val="00200A70"/>
    <w:rPr>
      <w:rFonts w:ascii="Verdana" w:hAnsi="Verdana"/>
    </w:rPr>
  </w:style>
  <w:style w:type="character" w:customStyle="1" w:styleId="Heading1Char1">
    <w:name w:val="Heading 1 Char1"/>
    <w:basedOn w:val="DefaultParagraphFont"/>
    <w:rsid w:val="00200A70"/>
    <w:rPr>
      <w:rFonts w:ascii="Arial" w:hAnsi="Arial" w:cs="Arial"/>
      <w:b/>
      <w:bCs/>
      <w:color w:val="000080"/>
      <w:kern w:val="32"/>
      <w:sz w:val="40"/>
      <w:szCs w:val="40"/>
    </w:rPr>
  </w:style>
  <w:style w:type="character" w:customStyle="1" w:styleId="Heading2Char1">
    <w:name w:val="Heading 2 Char1"/>
    <w:basedOn w:val="DefaultParagraphFont"/>
    <w:rsid w:val="00200A70"/>
    <w:rPr>
      <w:rFonts w:ascii="Arial" w:hAnsi="Arial" w:cs="Arial"/>
      <w:b/>
      <w:bCs/>
      <w:i/>
      <w:iCs/>
      <w:sz w:val="28"/>
      <w:szCs w:val="28"/>
    </w:rPr>
  </w:style>
  <w:style w:type="character" w:customStyle="1" w:styleId="Heading3Char1">
    <w:name w:val="Heading 3 Char1"/>
    <w:basedOn w:val="DefaultParagraphFont"/>
    <w:rsid w:val="00200A70"/>
    <w:rPr>
      <w:rFonts w:ascii="Arial" w:hAnsi="Arial" w:cs="Arial"/>
      <w:b/>
      <w:bCs/>
      <w:i/>
      <w:szCs w:val="26"/>
      <w:lang w:val="en-GB"/>
    </w:rPr>
  </w:style>
  <w:style w:type="character" w:customStyle="1" w:styleId="HeaderChar1">
    <w:name w:val="Header Char1"/>
    <w:basedOn w:val="DefaultParagraphFont"/>
    <w:uiPriority w:val="99"/>
    <w:rsid w:val="00200A70"/>
    <w:rPr>
      <w:rFonts w:ascii="Verdana" w:hAnsi="Verdana"/>
      <w:szCs w:val="24"/>
    </w:rPr>
  </w:style>
  <w:style w:type="character" w:customStyle="1" w:styleId="FooterChar1">
    <w:name w:val="Footer Char1"/>
    <w:basedOn w:val="DefaultParagraphFont"/>
    <w:uiPriority w:val="99"/>
    <w:rsid w:val="00200A70"/>
    <w:rPr>
      <w:rFonts w:ascii="Verdana" w:hAnsi="Verdana"/>
      <w:szCs w:val="24"/>
    </w:rPr>
  </w:style>
  <w:style w:type="character" w:customStyle="1" w:styleId="BalloonTextChar1">
    <w:name w:val="Balloon Text Char1"/>
    <w:basedOn w:val="DefaultParagraphFont"/>
    <w:rsid w:val="00200A70"/>
    <w:rPr>
      <w:rFonts w:ascii="Tahoma" w:hAnsi="Tahoma" w:cs="Tahoma"/>
      <w:sz w:val="16"/>
      <w:szCs w:val="16"/>
    </w:rPr>
  </w:style>
  <w:style w:type="character" w:customStyle="1" w:styleId="CommentTextChar1">
    <w:name w:val="Comment Text Char1"/>
    <w:basedOn w:val="DefaultParagraphFont"/>
    <w:uiPriority w:val="99"/>
    <w:semiHidden/>
    <w:rsid w:val="00200A70"/>
    <w:rPr>
      <w:rFonts w:ascii="Verdana" w:hAnsi="Verdana"/>
    </w:rPr>
  </w:style>
  <w:style w:type="paragraph" w:customStyle="1" w:styleId="DefinitionList1">
    <w:name w:val="Definition List1"/>
    <w:basedOn w:val="Normal"/>
    <w:next w:val="Normal"/>
    <w:rsid w:val="00200A70"/>
    <w:pPr>
      <w:ind w:left="360"/>
    </w:pPr>
    <w:rPr>
      <w:rFonts w:ascii="Times New Roman" w:eastAsia="MS Mincho" w:hAnsi="Times New Roman"/>
      <w:snapToGrid w:val="0"/>
      <w:sz w:val="24"/>
      <w:szCs w:val="20"/>
    </w:rPr>
  </w:style>
  <w:style w:type="character" w:customStyle="1" w:styleId="FootnoteTextChar3">
    <w:name w:val="Footnote Text Char3"/>
    <w:basedOn w:val="DefaultParagraphFont"/>
    <w:uiPriority w:val="99"/>
    <w:rsid w:val="00200A70"/>
    <w:rPr>
      <w:rFonts w:ascii="Verdana" w:hAnsi="Verdana"/>
    </w:rPr>
  </w:style>
  <w:style w:type="paragraph" w:customStyle="1" w:styleId="Preformatted1">
    <w:name w:val="Preformatted1"/>
    <w:basedOn w:val="Normal"/>
    <w:rsid w:val="00200A70"/>
    <w:pPr>
      <w:tabs>
        <w:tab w:val="left" w:pos="0"/>
        <w:tab w:val="left" w:pos="959"/>
        <w:tab w:val="left" w:pos="1918"/>
        <w:tab w:val="left" w:pos="2877"/>
        <w:tab w:val="left" w:pos="3836"/>
        <w:tab w:val="left" w:pos="4795"/>
        <w:tab w:val="left" w:pos="5754"/>
        <w:tab w:val="left" w:pos="6713"/>
        <w:tab w:val="left" w:pos="7672"/>
        <w:tab w:val="left" w:pos="8631"/>
        <w:tab w:val="left" w:pos="9590"/>
      </w:tabs>
    </w:pPr>
    <w:rPr>
      <w:rFonts w:ascii="Courier New" w:eastAsia="MS Mincho" w:hAnsi="Courier New"/>
      <w:snapToGrid w:val="0"/>
      <w:szCs w:val="20"/>
    </w:rPr>
  </w:style>
  <w:style w:type="paragraph" w:customStyle="1" w:styleId="Level1Text1">
    <w:name w:val="Level 1 Text1"/>
    <w:basedOn w:val="BodyText"/>
    <w:rsid w:val="00200A70"/>
    <w:pPr>
      <w:autoSpaceDE w:val="0"/>
      <w:autoSpaceDN w:val="0"/>
      <w:spacing w:before="0"/>
    </w:pPr>
    <w:rPr>
      <w:rFonts w:cs="Verdana"/>
      <w:sz w:val="18"/>
      <w:szCs w:val="18"/>
      <w:lang w:val="en-GB"/>
    </w:rPr>
  </w:style>
  <w:style w:type="paragraph" w:customStyle="1" w:styleId="Level2Text1">
    <w:name w:val="Level 2 Text1"/>
    <w:basedOn w:val="BodyText"/>
    <w:rsid w:val="00200A70"/>
    <w:pPr>
      <w:autoSpaceDE w:val="0"/>
      <w:autoSpaceDN w:val="0"/>
      <w:spacing w:before="0"/>
    </w:pPr>
    <w:rPr>
      <w:rFonts w:cs="Verdana"/>
      <w:sz w:val="18"/>
      <w:szCs w:val="18"/>
      <w:lang w:val="en-GB"/>
    </w:rPr>
  </w:style>
  <w:style w:type="paragraph" w:customStyle="1" w:styleId="Level3Text1">
    <w:name w:val="Level 3 Text1"/>
    <w:basedOn w:val="BodyText"/>
    <w:rsid w:val="00200A70"/>
    <w:pPr>
      <w:tabs>
        <w:tab w:val="left" w:pos="360"/>
        <w:tab w:val="left" w:pos="720"/>
      </w:tabs>
      <w:autoSpaceDE w:val="0"/>
      <w:autoSpaceDN w:val="0"/>
      <w:spacing w:before="0"/>
    </w:pPr>
    <w:rPr>
      <w:rFonts w:cs="Verdana"/>
      <w:sz w:val="18"/>
      <w:szCs w:val="18"/>
      <w:lang w:val="en-GB"/>
    </w:rPr>
  </w:style>
  <w:style w:type="paragraph" w:customStyle="1" w:styleId="TableText1">
    <w:name w:val="Table Text1"/>
    <w:basedOn w:val="Normal"/>
    <w:rsid w:val="00200A70"/>
    <w:pPr>
      <w:autoSpaceDE w:val="0"/>
      <w:autoSpaceDN w:val="0"/>
    </w:pPr>
    <w:rPr>
      <w:rFonts w:cs="Verdana"/>
      <w:sz w:val="18"/>
      <w:szCs w:val="18"/>
      <w:lang w:val="en-GB"/>
    </w:rPr>
  </w:style>
  <w:style w:type="paragraph" w:customStyle="1" w:styleId="ColumnHeading1">
    <w:name w:val="Column Heading1"/>
    <w:basedOn w:val="TableText"/>
    <w:next w:val="BodyText"/>
    <w:rsid w:val="00200A70"/>
    <w:pPr>
      <w:jc w:val="center"/>
    </w:pPr>
  </w:style>
  <w:style w:type="paragraph" w:customStyle="1" w:styleId="Non-normativeExample1">
    <w:name w:val="Non-normative Example1"/>
    <w:basedOn w:val="Normal"/>
    <w:rsid w:val="00200A70"/>
    <w:pPr>
      <w:pBdr>
        <w:top w:val="single" w:sz="4" w:space="1" w:color="auto"/>
        <w:left w:val="single" w:sz="4" w:space="4" w:color="auto"/>
        <w:bottom w:val="single" w:sz="4" w:space="1" w:color="auto"/>
        <w:right w:val="single" w:sz="4" w:space="4" w:color="auto"/>
      </w:pBdr>
      <w:shd w:val="clear" w:color="auto" w:fill="00FFFF"/>
      <w:autoSpaceDE w:val="0"/>
      <w:autoSpaceDN w:val="0"/>
      <w:spacing w:after="120"/>
    </w:pPr>
    <w:rPr>
      <w:rFonts w:ascii="Courier New" w:hAnsi="Courier New" w:cs="Batang"/>
      <w:noProof/>
      <w:sz w:val="18"/>
      <w:szCs w:val="18"/>
      <w:lang w:val="en-GB"/>
    </w:rPr>
  </w:style>
  <w:style w:type="paragraph" w:customStyle="1" w:styleId="EditorsComments1">
    <w:name w:val="Editor's Comments1"/>
    <w:basedOn w:val="BlockText"/>
    <w:rsid w:val="00200A70"/>
    <w:pPr>
      <w:shd w:val="clear" w:color="auto" w:fill="FFFF00"/>
      <w:autoSpaceDE w:val="0"/>
      <w:autoSpaceDN w:val="0"/>
      <w:ind w:left="720" w:right="720"/>
    </w:pPr>
    <w:rPr>
      <w:rFonts w:cs="Batang"/>
      <w:sz w:val="18"/>
      <w:szCs w:val="18"/>
      <w:lang w:val="en-GB"/>
    </w:rPr>
  </w:style>
  <w:style w:type="paragraph" w:customStyle="1" w:styleId="Non-normativeCounterexample1">
    <w:name w:val="Non-normative Counterexample1"/>
    <w:basedOn w:val="Non-normativeExample"/>
    <w:rsid w:val="00200A70"/>
    <w:pPr>
      <w:shd w:val="clear" w:color="auto" w:fill="FF9999"/>
    </w:pPr>
  </w:style>
  <w:style w:type="paragraph" w:customStyle="1" w:styleId="StyleHeading1Left-0251">
    <w:name w:val="Style Heading 1 + Left:  -0.25&quot;1"/>
    <w:basedOn w:val="Heading1"/>
    <w:rsid w:val="00200A70"/>
    <w:pPr>
      <w:numPr>
        <w:numId w:val="0"/>
      </w:numPr>
      <w:ind w:left="-360"/>
    </w:pPr>
    <w:rPr>
      <w:rFonts w:cs="Times New Roman"/>
      <w:szCs w:val="20"/>
    </w:rPr>
  </w:style>
  <w:style w:type="paragraph" w:customStyle="1" w:styleId="TBBody1">
    <w:name w:val="TB Body1"/>
    <w:rsid w:val="00200A70"/>
    <w:pPr>
      <w:widowControl w:val="0"/>
      <w:spacing w:before="40" w:after="100" w:line="220" w:lineRule="exact"/>
    </w:pPr>
    <w:rPr>
      <w:rFonts w:ascii="Arial" w:hAnsi="Arial"/>
      <w:sz w:val="19"/>
    </w:rPr>
  </w:style>
  <w:style w:type="paragraph" w:customStyle="1" w:styleId="TBColHead1">
    <w:name w:val="TB Col Head1"/>
    <w:next w:val="TBBody"/>
    <w:rsid w:val="00200A70"/>
    <w:pPr>
      <w:widowControl w:val="0"/>
      <w:pBdr>
        <w:bottom w:val="single" w:sz="4" w:space="4" w:color="auto"/>
      </w:pBdr>
      <w:spacing w:before="40" w:after="100" w:line="220" w:lineRule="exact"/>
    </w:pPr>
    <w:rPr>
      <w:rFonts w:ascii="Arial" w:hAnsi="Arial"/>
      <w:b/>
      <w:i/>
      <w:sz w:val="18"/>
    </w:rPr>
  </w:style>
  <w:style w:type="paragraph" w:customStyle="1" w:styleId="SBHead1">
    <w:name w:val="SB Head1"/>
    <w:next w:val="SBBody"/>
    <w:rsid w:val="00200A70"/>
    <w:pPr>
      <w:keepNext/>
      <w:widowControl w:val="0"/>
      <w:spacing w:before="180" w:after="110" w:line="360" w:lineRule="exact"/>
      <w:jc w:val="center"/>
    </w:pPr>
    <w:rPr>
      <w:rFonts w:ascii="Arial" w:hAnsi="Arial"/>
      <w:b/>
      <w:sz w:val="32"/>
    </w:rPr>
  </w:style>
  <w:style w:type="paragraph" w:customStyle="1" w:styleId="SBBody1">
    <w:name w:val="SB Body1"/>
    <w:rsid w:val="00200A70"/>
    <w:pPr>
      <w:spacing w:after="120" w:line="220" w:lineRule="exact"/>
    </w:pPr>
    <w:rPr>
      <w:rFonts w:ascii="Arial" w:hAnsi="Arial"/>
      <w:sz w:val="18"/>
    </w:rPr>
  </w:style>
  <w:style w:type="table" w:customStyle="1" w:styleId="TableGrid11">
    <w:name w:val="Table Grid11"/>
    <w:basedOn w:val="TableNormal"/>
    <w:next w:val="TableGrid"/>
    <w:uiPriority w:val="59"/>
    <w:rsid w:val="00200A70"/>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CPBodyText1">
    <w:name w:val="XCP Body Text1"/>
    <w:rsid w:val="00200A70"/>
    <w:pPr>
      <w:pBdr>
        <w:top w:val="nil"/>
        <w:left w:val="nil"/>
        <w:bottom w:val="nil"/>
        <w:right w:val="nil"/>
        <w:between w:val="nil"/>
        <w:bar w:val="nil"/>
      </w:pBdr>
      <w:spacing w:before="200"/>
      <w:ind w:left="900"/>
      <w:jc w:val="both"/>
    </w:pPr>
    <w:rPr>
      <w:rFonts w:ascii="Calibri" w:eastAsia="Calibri" w:hAnsi="Calibri" w:cs="Calibri"/>
      <w:color w:val="000000"/>
      <w:u w:color="000000"/>
      <w:bdr w:val="nil"/>
    </w:rPr>
  </w:style>
  <w:style w:type="paragraph" w:customStyle="1" w:styleId="Bullet">
    <w:name w:val="Bullet"/>
    <w:rsid w:val="00200A70"/>
    <w:pPr>
      <w:tabs>
        <w:tab w:val="right" w:pos="1340"/>
        <w:tab w:val="left" w:pos="1440"/>
      </w:tabs>
      <w:spacing w:after="110" w:line="220" w:lineRule="exact"/>
      <w:ind w:left="1440" w:hanging="1440"/>
    </w:pPr>
    <w:rPr>
      <w:spacing w:val="6"/>
    </w:rPr>
  </w:style>
  <w:style w:type="paragraph" w:customStyle="1" w:styleId="Chap">
    <w:name w:val="Chap #"/>
    <w:next w:val="Normal"/>
    <w:rsid w:val="00200A70"/>
    <w:pPr>
      <w:widowControl w:val="0"/>
      <w:spacing w:after="240" w:line="500" w:lineRule="exact"/>
      <w:jc w:val="center"/>
    </w:pPr>
    <w:rPr>
      <w:rFonts w:ascii="Arial" w:hAnsi="Arial"/>
      <w:b/>
      <w:sz w:val="36"/>
      <w:u w:val="single"/>
    </w:rPr>
  </w:style>
  <w:style w:type="paragraph" w:customStyle="1" w:styleId="Unnumbered">
    <w:name w:val="Unnumbered"/>
    <w:rsid w:val="00200A70"/>
    <w:pPr>
      <w:widowControl w:val="0"/>
      <w:spacing w:after="110" w:line="220" w:lineRule="exact"/>
      <w:ind w:left="1440"/>
    </w:pPr>
    <w:rPr>
      <w:spacing w:val="6"/>
    </w:rPr>
  </w:style>
  <w:style w:type="paragraph" w:customStyle="1" w:styleId="NumList">
    <w:name w:val="Num List"/>
    <w:rsid w:val="00200A70"/>
    <w:pPr>
      <w:tabs>
        <w:tab w:val="right" w:pos="1340"/>
        <w:tab w:val="left" w:pos="1440"/>
      </w:tabs>
      <w:spacing w:after="110" w:line="220" w:lineRule="exact"/>
      <w:ind w:left="1440" w:hanging="1440"/>
    </w:pPr>
    <w:rPr>
      <w:spacing w:val="6"/>
    </w:rPr>
  </w:style>
  <w:style w:type="paragraph" w:customStyle="1" w:styleId="Production">
    <w:name w:val="Production"/>
    <w:link w:val="ProductionChar"/>
    <w:rsid w:val="00200A70"/>
    <w:pPr>
      <w:widowControl w:val="0"/>
    </w:pPr>
    <w:rPr>
      <w:b/>
      <w:i/>
      <w:color w:val="0000FF"/>
      <w:sz w:val="24"/>
    </w:rPr>
  </w:style>
  <w:style w:type="character" w:customStyle="1" w:styleId="ProductionChar">
    <w:name w:val="Production Char"/>
    <w:basedOn w:val="DefaultParagraphFont"/>
    <w:link w:val="Production"/>
    <w:rsid w:val="00200A70"/>
    <w:rPr>
      <w:b/>
      <w:i/>
      <w:color w:val="0000FF"/>
      <w:sz w:val="24"/>
    </w:rPr>
  </w:style>
  <w:style w:type="paragraph" w:customStyle="1" w:styleId="TBHead">
    <w:name w:val="TB Head"/>
    <w:next w:val="TBColHead"/>
    <w:rsid w:val="00200A70"/>
    <w:pPr>
      <w:widowControl w:val="0"/>
      <w:pBdr>
        <w:top w:val="single" w:sz="18" w:space="6" w:color="auto"/>
        <w:bottom w:val="single" w:sz="18" w:space="4" w:color="auto"/>
      </w:pBdr>
      <w:tabs>
        <w:tab w:val="center" w:pos="5400"/>
      </w:tabs>
      <w:spacing w:before="280" w:after="80" w:line="280" w:lineRule="exact"/>
      <w:ind w:left="1260"/>
    </w:pPr>
    <w:rPr>
      <w:rFonts w:ascii="Arial" w:hAnsi="Arial"/>
      <w:b/>
      <w:spacing w:val="6"/>
    </w:rPr>
  </w:style>
  <w:style w:type="paragraph" w:customStyle="1" w:styleId="ChapTitle">
    <w:name w:val="Chap Title"/>
    <w:next w:val="Normal"/>
    <w:rsid w:val="00200A70"/>
    <w:pPr>
      <w:widowControl w:val="0"/>
      <w:pBdr>
        <w:bottom w:val="dotted" w:sz="18" w:space="19" w:color="808080"/>
      </w:pBdr>
      <w:spacing w:after="240" w:line="720" w:lineRule="exact"/>
      <w:jc w:val="center"/>
    </w:pPr>
    <w:rPr>
      <w:rFonts w:ascii="Arial Narrow" w:hAnsi="Arial Narrow"/>
      <w:b/>
      <w:spacing w:val="-20"/>
      <w:sz w:val="56"/>
    </w:rPr>
  </w:style>
  <w:style w:type="paragraph" w:customStyle="1" w:styleId="IntroHead">
    <w:name w:val="Intro Head"/>
    <w:next w:val="IntroText"/>
    <w:rsid w:val="00200A70"/>
    <w:pPr>
      <w:widowControl w:val="0"/>
      <w:spacing w:after="80" w:line="220" w:lineRule="exact"/>
      <w:ind w:left="200"/>
    </w:pPr>
    <w:rPr>
      <w:rFonts w:ascii="Georgia" w:hAnsi="Georgia"/>
      <w:b/>
      <w:i/>
    </w:rPr>
  </w:style>
  <w:style w:type="paragraph" w:customStyle="1" w:styleId="IntroText">
    <w:name w:val="Intro Text"/>
    <w:rsid w:val="00200A70"/>
    <w:pPr>
      <w:widowControl w:val="0"/>
      <w:tabs>
        <w:tab w:val="left" w:pos="360"/>
      </w:tabs>
      <w:spacing w:after="80" w:line="220" w:lineRule="exact"/>
      <w:ind w:left="200"/>
    </w:pPr>
    <w:rPr>
      <w:sz w:val="19"/>
    </w:rPr>
  </w:style>
  <w:style w:type="paragraph" w:customStyle="1" w:styleId="IntroLast">
    <w:name w:val="Intro Last"/>
    <w:basedOn w:val="IntroText"/>
    <w:next w:val="Normal"/>
    <w:rsid w:val="00200A70"/>
    <w:pPr>
      <w:pBdr>
        <w:bottom w:val="dotted" w:sz="18" w:space="12" w:color="808080"/>
      </w:pBdr>
      <w:spacing w:after="480"/>
    </w:pPr>
  </w:style>
  <w:style w:type="paragraph" w:customStyle="1" w:styleId="CodeLast">
    <w:name w:val="Code Last"/>
    <w:next w:val="Normal"/>
    <w:rsid w:val="00200A70"/>
    <w:pPr>
      <w:tabs>
        <w:tab w:val="right" w:pos="7700"/>
      </w:tabs>
      <w:spacing w:after="220" w:line="238" w:lineRule="auto"/>
      <w:ind w:left="2333" w:hanging="1195"/>
    </w:pPr>
    <w:rPr>
      <w:rFonts w:ascii="Courier New" w:hAnsi="Courier New"/>
      <w:sz w:val="19"/>
    </w:rPr>
  </w:style>
  <w:style w:type="paragraph" w:customStyle="1" w:styleId="TBLast">
    <w:name w:val="TB Last"/>
    <w:basedOn w:val="TBBody"/>
    <w:next w:val="Normal"/>
    <w:rsid w:val="00200A70"/>
    <w:pPr>
      <w:spacing w:after="440"/>
    </w:pPr>
  </w:style>
  <w:style w:type="paragraph" w:customStyle="1" w:styleId="NumList2">
    <w:name w:val="Num List 2"/>
    <w:basedOn w:val="NumList"/>
    <w:rsid w:val="00200A70"/>
    <w:pPr>
      <w:tabs>
        <w:tab w:val="clear" w:pos="1340"/>
        <w:tab w:val="clear" w:pos="1440"/>
        <w:tab w:val="right" w:pos="1860"/>
        <w:tab w:val="left" w:pos="1920"/>
      </w:tabs>
      <w:ind w:left="1920" w:hanging="1920"/>
    </w:pPr>
  </w:style>
  <w:style w:type="paragraph" w:customStyle="1" w:styleId="NumLast">
    <w:name w:val="Num Last"/>
    <w:basedOn w:val="NumList"/>
    <w:next w:val="Normal"/>
    <w:rsid w:val="00200A70"/>
    <w:pPr>
      <w:spacing w:after="220"/>
    </w:pPr>
  </w:style>
  <w:style w:type="paragraph" w:customStyle="1" w:styleId="Bullet2">
    <w:name w:val="Bullet 2"/>
    <w:basedOn w:val="Bullet"/>
    <w:rsid w:val="00200A70"/>
    <w:pPr>
      <w:tabs>
        <w:tab w:val="clear" w:pos="1340"/>
        <w:tab w:val="clear" w:pos="1440"/>
        <w:tab w:val="right" w:pos="1860"/>
        <w:tab w:val="left" w:pos="1920"/>
      </w:tabs>
      <w:ind w:left="1920" w:hanging="1920"/>
    </w:pPr>
  </w:style>
  <w:style w:type="paragraph" w:customStyle="1" w:styleId="BulletLast">
    <w:name w:val="Bullet Last"/>
    <w:basedOn w:val="Bullet"/>
    <w:next w:val="Normal"/>
    <w:rsid w:val="00200A70"/>
    <w:pPr>
      <w:spacing w:after="220"/>
    </w:pPr>
  </w:style>
  <w:style w:type="paragraph" w:customStyle="1" w:styleId="AuthorQuery">
    <w:name w:val="Author Query"/>
    <w:basedOn w:val="Production"/>
    <w:link w:val="AuthorQueryChar"/>
    <w:rsid w:val="00200A70"/>
    <w:rPr>
      <w:color w:val="FF0000"/>
    </w:rPr>
  </w:style>
  <w:style w:type="character" w:customStyle="1" w:styleId="AuthorQueryChar">
    <w:name w:val="Author Query Char"/>
    <w:basedOn w:val="ProductionChar"/>
    <w:link w:val="AuthorQuery"/>
    <w:rsid w:val="00200A70"/>
    <w:rPr>
      <w:b/>
      <w:i/>
      <w:color w:val="FF0000"/>
      <w:sz w:val="24"/>
    </w:rPr>
  </w:style>
  <w:style w:type="paragraph" w:customStyle="1" w:styleId="Bullet2Last">
    <w:name w:val="Bullet 2 Last"/>
    <w:basedOn w:val="Bullet2"/>
    <w:next w:val="Normal"/>
    <w:rsid w:val="00200A70"/>
    <w:pPr>
      <w:spacing w:after="220"/>
    </w:pPr>
  </w:style>
  <w:style w:type="paragraph" w:customStyle="1" w:styleId="Num2Last">
    <w:name w:val="Num 2 Last"/>
    <w:basedOn w:val="NumList2"/>
    <w:next w:val="Normal"/>
    <w:rsid w:val="00200A70"/>
    <w:pPr>
      <w:spacing w:after="220"/>
    </w:pPr>
  </w:style>
  <w:style w:type="paragraph" w:customStyle="1" w:styleId="SBCode">
    <w:name w:val="SB Code"/>
    <w:basedOn w:val="SBBody"/>
    <w:rsid w:val="00200A70"/>
    <w:pPr>
      <w:spacing w:after="0"/>
    </w:pPr>
    <w:rPr>
      <w:rFonts w:ascii="Courier New" w:hAnsi="Courier New"/>
      <w:sz w:val="19"/>
    </w:rPr>
  </w:style>
  <w:style w:type="paragraph" w:customStyle="1" w:styleId="Unnumbered-Last">
    <w:name w:val="Unnumbered-Last"/>
    <w:basedOn w:val="Unnumbered"/>
    <w:next w:val="Normal"/>
    <w:rsid w:val="00200A70"/>
    <w:pPr>
      <w:spacing w:after="220"/>
    </w:pPr>
  </w:style>
  <w:style w:type="paragraph" w:customStyle="1" w:styleId="SBIndent">
    <w:name w:val="SB Indent"/>
    <w:basedOn w:val="SBBody"/>
    <w:rsid w:val="00200A70"/>
    <w:pPr>
      <w:tabs>
        <w:tab w:val="left" w:pos="216"/>
        <w:tab w:val="left" w:pos="432"/>
      </w:tabs>
      <w:ind w:left="432" w:hanging="432"/>
    </w:pPr>
  </w:style>
  <w:style w:type="paragraph" w:customStyle="1" w:styleId="Code-Indent">
    <w:name w:val="Code-Indent"/>
    <w:rsid w:val="00200A70"/>
    <w:pPr>
      <w:tabs>
        <w:tab w:val="right" w:pos="7700"/>
      </w:tabs>
      <w:spacing w:line="238" w:lineRule="auto"/>
      <w:ind w:left="1960" w:hanging="360"/>
    </w:pPr>
    <w:rPr>
      <w:rFonts w:ascii="Courier New" w:hAnsi="Courier New"/>
      <w:sz w:val="19"/>
    </w:rPr>
  </w:style>
  <w:style w:type="paragraph" w:customStyle="1" w:styleId="Code-IndentLast">
    <w:name w:val="Code-Indent Last"/>
    <w:basedOn w:val="Code-Indent"/>
    <w:next w:val="Normal"/>
    <w:rsid w:val="00200A70"/>
    <w:pPr>
      <w:spacing w:after="220"/>
    </w:pPr>
  </w:style>
  <w:style w:type="paragraph" w:customStyle="1" w:styleId="InThisPart">
    <w:name w:val="In This Part"/>
    <w:basedOn w:val="Heading2"/>
    <w:next w:val="Normal"/>
    <w:rsid w:val="00200A70"/>
    <w:pPr>
      <w:widowControl w:val="0"/>
      <w:numPr>
        <w:ilvl w:val="0"/>
        <w:numId w:val="0"/>
      </w:numPr>
      <w:spacing w:after="190" w:line="400" w:lineRule="exact"/>
      <w:ind w:left="1728"/>
      <w:outlineLvl w:val="9"/>
    </w:pPr>
    <w:rPr>
      <w:rFonts w:ascii="Georgia" w:hAnsi="Georgia" w:cs="Times New Roman"/>
      <w:bCs w:val="0"/>
      <w:iCs w:val="0"/>
      <w:sz w:val="30"/>
      <w:szCs w:val="20"/>
    </w:rPr>
  </w:style>
  <w:style w:type="paragraph" w:customStyle="1" w:styleId="Part">
    <w:name w:val="Part #"/>
    <w:basedOn w:val="Chap"/>
    <w:next w:val="PartTitle"/>
    <w:rsid w:val="00200A70"/>
  </w:style>
  <w:style w:type="paragraph" w:customStyle="1" w:styleId="PartTitle">
    <w:name w:val="Part Title"/>
    <w:basedOn w:val="ChapTitle"/>
    <w:next w:val="InThisPart"/>
    <w:rsid w:val="00200A70"/>
  </w:style>
  <w:style w:type="paragraph" w:customStyle="1" w:styleId="EditorQuery">
    <w:name w:val="Editor Query"/>
    <w:basedOn w:val="AuthorQuery"/>
    <w:rsid w:val="00200A70"/>
    <w:rPr>
      <w:color w:val="FF00FF"/>
    </w:rPr>
  </w:style>
  <w:style w:type="paragraph" w:customStyle="1" w:styleId="MarginArtDirective">
    <w:name w:val="Margin Art Directive"/>
    <w:basedOn w:val="Production"/>
    <w:next w:val="Normal"/>
    <w:rsid w:val="00200A70"/>
    <w:rPr>
      <w:color w:val="800080"/>
    </w:rPr>
  </w:style>
  <w:style w:type="paragraph" w:customStyle="1" w:styleId="ChapTitlewointro">
    <w:name w:val="Chap Title w/o intro"/>
    <w:basedOn w:val="ChapTitle"/>
    <w:rsid w:val="00200A70"/>
    <w:pPr>
      <w:spacing w:after="520"/>
    </w:pPr>
  </w:style>
  <w:style w:type="paragraph" w:customStyle="1" w:styleId="Figure">
    <w:name w:val="Figure"/>
    <w:next w:val="Normal"/>
    <w:rsid w:val="00200A70"/>
    <w:pPr>
      <w:spacing w:before="60" w:after="120"/>
      <w:ind w:left="1022"/>
    </w:pPr>
  </w:style>
  <w:style w:type="paragraph" w:customStyle="1" w:styleId="ChapTitleworule">
    <w:name w:val="Chap Title w/o rule"/>
    <w:basedOn w:val="ChapTitle"/>
    <w:rsid w:val="00200A70"/>
    <w:pPr>
      <w:pBdr>
        <w:bottom w:val="none" w:sz="0" w:space="0" w:color="auto"/>
      </w:pBdr>
    </w:pPr>
  </w:style>
  <w:style w:type="paragraph" w:styleId="Quote">
    <w:name w:val="Quote"/>
    <w:basedOn w:val="Normal"/>
    <w:link w:val="QuoteChar"/>
    <w:qFormat/>
    <w:rsid w:val="00200A70"/>
    <w:pPr>
      <w:spacing w:after="110" w:line="220" w:lineRule="exact"/>
      <w:ind w:left="1440"/>
    </w:pPr>
    <w:rPr>
      <w:rFonts w:ascii="Times New Roman" w:hAnsi="Times New Roman"/>
      <w:i/>
      <w:spacing w:val="6"/>
      <w:szCs w:val="20"/>
    </w:rPr>
  </w:style>
  <w:style w:type="character" w:customStyle="1" w:styleId="QuoteChar">
    <w:name w:val="Quote Char"/>
    <w:basedOn w:val="DefaultParagraphFont"/>
    <w:link w:val="Quote"/>
    <w:rsid w:val="00200A70"/>
    <w:rPr>
      <w:i/>
      <w:spacing w:val="6"/>
    </w:rPr>
  </w:style>
  <w:style w:type="character" w:customStyle="1" w:styleId="QuoteChar1">
    <w:name w:val="Quote Char1"/>
    <w:basedOn w:val="DefaultParagraphFont"/>
    <w:rsid w:val="00200A70"/>
    <w:rPr>
      <w:i/>
      <w:spacing w:val="6"/>
    </w:rPr>
  </w:style>
  <w:style w:type="paragraph" w:customStyle="1" w:styleId="QuoteLast">
    <w:name w:val="Quote Last"/>
    <w:basedOn w:val="Quote"/>
    <w:next w:val="Normal"/>
    <w:rsid w:val="00200A70"/>
    <w:pPr>
      <w:spacing w:after="220"/>
      <w:jc w:val="right"/>
    </w:pPr>
  </w:style>
  <w:style w:type="paragraph" w:customStyle="1" w:styleId="ListingHead">
    <w:name w:val="Listing Head"/>
    <w:rsid w:val="00200A70"/>
    <w:pPr>
      <w:pBdr>
        <w:bottom w:val="single" w:sz="4" w:space="2" w:color="auto"/>
      </w:pBdr>
      <w:tabs>
        <w:tab w:val="left" w:pos="2434"/>
      </w:tabs>
      <w:spacing w:before="120" w:after="80" w:line="280" w:lineRule="exact"/>
      <w:ind w:left="1022"/>
    </w:pPr>
    <w:rPr>
      <w:rFonts w:ascii="Arial Narrow Bold" w:hAnsi="Arial Narrow Bold"/>
      <w:spacing w:val="4"/>
      <w:sz w:val="22"/>
    </w:rPr>
  </w:style>
  <w:style w:type="paragraph" w:customStyle="1" w:styleId="Bylinewointro">
    <w:name w:val="Byline w/o intro"/>
    <w:rsid w:val="00200A70"/>
    <w:pPr>
      <w:pBdr>
        <w:bottom w:val="dotted" w:sz="18" w:space="12" w:color="808080"/>
      </w:pBdr>
      <w:spacing w:before="120" w:after="500"/>
      <w:ind w:left="180"/>
      <w:jc w:val="center"/>
    </w:pPr>
    <w:rPr>
      <w:rFonts w:ascii="Arial" w:hAnsi="Arial"/>
      <w:i/>
      <w:spacing w:val="-2"/>
      <w:sz w:val="15"/>
    </w:rPr>
  </w:style>
  <w:style w:type="paragraph" w:customStyle="1" w:styleId="MiniTBColHead">
    <w:name w:val="Mini TB Col Head"/>
    <w:basedOn w:val="Normal"/>
    <w:next w:val="MiniTBBody"/>
    <w:rsid w:val="00200A70"/>
    <w:pPr>
      <w:spacing w:after="110" w:line="220" w:lineRule="exact"/>
      <w:ind w:left="4000" w:hanging="2978"/>
    </w:pPr>
    <w:rPr>
      <w:rFonts w:ascii="Times New Roman" w:hAnsi="Times New Roman"/>
      <w:b/>
      <w:i/>
      <w:spacing w:val="6"/>
      <w:szCs w:val="20"/>
    </w:rPr>
  </w:style>
  <w:style w:type="paragraph" w:customStyle="1" w:styleId="MiniTBBody">
    <w:name w:val="Mini TB Body"/>
    <w:basedOn w:val="Normal"/>
    <w:rsid w:val="00200A70"/>
    <w:pPr>
      <w:tabs>
        <w:tab w:val="left" w:pos="4000"/>
      </w:tabs>
      <w:spacing w:line="220" w:lineRule="exact"/>
      <w:ind w:left="4000" w:hanging="2978"/>
    </w:pPr>
    <w:rPr>
      <w:rFonts w:ascii="Times New Roman" w:hAnsi="Times New Roman"/>
      <w:spacing w:val="6"/>
      <w:szCs w:val="20"/>
    </w:rPr>
  </w:style>
  <w:style w:type="paragraph" w:customStyle="1" w:styleId="MiniTBLast">
    <w:name w:val="Mini TB Last"/>
    <w:basedOn w:val="MiniTBBody"/>
    <w:rsid w:val="00200A70"/>
    <w:pPr>
      <w:spacing w:after="220"/>
    </w:pPr>
  </w:style>
  <w:style w:type="paragraph" w:customStyle="1" w:styleId="PhotoCredit">
    <w:name w:val="Photo Credit"/>
    <w:next w:val="Normal"/>
    <w:rsid w:val="00200A70"/>
    <w:pPr>
      <w:spacing w:after="80" w:line="160" w:lineRule="exact"/>
    </w:pPr>
    <w:rPr>
      <w:i/>
      <w:sz w:val="16"/>
    </w:rPr>
  </w:style>
  <w:style w:type="paragraph" w:customStyle="1" w:styleId="Byline">
    <w:name w:val="Byline"/>
    <w:rsid w:val="00200A70"/>
    <w:pPr>
      <w:pBdr>
        <w:bottom w:val="dotted" w:sz="18" w:space="20" w:color="808080"/>
      </w:pBdr>
      <w:spacing w:before="120" w:after="220" w:line="200" w:lineRule="exact"/>
      <w:jc w:val="center"/>
    </w:pPr>
    <w:rPr>
      <w:rFonts w:ascii="Arial" w:hAnsi="Arial"/>
      <w:sz w:val="16"/>
    </w:rPr>
  </w:style>
  <w:style w:type="paragraph" w:customStyle="1" w:styleId="Code80">
    <w:name w:val="Code80"/>
    <w:rsid w:val="00200A70"/>
    <w:pPr>
      <w:widowControl w:val="0"/>
      <w:tabs>
        <w:tab w:val="right" w:pos="7700"/>
      </w:tabs>
      <w:spacing w:line="269" w:lineRule="auto"/>
      <w:ind w:left="2333" w:hanging="1195"/>
    </w:pPr>
    <w:rPr>
      <w:rFonts w:ascii="Courier New" w:hAnsi="Courier New"/>
      <w:w w:val="86"/>
      <w:sz w:val="16"/>
    </w:rPr>
  </w:style>
  <w:style w:type="paragraph" w:customStyle="1" w:styleId="Code80Last">
    <w:name w:val="Code80 Last"/>
    <w:basedOn w:val="Code80"/>
    <w:next w:val="Normal"/>
    <w:rsid w:val="00200A70"/>
    <w:pPr>
      <w:spacing w:after="220"/>
    </w:pPr>
  </w:style>
  <w:style w:type="paragraph" w:customStyle="1" w:styleId="Code80-Indent">
    <w:name w:val="Code80-Indent"/>
    <w:basedOn w:val="Code80"/>
    <w:rsid w:val="00200A70"/>
    <w:pPr>
      <w:ind w:left="2520" w:hanging="920"/>
    </w:pPr>
  </w:style>
  <w:style w:type="paragraph" w:customStyle="1" w:styleId="Code80-IndentLast">
    <w:name w:val="Code80-Indent Last"/>
    <w:basedOn w:val="Code80-Indent"/>
    <w:next w:val="Normal"/>
    <w:rsid w:val="00200A70"/>
    <w:pPr>
      <w:spacing w:after="220"/>
    </w:pPr>
  </w:style>
  <w:style w:type="paragraph" w:customStyle="1" w:styleId="ChapterTitlewointro">
    <w:name w:val="Chapter Title w/o intro"/>
    <w:basedOn w:val="ChapTitle"/>
    <w:rsid w:val="00200A70"/>
    <w:pPr>
      <w:spacing w:after="480"/>
    </w:pPr>
  </w:style>
  <w:style w:type="paragraph" w:customStyle="1" w:styleId="TBLastwSource">
    <w:name w:val="TB Last w/Source"/>
    <w:basedOn w:val="TBLast"/>
    <w:rsid w:val="00200A70"/>
    <w:pPr>
      <w:spacing w:after="100"/>
    </w:pPr>
  </w:style>
  <w:style w:type="paragraph" w:customStyle="1" w:styleId="TBSource">
    <w:name w:val="TB Source"/>
    <w:rsid w:val="00200A70"/>
    <w:pPr>
      <w:spacing w:after="360" w:line="220" w:lineRule="exact"/>
      <w:ind w:left="1440" w:right="240"/>
    </w:pPr>
    <w:rPr>
      <w:rFonts w:ascii="Arial" w:hAnsi="Arial"/>
      <w:i/>
      <w:sz w:val="15"/>
    </w:rPr>
  </w:style>
  <w:style w:type="paragraph" w:customStyle="1" w:styleId="PartNormal">
    <w:name w:val="Part Normal"/>
    <w:basedOn w:val="Normal"/>
    <w:rsid w:val="00200A70"/>
    <w:pPr>
      <w:spacing w:after="220" w:line="220" w:lineRule="exact"/>
      <w:ind w:left="1022" w:right="1742"/>
    </w:pPr>
    <w:rPr>
      <w:rFonts w:ascii="Times New Roman" w:hAnsi="Times New Roman"/>
      <w:spacing w:val="6"/>
      <w:szCs w:val="20"/>
    </w:rPr>
  </w:style>
  <w:style w:type="paragraph" w:customStyle="1" w:styleId="PartBullet">
    <w:name w:val="Part Bullet"/>
    <w:basedOn w:val="Bullet"/>
    <w:rsid w:val="00200A70"/>
    <w:pPr>
      <w:tabs>
        <w:tab w:val="clear" w:pos="1340"/>
        <w:tab w:val="clear" w:pos="1440"/>
        <w:tab w:val="right" w:pos="1570"/>
        <w:tab w:val="left" w:pos="1714"/>
      </w:tabs>
      <w:ind w:left="1714" w:hanging="1714"/>
    </w:pPr>
  </w:style>
  <w:style w:type="paragraph" w:customStyle="1" w:styleId="PartBulletLast">
    <w:name w:val="Part Bullet Last"/>
    <w:basedOn w:val="PartBullet"/>
    <w:rsid w:val="00200A70"/>
    <w:pPr>
      <w:spacing w:after="220"/>
    </w:pPr>
  </w:style>
  <w:style w:type="paragraph" w:customStyle="1" w:styleId="Bylinewithoutintro">
    <w:name w:val="Byline without intro"/>
    <w:basedOn w:val="Byline"/>
    <w:next w:val="Normal"/>
    <w:rsid w:val="00200A70"/>
    <w:pPr>
      <w:pBdr>
        <w:bottom w:val="dotted" w:sz="18" w:space="4" w:color="auto"/>
      </w:pBdr>
    </w:pPr>
  </w:style>
  <w:style w:type="paragraph" w:customStyle="1" w:styleId="ActivitiesHead">
    <w:name w:val="Activities Head"/>
    <w:basedOn w:val="Normal"/>
    <w:rsid w:val="00200A70"/>
    <w:pPr>
      <w:spacing w:before="60" w:after="60" w:line="230" w:lineRule="exact"/>
      <w:ind w:left="1022"/>
    </w:pPr>
    <w:rPr>
      <w:rFonts w:ascii="Times New Roman" w:hAnsi="Times New Roman"/>
      <w:b/>
      <w:spacing w:val="6"/>
      <w:sz w:val="21"/>
      <w:szCs w:val="20"/>
    </w:rPr>
  </w:style>
  <w:style w:type="paragraph" w:customStyle="1" w:styleId="Caption-Under">
    <w:name w:val="Caption-Under"/>
    <w:rsid w:val="00200A70"/>
    <w:pPr>
      <w:spacing w:line="220" w:lineRule="exact"/>
      <w:ind w:left="1022"/>
    </w:pPr>
    <w:rPr>
      <w:rFonts w:ascii="Arial" w:hAnsi="Arial"/>
      <w:sz w:val="18"/>
    </w:rPr>
  </w:style>
  <w:style w:type="paragraph" w:customStyle="1" w:styleId="SBCode80">
    <w:name w:val="SB Code 80"/>
    <w:basedOn w:val="Code80"/>
    <w:rsid w:val="00200A70"/>
    <w:pPr>
      <w:ind w:left="780" w:hanging="780"/>
    </w:pPr>
  </w:style>
  <w:style w:type="paragraph" w:customStyle="1" w:styleId="SBCode80Indent">
    <w:name w:val="SB Code 80 Indent"/>
    <w:basedOn w:val="SBCode80"/>
    <w:rsid w:val="00200A70"/>
    <w:pPr>
      <w:ind w:left="1200"/>
    </w:pPr>
  </w:style>
  <w:style w:type="paragraph" w:customStyle="1" w:styleId="SBCode80Last">
    <w:name w:val="SB Code 80 Last"/>
    <w:basedOn w:val="SBCode80"/>
    <w:rsid w:val="00200A70"/>
    <w:pPr>
      <w:spacing w:after="110"/>
    </w:pPr>
  </w:style>
  <w:style w:type="paragraph" w:customStyle="1" w:styleId="SBCode80IndentLast">
    <w:name w:val="SB Code 80 Indent Last"/>
    <w:basedOn w:val="SBCode80Indent"/>
    <w:rsid w:val="00200A70"/>
    <w:pPr>
      <w:spacing w:after="110"/>
    </w:pPr>
  </w:style>
  <w:style w:type="paragraph" w:customStyle="1" w:styleId="CBBulletwArrowLast">
    <w:name w:val="CB Bullet w/Arrow Last"/>
    <w:basedOn w:val="Normal"/>
    <w:rsid w:val="00200A70"/>
    <w:pPr>
      <w:tabs>
        <w:tab w:val="left" w:pos="1340"/>
        <w:tab w:val="left" w:pos="1860"/>
      </w:tabs>
      <w:spacing w:after="220" w:line="220" w:lineRule="exact"/>
      <w:ind w:left="1860" w:hanging="1860"/>
    </w:pPr>
    <w:rPr>
      <w:rFonts w:ascii="Times New Roman" w:hAnsi="Times New Roman"/>
      <w:spacing w:val="6"/>
      <w:sz w:val="19"/>
      <w:szCs w:val="20"/>
    </w:rPr>
  </w:style>
  <w:style w:type="paragraph" w:customStyle="1" w:styleId="CBBulletwArrow">
    <w:name w:val="CB Bullet w/Arrow"/>
    <w:basedOn w:val="Normal"/>
    <w:rsid w:val="00200A70"/>
    <w:pPr>
      <w:tabs>
        <w:tab w:val="left" w:pos="1340"/>
        <w:tab w:val="left" w:pos="1860"/>
      </w:tabs>
      <w:spacing w:after="110" w:line="220" w:lineRule="exact"/>
      <w:ind w:left="1860" w:hanging="1860"/>
    </w:pPr>
    <w:rPr>
      <w:rFonts w:ascii="Times New Roman" w:hAnsi="Times New Roman"/>
      <w:spacing w:val="6"/>
      <w:sz w:val="19"/>
      <w:szCs w:val="20"/>
    </w:rPr>
  </w:style>
  <w:style w:type="paragraph" w:customStyle="1" w:styleId="CodeLastwrule">
    <w:name w:val="Code Last w/rule"/>
    <w:basedOn w:val="CodeLast"/>
    <w:rsid w:val="00200A70"/>
    <w:pPr>
      <w:pBdr>
        <w:bottom w:val="single" w:sz="4" w:space="1" w:color="auto"/>
      </w:pBdr>
    </w:pPr>
  </w:style>
  <w:style w:type="paragraph" w:customStyle="1" w:styleId="Code80Lastwrule">
    <w:name w:val="Code80 Last w/rule"/>
    <w:basedOn w:val="Code80Last"/>
    <w:rsid w:val="00200A70"/>
    <w:pPr>
      <w:pBdr>
        <w:bottom w:val="single" w:sz="4" w:space="1" w:color="auto"/>
      </w:pBdr>
    </w:pPr>
  </w:style>
  <w:style w:type="paragraph" w:customStyle="1" w:styleId="CBBulletw">
    <w:name w:val="CB Bullet w/#"/>
    <w:basedOn w:val="CBBulletwArrow"/>
    <w:rsid w:val="00200A70"/>
    <w:pPr>
      <w:tabs>
        <w:tab w:val="clear" w:pos="1340"/>
        <w:tab w:val="clear" w:pos="1860"/>
        <w:tab w:val="left" w:pos="1001"/>
        <w:tab w:val="left" w:pos="1716"/>
      </w:tabs>
      <w:ind w:left="1714" w:hanging="1714"/>
    </w:pPr>
  </w:style>
  <w:style w:type="paragraph" w:customStyle="1" w:styleId="CBBullet2w">
    <w:name w:val="CB Bullet 2 w/#"/>
    <w:basedOn w:val="CBBulletw"/>
    <w:rsid w:val="00200A70"/>
    <w:pPr>
      <w:tabs>
        <w:tab w:val="clear" w:pos="1001"/>
        <w:tab w:val="left" w:pos="2145"/>
      </w:tabs>
      <w:ind w:left="2145" w:hanging="2145"/>
    </w:pPr>
  </w:style>
  <w:style w:type="paragraph" w:customStyle="1" w:styleId="CBBulletwLast">
    <w:name w:val="CB Bullet w/# Last"/>
    <w:basedOn w:val="CBBulletw"/>
    <w:rsid w:val="00200A70"/>
    <w:pPr>
      <w:spacing w:after="220"/>
    </w:pPr>
  </w:style>
  <w:style w:type="paragraph" w:customStyle="1" w:styleId="CBBullet2wLast">
    <w:name w:val="CB Bullet 2 w/# Last"/>
    <w:basedOn w:val="CBBullet2w"/>
    <w:rsid w:val="00200A70"/>
    <w:pPr>
      <w:spacing w:after="220"/>
      <w:ind w:left="2146" w:hanging="2146"/>
    </w:pPr>
  </w:style>
  <w:style w:type="paragraph" w:customStyle="1" w:styleId="Code-Indentpre-List">
    <w:name w:val="Code-Indent pre-List"/>
    <w:basedOn w:val="Code-Indent"/>
    <w:rsid w:val="00200A70"/>
    <w:pPr>
      <w:spacing w:after="110"/>
    </w:pPr>
  </w:style>
  <w:style w:type="paragraph" w:customStyle="1" w:styleId="Code80-Indentpre-List">
    <w:name w:val="Code80-Indent pre-List"/>
    <w:basedOn w:val="Code80-Indent"/>
    <w:rsid w:val="00200A70"/>
    <w:pPr>
      <w:spacing w:after="110"/>
      <w:ind w:hanging="922"/>
    </w:pPr>
  </w:style>
  <w:style w:type="paragraph" w:customStyle="1" w:styleId="SBCodelast">
    <w:name w:val="SB Code last"/>
    <w:basedOn w:val="SBCode"/>
    <w:rsid w:val="00200A70"/>
    <w:pPr>
      <w:spacing w:after="110"/>
    </w:pPr>
  </w:style>
  <w:style w:type="paragraph" w:styleId="Bibliography">
    <w:name w:val="Bibliography"/>
    <w:basedOn w:val="Normal"/>
    <w:next w:val="Normal"/>
    <w:uiPriority w:val="37"/>
    <w:unhideWhenUsed/>
    <w:rsid w:val="00200A70"/>
    <w:pPr>
      <w:spacing w:after="220" w:line="220" w:lineRule="exact"/>
      <w:ind w:left="1022"/>
    </w:pPr>
    <w:rPr>
      <w:rFonts w:ascii="Times New Roman" w:hAnsi="Times New Roman"/>
      <w:spacing w:val="6"/>
      <w:szCs w:val="20"/>
    </w:rPr>
  </w:style>
  <w:style w:type="paragraph" w:customStyle="1" w:styleId="AuthorQueryNotItalic">
    <w:name w:val="Author Query + Not Italic"/>
    <w:basedOn w:val="AuthorQuery"/>
    <w:link w:val="AuthorQueryNotItalicChar"/>
    <w:rsid w:val="00200A70"/>
    <w:rPr>
      <w:rFonts w:eastAsia="Times"/>
      <w:i w:val="0"/>
    </w:rPr>
  </w:style>
  <w:style w:type="character" w:customStyle="1" w:styleId="AuthorQueryNotItalicChar">
    <w:name w:val="Author Query + Not Italic Char"/>
    <w:basedOn w:val="AuthorQueryChar"/>
    <w:link w:val="AuthorQueryNotItalic"/>
    <w:rsid w:val="00200A70"/>
    <w:rPr>
      <w:rFonts w:eastAsia="Times"/>
      <w:b/>
      <w:i w:val="0"/>
      <w:color w:val="FF0000"/>
      <w:sz w:val="24"/>
    </w:rPr>
  </w:style>
  <w:style w:type="character" w:customStyle="1" w:styleId="CodeChar">
    <w:name w:val="Code Char"/>
    <w:basedOn w:val="DefaultParagraphFont"/>
    <w:rsid w:val="00200A70"/>
    <w:rPr>
      <w:rFonts w:ascii="Courier New" w:eastAsia="Times New Roman" w:hAnsi="Courier New" w:cs="Times New Roman"/>
      <w:sz w:val="19"/>
      <w:szCs w:val="20"/>
    </w:rPr>
  </w:style>
  <w:style w:type="character" w:styleId="UnresolvedMention">
    <w:name w:val="Unresolved Mention"/>
    <w:basedOn w:val="DefaultParagraphFont"/>
    <w:uiPriority w:val="99"/>
    <w:semiHidden/>
    <w:unhideWhenUsed/>
    <w:rsid w:val="00200A70"/>
    <w:rPr>
      <w:color w:val="605E5C"/>
      <w:shd w:val="clear" w:color="auto" w:fill="E1DFDD"/>
    </w:rPr>
  </w:style>
  <w:style w:type="character" w:customStyle="1" w:styleId="FootnoteTextChar4">
    <w:name w:val="Footnote Text Char4"/>
    <w:basedOn w:val="DefaultParagraphFont"/>
    <w:uiPriority w:val="99"/>
    <w:rsid w:val="00200A70"/>
    <w:rPr>
      <w:rFonts w:ascii="Verdana" w:hAnsi="Verdana"/>
    </w:rPr>
  </w:style>
  <w:style w:type="character" w:customStyle="1" w:styleId="Heading4Char1">
    <w:name w:val="Heading 4 Char1"/>
    <w:basedOn w:val="DefaultParagraphFont"/>
    <w:rsid w:val="00200A70"/>
    <w:rPr>
      <w:rFonts w:ascii="Arial" w:hAnsi="Arial"/>
      <w:b/>
      <w:bCs/>
      <w:sz w:val="24"/>
      <w:szCs w:val="28"/>
    </w:rPr>
  </w:style>
  <w:style w:type="character" w:customStyle="1" w:styleId="Heading5Char1">
    <w:name w:val="Heading 5 Char1"/>
    <w:basedOn w:val="DefaultParagraphFont"/>
    <w:rsid w:val="00200A70"/>
    <w:rPr>
      <w:rFonts w:ascii="Verdana" w:hAnsi="Verdana"/>
      <w:b/>
      <w:bCs/>
      <w:i/>
      <w:iCs/>
      <w:sz w:val="26"/>
      <w:szCs w:val="26"/>
    </w:rPr>
  </w:style>
  <w:style w:type="character" w:customStyle="1" w:styleId="CommentSubjectChar1">
    <w:name w:val="Comment Subject Char1"/>
    <w:basedOn w:val="CommentTextChar"/>
    <w:semiHidden/>
    <w:rsid w:val="00200A70"/>
    <w:rPr>
      <w:rFonts w:ascii="Verdana" w:hAnsi="Verdana"/>
      <w:b/>
      <w:bCs/>
    </w:rPr>
  </w:style>
  <w:style w:type="character" w:customStyle="1" w:styleId="DocumentMapChar1">
    <w:name w:val="Document Map Char1"/>
    <w:basedOn w:val="DefaultParagraphFont"/>
    <w:semiHidden/>
    <w:rsid w:val="00200A70"/>
    <w:rPr>
      <w:rFonts w:ascii="Tahoma" w:hAnsi="Tahoma" w:cs="Tahoma"/>
      <w:shd w:val="clear" w:color="auto" w:fill="000080"/>
    </w:rPr>
  </w:style>
  <w:style w:type="character" w:customStyle="1" w:styleId="EndnoteTextChar1">
    <w:name w:val="Endnote Text Char1"/>
    <w:basedOn w:val="DefaultParagraphFont"/>
    <w:semiHidden/>
    <w:rsid w:val="00200A70"/>
    <w:rPr>
      <w:rFonts w:ascii="Verdana" w:hAnsi="Verdana"/>
    </w:rPr>
  </w:style>
  <w:style w:type="character" w:customStyle="1" w:styleId="Heading4Char2">
    <w:name w:val="Heading 4 Char2"/>
    <w:basedOn w:val="DefaultParagraphFont"/>
    <w:rsid w:val="00200A70"/>
    <w:rPr>
      <w:rFonts w:ascii="Arial" w:hAnsi="Arial"/>
      <w:b/>
      <w:bCs/>
      <w:sz w:val="24"/>
      <w:szCs w:val="28"/>
    </w:rPr>
  </w:style>
  <w:style w:type="character" w:customStyle="1" w:styleId="Heading5Char2">
    <w:name w:val="Heading 5 Char2"/>
    <w:basedOn w:val="DefaultParagraphFont"/>
    <w:rsid w:val="00200A70"/>
    <w:rPr>
      <w:rFonts w:ascii="Verdana" w:hAnsi="Verdana"/>
      <w:b/>
      <w:bCs/>
      <w:i/>
      <w:iCs/>
      <w:sz w:val="26"/>
      <w:szCs w:val="26"/>
    </w:rPr>
  </w:style>
  <w:style w:type="character" w:customStyle="1" w:styleId="Heading6Char1">
    <w:name w:val="Heading 6 Char1"/>
    <w:basedOn w:val="DefaultParagraphFont"/>
    <w:rsid w:val="00200A70"/>
    <w:rPr>
      <w:b/>
      <w:bCs/>
      <w:sz w:val="22"/>
      <w:szCs w:val="22"/>
    </w:rPr>
  </w:style>
  <w:style w:type="character" w:customStyle="1" w:styleId="Heading7Char1">
    <w:name w:val="Heading 7 Char1"/>
    <w:basedOn w:val="DefaultParagraphFont"/>
    <w:rsid w:val="00200A70"/>
    <w:rPr>
      <w:rFonts w:ascii="Arial" w:hAnsi="Arial"/>
      <w:sz w:val="24"/>
    </w:rPr>
  </w:style>
  <w:style w:type="character" w:customStyle="1" w:styleId="Heading8Char1">
    <w:name w:val="Heading 8 Char1"/>
    <w:basedOn w:val="DefaultParagraphFont"/>
    <w:rsid w:val="00200A70"/>
    <w:rPr>
      <w:rFonts w:ascii="Arial" w:hAnsi="Arial"/>
      <w:i/>
      <w:sz w:val="24"/>
    </w:rPr>
  </w:style>
  <w:style w:type="character" w:customStyle="1" w:styleId="Heading9Char1">
    <w:name w:val="Heading 9 Char1"/>
    <w:basedOn w:val="DefaultParagraphFont"/>
    <w:rsid w:val="00200A70"/>
    <w:rPr>
      <w:rFonts w:ascii="Arial" w:hAnsi="Arial"/>
      <w:i/>
      <w:sz w:val="18"/>
    </w:rPr>
  </w:style>
  <w:style w:type="character" w:customStyle="1" w:styleId="CommentSubjectChar2">
    <w:name w:val="Comment Subject Char2"/>
    <w:basedOn w:val="CommentTextChar"/>
    <w:semiHidden/>
    <w:rsid w:val="00200A70"/>
    <w:rPr>
      <w:rFonts w:ascii="Verdana" w:hAnsi="Verdana"/>
      <w:b/>
      <w:bCs/>
    </w:rPr>
  </w:style>
  <w:style w:type="character" w:customStyle="1" w:styleId="DocumentMapChar2">
    <w:name w:val="Document Map Char2"/>
    <w:basedOn w:val="DefaultParagraphFont"/>
    <w:semiHidden/>
    <w:rsid w:val="00200A70"/>
    <w:rPr>
      <w:rFonts w:ascii="Tahoma" w:hAnsi="Tahoma" w:cs="Tahoma"/>
      <w:shd w:val="clear" w:color="auto" w:fill="000080"/>
    </w:rPr>
  </w:style>
  <w:style w:type="character" w:customStyle="1" w:styleId="EndnoteTextChar2">
    <w:name w:val="Endnote Text Char2"/>
    <w:basedOn w:val="DefaultParagraphFont"/>
    <w:semiHidden/>
    <w:rsid w:val="00200A70"/>
    <w:rPr>
      <w:rFonts w:ascii="Verdana" w:hAnsi="Verdana"/>
    </w:rPr>
  </w:style>
  <w:style w:type="character" w:customStyle="1" w:styleId="Heading4Char3">
    <w:name w:val="Heading 4 Char3"/>
    <w:basedOn w:val="DefaultParagraphFont"/>
    <w:rsid w:val="00200A70"/>
    <w:rPr>
      <w:rFonts w:ascii="Arial" w:hAnsi="Arial"/>
      <w:b/>
      <w:bCs/>
      <w:sz w:val="24"/>
      <w:szCs w:val="28"/>
    </w:rPr>
  </w:style>
  <w:style w:type="character" w:customStyle="1" w:styleId="Heading5Char3">
    <w:name w:val="Heading 5 Char3"/>
    <w:basedOn w:val="DefaultParagraphFont"/>
    <w:rsid w:val="00200A70"/>
    <w:rPr>
      <w:rFonts w:ascii="Verdana" w:hAnsi="Verdana"/>
      <w:b/>
      <w:bCs/>
      <w:i/>
      <w:iCs/>
      <w:sz w:val="26"/>
      <w:szCs w:val="26"/>
    </w:rPr>
  </w:style>
  <w:style w:type="character" w:customStyle="1" w:styleId="Heading6Char2">
    <w:name w:val="Heading 6 Char2"/>
    <w:basedOn w:val="DefaultParagraphFont"/>
    <w:rsid w:val="00200A70"/>
    <w:rPr>
      <w:b/>
      <w:bCs/>
      <w:sz w:val="22"/>
      <w:szCs w:val="22"/>
    </w:rPr>
  </w:style>
  <w:style w:type="character" w:customStyle="1" w:styleId="Heading7Char2">
    <w:name w:val="Heading 7 Char2"/>
    <w:basedOn w:val="DefaultParagraphFont"/>
    <w:rsid w:val="00200A70"/>
    <w:rPr>
      <w:rFonts w:ascii="Arial" w:hAnsi="Arial"/>
      <w:sz w:val="24"/>
    </w:rPr>
  </w:style>
  <w:style w:type="character" w:customStyle="1" w:styleId="Heading8Char2">
    <w:name w:val="Heading 8 Char2"/>
    <w:basedOn w:val="DefaultParagraphFont"/>
    <w:rsid w:val="00200A70"/>
    <w:rPr>
      <w:rFonts w:ascii="Arial" w:hAnsi="Arial"/>
      <w:i/>
      <w:sz w:val="24"/>
    </w:rPr>
  </w:style>
  <w:style w:type="character" w:customStyle="1" w:styleId="Heading9Char2">
    <w:name w:val="Heading 9 Char2"/>
    <w:basedOn w:val="DefaultParagraphFont"/>
    <w:rsid w:val="00200A70"/>
    <w:rPr>
      <w:rFonts w:ascii="Arial" w:hAnsi="Arial"/>
      <w:i/>
      <w:sz w:val="18"/>
    </w:rPr>
  </w:style>
  <w:style w:type="character" w:customStyle="1" w:styleId="CommentSubjectChar3">
    <w:name w:val="Comment Subject Char3"/>
    <w:basedOn w:val="CommentTextChar"/>
    <w:semiHidden/>
    <w:rsid w:val="00200A70"/>
    <w:rPr>
      <w:rFonts w:ascii="Verdana" w:hAnsi="Verdana"/>
      <w:b/>
      <w:bCs/>
    </w:rPr>
  </w:style>
  <w:style w:type="character" w:customStyle="1" w:styleId="DocumentMapChar3">
    <w:name w:val="Document Map Char3"/>
    <w:basedOn w:val="DefaultParagraphFont"/>
    <w:semiHidden/>
    <w:rsid w:val="00200A70"/>
    <w:rPr>
      <w:rFonts w:ascii="Tahoma" w:hAnsi="Tahoma" w:cs="Tahoma"/>
      <w:shd w:val="clear" w:color="auto" w:fill="000080"/>
    </w:rPr>
  </w:style>
  <w:style w:type="character" w:customStyle="1" w:styleId="EndnoteTextChar3">
    <w:name w:val="Endnote Text Char3"/>
    <w:basedOn w:val="DefaultParagraphFont"/>
    <w:semiHidden/>
    <w:rsid w:val="00200A70"/>
    <w:rPr>
      <w:rFonts w:ascii="Verdana" w:hAnsi="Verdana"/>
    </w:rPr>
  </w:style>
  <w:style w:type="character" w:customStyle="1" w:styleId="Heading4Char4">
    <w:name w:val="Heading 4 Char4"/>
    <w:basedOn w:val="DefaultParagraphFont"/>
    <w:rsid w:val="00200A70"/>
    <w:rPr>
      <w:rFonts w:ascii="Arial" w:hAnsi="Arial"/>
      <w:b/>
      <w:bCs/>
      <w:sz w:val="24"/>
      <w:szCs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34219334">
      <w:bodyDiv w:val="1"/>
      <w:marLeft w:val="0"/>
      <w:marRight w:val="0"/>
      <w:marTop w:val="300"/>
      <w:marBottom w:val="0"/>
      <w:divBdr>
        <w:top w:val="none" w:sz="0" w:space="0" w:color="auto"/>
        <w:left w:val="none" w:sz="0" w:space="0" w:color="auto"/>
        <w:bottom w:val="none" w:sz="0" w:space="0" w:color="auto"/>
        <w:right w:val="none" w:sz="0" w:space="0" w:color="auto"/>
      </w:divBdr>
      <w:divsChild>
        <w:div w:id="851065276">
          <w:marLeft w:val="0"/>
          <w:marRight w:val="0"/>
          <w:marTop w:val="0"/>
          <w:marBottom w:val="0"/>
          <w:divBdr>
            <w:top w:val="none" w:sz="0" w:space="0" w:color="auto"/>
            <w:left w:val="none" w:sz="0" w:space="0" w:color="auto"/>
            <w:bottom w:val="none" w:sz="0" w:space="0" w:color="auto"/>
            <w:right w:val="none" w:sz="0" w:space="0" w:color="auto"/>
          </w:divBdr>
          <w:divsChild>
            <w:div w:id="127674786">
              <w:marLeft w:val="0"/>
              <w:marRight w:val="0"/>
              <w:marTop w:val="0"/>
              <w:marBottom w:val="0"/>
              <w:divBdr>
                <w:top w:val="none" w:sz="0" w:space="0" w:color="auto"/>
                <w:left w:val="none" w:sz="0" w:space="0" w:color="auto"/>
                <w:bottom w:val="none" w:sz="0" w:space="0" w:color="auto"/>
                <w:right w:val="none" w:sz="0" w:space="0" w:color="auto"/>
              </w:divBdr>
              <w:divsChild>
                <w:div w:id="1318076524">
                  <w:marLeft w:val="0"/>
                  <w:marRight w:val="0"/>
                  <w:marTop w:val="0"/>
                  <w:marBottom w:val="0"/>
                  <w:divBdr>
                    <w:top w:val="none" w:sz="0" w:space="0" w:color="auto"/>
                    <w:left w:val="none" w:sz="0" w:space="0" w:color="auto"/>
                    <w:bottom w:val="none" w:sz="0" w:space="0" w:color="auto"/>
                    <w:right w:val="none" w:sz="0" w:space="0" w:color="auto"/>
                  </w:divBdr>
                  <w:divsChild>
                    <w:div w:id="1070733075">
                      <w:marLeft w:val="0"/>
                      <w:marRight w:val="0"/>
                      <w:marTop w:val="0"/>
                      <w:marBottom w:val="0"/>
                      <w:divBdr>
                        <w:top w:val="none" w:sz="0" w:space="0" w:color="auto"/>
                        <w:left w:val="none" w:sz="0" w:space="0" w:color="auto"/>
                        <w:bottom w:val="none" w:sz="0" w:space="0" w:color="auto"/>
                        <w:right w:val="none" w:sz="0" w:space="0" w:color="auto"/>
                      </w:divBdr>
                      <w:divsChild>
                        <w:div w:id="569194955">
                          <w:marLeft w:val="0"/>
                          <w:marRight w:val="300"/>
                          <w:marTop w:val="300"/>
                          <w:marBottom w:val="300"/>
                          <w:divBdr>
                            <w:top w:val="none" w:sz="0" w:space="0" w:color="auto"/>
                            <w:left w:val="none" w:sz="0" w:space="0" w:color="auto"/>
                            <w:bottom w:val="none" w:sz="0" w:space="0" w:color="auto"/>
                            <w:right w:val="none" w:sz="0" w:space="0" w:color="auto"/>
                          </w:divBdr>
                          <w:divsChild>
                            <w:div w:id="332492288">
                              <w:marLeft w:val="0"/>
                              <w:marRight w:val="0"/>
                              <w:marTop w:val="0"/>
                              <w:marBottom w:val="0"/>
                              <w:divBdr>
                                <w:top w:val="none" w:sz="0" w:space="0" w:color="auto"/>
                                <w:left w:val="none" w:sz="0" w:space="0" w:color="auto"/>
                                <w:bottom w:val="none" w:sz="0" w:space="0" w:color="auto"/>
                                <w:right w:val="none" w:sz="0" w:space="0" w:color="auto"/>
                              </w:divBdr>
                              <w:divsChild>
                                <w:div w:id="3688038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88568378">
      <w:bodyDiv w:val="1"/>
      <w:marLeft w:val="0"/>
      <w:marRight w:val="0"/>
      <w:marTop w:val="0"/>
      <w:marBottom w:val="0"/>
      <w:divBdr>
        <w:top w:val="none" w:sz="0" w:space="0" w:color="auto"/>
        <w:left w:val="none" w:sz="0" w:space="0" w:color="auto"/>
        <w:bottom w:val="none" w:sz="0" w:space="0" w:color="auto"/>
        <w:right w:val="none" w:sz="0" w:space="0" w:color="auto"/>
      </w:divBdr>
    </w:div>
    <w:div w:id="363940556">
      <w:bodyDiv w:val="1"/>
      <w:marLeft w:val="0"/>
      <w:marRight w:val="0"/>
      <w:marTop w:val="300"/>
      <w:marBottom w:val="0"/>
      <w:divBdr>
        <w:top w:val="none" w:sz="0" w:space="0" w:color="auto"/>
        <w:left w:val="none" w:sz="0" w:space="0" w:color="auto"/>
        <w:bottom w:val="none" w:sz="0" w:space="0" w:color="auto"/>
        <w:right w:val="none" w:sz="0" w:space="0" w:color="auto"/>
      </w:divBdr>
      <w:divsChild>
        <w:div w:id="677926508">
          <w:marLeft w:val="0"/>
          <w:marRight w:val="0"/>
          <w:marTop w:val="0"/>
          <w:marBottom w:val="0"/>
          <w:divBdr>
            <w:top w:val="none" w:sz="0" w:space="0" w:color="auto"/>
            <w:left w:val="none" w:sz="0" w:space="0" w:color="auto"/>
            <w:bottom w:val="none" w:sz="0" w:space="0" w:color="auto"/>
            <w:right w:val="none" w:sz="0" w:space="0" w:color="auto"/>
          </w:divBdr>
          <w:divsChild>
            <w:div w:id="1554654311">
              <w:marLeft w:val="0"/>
              <w:marRight w:val="0"/>
              <w:marTop w:val="0"/>
              <w:marBottom w:val="0"/>
              <w:divBdr>
                <w:top w:val="none" w:sz="0" w:space="0" w:color="auto"/>
                <w:left w:val="none" w:sz="0" w:space="0" w:color="auto"/>
                <w:bottom w:val="none" w:sz="0" w:space="0" w:color="auto"/>
                <w:right w:val="none" w:sz="0" w:space="0" w:color="auto"/>
              </w:divBdr>
              <w:divsChild>
                <w:div w:id="1154685326">
                  <w:marLeft w:val="0"/>
                  <w:marRight w:val="0"/>
                  <w:marTop w:val="0"/>
                  <w:marBottom w:val="0"/>
                  <w:divBdr>
                    <w:top w:val="none" w:sz="0" w:space="0" w:color="auto"/>
                    <w:left w:val="none" w:sz="0" w:space="0" w:color="auto"/>
                    <w:bottom w:val="none" w:sz="0" w:space="0" w:color="auto"/>
                    <w:right w:val="none" w:sz="0" w:space="0" w:color="auto"/>
                  </w:divBdr>
                  <w:divsChild>
                    <w:div w:id="1127747040">
                      <w:marLeft w:val="0"/>
                      <w:marRight w:val="0"/>
                      <w:marTop w:val="0"/>
                      <w:marBottom w:val="0"/>
                      <w:divBdr>
                        <w:top w:val="none" w:sz="0" w:space="0" w:color="auto"/>
                        <w:left w:val="none" w:sz="0" w:space="0" w:color="auto"/>
                        <w:bottom w:val="none" w:sz="0" w:space="0" w:color="auto"/>
                        <w:right w:val="none" w:sz="0" w:space="0" w:color="auto"/>
                      </w:divBdr>
                      <w:divsChild>
                        <w:div w:id="1177421502">
                          <w:marLeft w:val="0"/>
                          <w:marRight w:val="300"/>
                          <w:marTop w:val="300"/>
                          <w:marBottom w:val="300"/>
                          <w:divBdr>
                            <w:top w:val="none" w:sz="0" w:space="0" w:color="auto"/>
                            <w:left w:val="none" w:sz="0" w:space="0" w:color="auto"/>
                            <w:bottom w:val="none" w:sz="0" w:space="0" w:color="auto"/>
                            <w:right w:val="none" w:sz="0" w:space="0" w:color="auto"/>
                          </w:divBdr>
                          <w:divsChild>
                            <w:div w:id="1570262126">
                              <w:marLeft w:val="0"/>
                              <w:marRight w:val="0"/>
                              <w:marTop w:val="0"/>
                              <w:marBottom w:val="0"/>
                              <w:divBdr>
                                <w:top w:val="none" w:sz="0" w:space="0" w:color="auto"/>
                                <w:left w:val="none" w:sz="0" w:space="0" w:color="auto"/>
                                <w:bottom w:val="none" w:sz="0" w:space="0" w:color="auto"/>
                                <w:right w:val="none" w:sz="0" w:space="0" w:color="auto"/>
                              </w:divBdr>
                              <w:divsChild>
                                <w:div w:id="10626041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451676364">
      <w:bodyDiv w:val="1"/>
      <w:marLeft w:val="0"/>
      <w:marRight w:val="0"/>
      <w:marTop w:val="300"/>
      <w:marBottom w:val="0"/>
      <w:divBdr>
        <w:top w:val="none" w:sz="0" w:space="0" w:color="auto"/>
        <w:left w:val="none" w:sz="0" w:space="0" w:color="auto"/>
        <w:bottom w:val="none" w:sz="0" w:space="0" w:color="auto"/>
        <w:right w:val="none" w:sz="0" w:space="0" w:color="auto"/>
      </w:divBdr>
      <w:divsChild>
        <w:div w:id="575742806">
          <w:marLeft w:val="0"/>
          <w:marRight w:val="0"/>
          <w:marTop w:val="0"/>
          <w:marBottom w:val="0"/>
          <w:divBdr>
            <w:top w:val="none" w:sz="0" w:space="0" w:color="auto"/>
            <w:left w:val="none" w:sz="0" w:space="0" w:color="auto"/>
            <w:bottom w:val="none" w:sz="0" w:space="0" w:color="auto"/>
            <w:right w:val="none" w:sz="0" w:space="0" w:color="auto"/>
          </w:divBdr>
          <w:divsChild>
            <w:div w:id="700323392">
              <w:marLeft w:val="0"/>
              <w:marRight w:val="0"/>
              <w:marTop w:val="0"/>
              <w:marBottom w:val="0"/>
              <w:divBdr>
                <w:top w:val="none" w:sz="0" w:space="0" w:color="auto"/>
                <w:left w:val="none" w:sz="0" w:space="0" w:color="auto"/>
                <w:bottom w:val="none" w:sz="0" w:space="0" w:color="auto"/>
                <w:right w:val="none" w:sz="0" w:space="0" w:color="auto"/>
              </w:divBdr>
              <w:divsChild>
                <w:div w:id="1175146369">
                  <w:marLeft w:val="0"/>
                  <w:marRight w:val="0"/>
                  <w:marTop w:val="0"/>
                  <w:marBottom w:val="0"/>
                  <w:divBdr>
                    <w:top w:val="none" w:sz="0" w:space="0" w:color="auto"/>
                    <w:left w:val="none" w:sz="0" w:space="0" w:color="auto"/>
                    <w:bottom w:val="none" w:sz="0" w:space="0" w:color="auto"/>
                    <w:right w:val="none" w:sz="0" w:space="0" w:color="auto"/>
                  </w:divBdr>
                  <w:divsChild>
                    <w:div w:id="460611159">
                      <w:marLeft w:val="0"/>
                      <w:marRight w:val="0"/>
                      <w:marTop w:val="0"/>
                      <w:marBottom w:val="0"/>
                      <w:divBdr>
                        <w:top w:val="none" w:sz="0" w:space="0" w:color="auto"/>
                        <w:left w:val="none" w:sz="0" w:space="0" w:color="auto"/>
                        <w:bottom w:val="none" w:sz="0" w:space="0" w:color="auto"/>
                        <w:right w:val="none" w:sz="0" w:space="0" w:color="auto"/>
                      </w:divBdr>
                      <w:divsChild>
                        <w:div w:id="1473867187">
                          <w:marLeft w:val="0"/>
                          <w:marRight w:val="300"/>
                          <w:marTop w:val="300"/>
                          <w:marBottom w:val="300"/>
                          <w:divBdr>
                            <w:top w:val="none" w:sz="0" w:space="0" w:color="auto"/>
                            <w:left w:val="none" w:sz="0" w:space="0" w:color="auto"/>
                            <w:bottom w:val="none" w:sz="0" w:space="0" w:color="auto"/>
                            <w:right w:val="none" w:sz="0" w:space="0" w:color="auto"/>
                          </w:divBdr>
                          <w:divsChild>
                            <w:div w:id="1523860383">
                              <w:marLeft w:val="0"/>
                              <w:marRight w:val="0"/>
                              <w:marTop w:val="0"/>
                              <w:marBottom w:val="0"/>
                              <w:divBdr>
                                <w:top w:val="none" w:sz="0" w:space="0" w:color="auto"/>
                                <w:left w:val="none" w:sz="0" w:space="0" w:color="auto"/>
                                <w:bottom w:val="none" w:sz="0" w:space="0" w:color="auto"/>
                                <w:right w:val="none" w:sz="0" w:space="0" w:color="auto"/>
                              </w:divBdr>
                              <w:divsChild>
                                <w:div w:id="1407296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489519155">
      <w:bodyDiv w:val="1"/>
      <w:marLeft w:val="0"/>
      <w:marRight w:val="0"/>
      <w:marTop w:val="0"/>
      <w:marBottom w:val="0"/>
      <w:divBdr>
        <w:top w:val="none" w:sz="0" w:space="0" w:color="auto"/>
        <w:left w:val="none" w:sz="0" w:space="0" w:color="auto"/>
        <w:bottom w:val="none" w:sz="0" w:space="0" w:color="auto"/>
        <w:right w:val="none" w:sz="0" w:space="0" w:color="auto"/>
      </w:divBdr>
    </w:div>
    <w:div w:id="742801249">
      <w:bodyDiv w:val="1"/>
      <w:marLeft w:val="0"/>
      <w:marRight w:val="0"/>
      <w:marTop w:val="0"/>
      <w:marBottom w:val="0"/>
      <w:divBdr>
        <w:top w:val="none" w:sz="0" w:space="0" w:color="auto"/>
        <w:left w:val="none" w:sz="0" w:space="0" w:color="auto"/>
        <w:bottom w:val="none" w:sz="0" w:space="0" w:color="auto"/>
        <w:right w:val="none" w:sz="0" w:space="0" w:color="auto"/>
      </w:divBdr>
    </w:div>
    <w:div w:id="770315125">
      <w:bodyDiv w:val="1"/>
      <w:marLeft w:val="0"/>
      <w:marRight w:val="0"/>
      <w:marTop w:val="0"/>
      <w:marBottom w:val="0"/>
      <w:divBdr>
        <w:top w:val="none" w:sz="0" w:space="0" w:color="auto"/>
        <w:left w:val="none" w:sz="0" w:space="0" w:color="auto"/>
        <w:bottom w:val="none" w:sz="0" w:space="0" w:color="auto"/>
        <w:right w:val="none" w:sz="0" w:space="0" w:color="auto"/>
      </w:divBdr>
    </w:div>
    <w:div w:id="906185894">
      <w:bodyDiv w:val="1"/>
      <w:marLeft w:val="0"/>
      <w:marRight w:val="0"/>
      <w:marTop w:val="0"/>
      <w:marBottom w:val="0"/>
      <w:divBdr>
        <w:top w:val="none" w:sz="0" w:space="0" w:color="auto"/>
        <w:left w:val="none" w:sz="0" w:space="0" w:color="auto"/>
        <w:bottom w:val="none" w:sz="0" w:space="0" w:color="auto"/>
        <w:right w:val="none" w:sz="0" w:space="0" w:color="auto"/>
      </w:divBdr>
    </w:div>
    <w:div w:id="943221367">
      <w:bodyDiv w:val="1"/>
      <w:marLeft w:val="0"/>
      <w:marRight w:val="0"/>
      <w:marTop w:val="300"/>
      <w:marBottom w:val="0"/>
      <w:divBdr>
        <w:top w:val="none" w:sz="0" w:space="0" w:color="auto"/>
        <w:left w:val="none" w:sz="0" w:space="0" w:color="auto"/>
        <w:bottom w:val="none" w:sz="0" w:space="0" w:color="auto"/>
        <w:right w:val="none" w:sz="0" w:space="0" w:color="auto"/>
      </w:divBdr>
      <w:divsChild>
        <w:div w:id="988249428">
          <w:marLeft w:val="0"/>
          <w:marRight w:val="0"/>
          <w:marTop w:val="0"/>
          <w:marBottom w:val="0"/>
          <w:divBdr>
            <w:top w:val="none" w:sz="0" w:space="0" w:color="auto"/>
            <w:left w:val="none" w:sz="0" w:space="0" w:color="auto"/>
            <w:bottom w:val="none" w:sz="0" w:space="0" w:color="auto"/>
            <w:right w:val="none" w:sz="0" w:space="0" w:color="auto"/>
          </w:divBdr>
          <w:divsChild>
            <w:div w:id="991104659">
              <w:marLeft w:val="0"/>
              <w:marRight w:val="0"/>
              <w:marTop w:val="0"/>
              <w:marBottom w:val="0"/>
              <w:divBdr>
                <w:top w:val="none" w:sz="0" w:space="0" w:color="auto"/>
                <w:left w:val="none" w:sz="0" w:space="0" w:color="auto"/>
                <w:bottom w:val="none" w:sz="0" w:space="0" w:color="auto"/>
                <w:right w:val="none" w:sz="0" w:space="0" w:color="auto"/>
              </w:divBdr>
              <w:divsChild>
                <w:div w:id="81147943">
                  <w:marLeft w:val="0"/>
                  <w:marRight w:val="0"/>
                  <w:marTop w:val="0"/>
                  <w:marBottom w:val="0"/>
                  <w:divBdr>
                    <w:top w:val="none" w:sz="0" w:space="0" w:color="auto"/>
                    <w:left w:val="none" w:sz="0" w:space="0" w:color="auto"/>
                    <w:bottom w:val="none" w:sz="0" w:space="0" w:color="auto"/>
                    <w:right w:val="none" w:sz="0" w:space="0" w:color="auto"/>
                  </w:divBdr>
                  <w:divsChild>
                    <w:div w:id="860706679">
                      <w:marLeft w:val="0"/>
                      <w:marRight w:val="0"/>
                      <w:marTop w:val="0"/>
                      <w:marBottom w:val="0"/>
                      <w:divBdr>
                        <w:top w:val="none" w:sz="0" w:space="0" w:color="auto"/>
                        <w:left w:val="none" w:sz="0" w:space="0" w:color="auto"/>
                        <w:bottom w:val="none" w:sz="0" w:space="0" w:color="auto"/>
                        <w:right w:val="none" w:sz="0" w:space="0" w:color="auto"/>
                      </w:divBdr>
                      <w:divsChild>
                        <w:div w:id="1308127485">
                          <w:marLeft w:val="0"/>
                          <w:marRight w:val="300"/>
                          <w:marTop w:val="300"/>
                          <w:marBottom w:val="300"/>
                          <w:divBdr>
                            <w:top w:val="none" w:sz="0" w:space="0" w:color="auto"/>
                            <w:left w:val="none" w:sz="0" w:space="0" w:color="auto"/>
                            <w:bottom w:val="none" w:sz="0" w:space="0" w:color="auto"/>
                            <w:right w:val="none" w:sz="0" w:space="0" w:color="auto"/>
                          </w:divBdr>
                          <w:divsChild>
                            <w:div w:id="1290085651">
                              <w:marLeft w:val="0"/>
                              <w:marRight w:val="0"/>
                              <w:marTop w:val="0"/>
                              <w:marBottom w:val="0"/>
                              <w:divBdr>
                                <w:top w:val="none" w:sz="0" w:space="0" w:color="auto"/>
                                <w:left w:val="none" w:sz="0" w:space="0" w:color="auto"/>
                                <w:bottom w:val="none" w:sz="0" w:space="0" w:color="auto"/>
                                <w:right w:val="none" w:sz="0" w:space="0" w:color="auto"/>
                              </w:divBdr>
                              <w:divsChild>
                                <w:div w:id="14722128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981613740">
      <w:bodyDiv w:val="1"/>
      <w:marLeft w:val="0"/>
      <w:marRight w:val="0"/>
      <w:marTop w:val="0"/>
      <w:marBottom w:val="0"/>
      <w:divBdr>
        <w:top w:val="none" w:sz="0" w:space="0" w:color="auto"/>
        <w:left w:val="none" w:sz="0" w:space="0" w:color="auto"/>
        <w:bottom w:val="none" w:sz="0" w:space="0" w:color="auto"/>
        <w:right w:val="none" w:sz="0" w:space="0" w:color="auto"/>
      </w:divBdr>
    </w:div>
    <w:div w:id="1064570057">
      <w:bodyDiv w:val="1"/>
      <w:marLeft w:val="0"/>
      <w:marRight w:val="0"/>
      <w:marTop w:val="300"/>
      <w:marBottom w:val="0"/>
      <w:divBdr>
        <w:top w:val="none" w:sz="0" w:space="0" w:color="auto"/>
        <w:left w:val="none" w:sz="0" w:space="0" w:color="auto"/>
        <w:bottom w:val="none" w:sz="0" w:space="0" w:color="auto"/>
        <w:right w:val="none" w:sz="0" w:space="0" w:color="auto"/>
      </w:divBdr>
      <w:divsChild>
        <w:div w:id="841817645">
          <w:marLeft w:val="0"/>
          <w:marRight w:val="0"/>
          <w:marTop w:val="0"/>
          <w:marBottom w:val="0"/>
          <w:divBdr>
            <w:top w:val="none" w:sz="0" w:space="0" w:color="auto"/>
            <w:left w:val="none" w:sz="0" w:space="0" w:color="auto"/>
            <w:bottom w:val="none" w:sz="0" w:space="0" w:color="auto"/>
            <w:right w:val="none" w:sz="0" w:space="0" w:color="auto"/>
          </w:divBdr>
          <w:divsChild>
            <w:div w:id="82993357">
              <w:marLeft w:val="0"/>
              <w:marRight w:val="0"/>
              <w:marTop w:val="0"/>
              <w:marBottom w:val="0"/>
              <w:divBdr>
                <w:top w:val="none" w:sz="0" w:space="0" w:color="auto"/>
                <w:left w:val="none" w:sz="0" w:space="0" w:color="auto"/>
                <w:bottom w:val="none" w:sz="0" w:space="0" w:color="auto"/>
                <w:right w:val="none" w:sz="0" w:space="0" w:color="auto"/>
              </w:divBdr>
              <w:divsChild>
                <w:div w:id="752160856">
                  <w:marLeft w:val="0"/>
                  <w:marRight w:val="0"/>
                  <w:marTop w:val="0"/>
                  <w:marBottom w:val="0"/>
                  <w:divBdr>
                    <w:top w:val="none" w:sz="0" w:space="0" w:color="auto"/>
                    <w:left w:val="none" w:sz="0" w:space="0" w:color="auto"/>
                    <w:bottom w:val="none" w:sz="0" w:space="0" w:color="auto"/>
                    <w:right w:val="none" w:sz="0" w:space="0" w:color="auto"/>
                  </w:divBdr>
                  <w:divsChild>
                    <w:div w:id="1101102847">
                      <w:marLeft w:val="0"/>
                      <w:marRight w:val="0"/>
                      <w:marTop w:val="0"/>
                      <w:marBottom w:val="0"/>
                      <w:divBdr>
                        <w:top w:val="none" w:sz="0" w:space="0" w:color="auto"/>
                        <w:left w:val="none" w:sz="0" w:space="0" w:color="auto"/>
                        <w:bottom w:val="none" w:sz="0" w:space="0" w:color="auto"/>
                        <w:right w:val="none" w:sz="0" w:space="0" w:color="auto"/>
                      </w:divBdr>
                      <w:divsChild>
                        <w:div w:id="159470483">
                          <w:marLeft w:val="0"/>
                          <w:marRight w:val="300"/>
                          <w:marTop w:val="300"/>
                          <w:marBottom w:val="300"/>
                          <w:divBdr>
                            <w:top w:val="none" w:sz="0" w:space="0" w:color="auto"/>
                            <w:left w:val="none" w:sz="0" w:space="0" w:color="auto"/>
                            <w:bottom w:val="none" w:sz="0" w:space="0" w:color="auto"/>
                            <w:right w:val="none" w:sz="0" w:space="0" w:color="auto"/>
                          </w:divBdr>
                          <w:divsChild>
                            <w:div w:id="758260288">
                              <w:marLeft w:val="0"/>
                              <w:marRight w:val="0"/>
                              <w:marTop w:val="0"/>
                              <w:marBottom w:val="0"/>
                              <w:divBdr>
                                <w:top w:val="none" w:sz="0" w:space="0" w:color="auto"/>
                                <w:left w:val="none" w:sz="0" w:space="0" w:color="auto"/>
                                <w:bottom w:val="none" w:sz="0" w:space="0" w:color="auto"/>
                                <w:right w:val="none" w:sz="0" w:space="0" w:color="auto"/>
                              </w:divBdr>
                              <w:divsChild>
                                <w:div w:id="12914742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084647775">
      <w:bodyDiv w:val="1"/>
      <w:marLeft w:val="0"/>
      <w:marRight w:val="0"/>
      <w:marTop w:val="0"/>
      <w:marBottom w:val="0"/>
      <w:divBdr>
        <w:top w:val="none" w:sz="0" w:space="0" w:color="auto"/>
        <w:left w:val="none" w:sz="0" w:space="0" w:color="auto"/>
        <w:bottom w:val="none" w:sz="0" w:space="0" w:color="auto"/>
        <w:right w:val="none" w:sz="0" w:space="0" w:color="auto"/>
      </w:divBdr>
    </w:div>
    <w:div w:id="1293049526">
      <w:bodyDiv w:val="1"/>
      <w:marLeft w:val="0"/>
      <w:marRight w:val="0"/>
      <w:marTop w:val="0"/>
      <w:marBottom w:val="0"/>
      <w:divBdr>
        <w:top w:val="none" w:sz="0" w:space="0" w:color="auto"/>
        <w:left w:val="none" w:sz="0" w:space="0" w:color="auto"/>
        <w:bottom w:val="none" w:sz="0" w:space="0" w:color="auto"/>
        <w:right w:val="none" w:sz="0" w:space="0" w:color="auto"/>
      </w:divBdr>
    </w:div>
    <w:div w:id="1463228723">
      <w:bodyDiv w:val="1"/>
      <w:marLeft w:val="0"/>
      <w:marRight w:val="0"/>
      <w:marTop w:val="0"/>
      <w:marBottom w:val="0"/>
      <w:divBdr>
        <w:top w:val="none" w:sz="0" w:space="0" w:color="auto"/>
        <w:left w:val="none" w:sz="0" w:space="0" w:color="auto"/>
        <w:bottom w:val="none" w:sz="0" w:space="0" w:color="auto"/>
        <w:right w:val="none" w:sz="0" w:space="0" w:color="auto"/>
      </w:divBdr>
    </w:div>
    <w:div w:id="1592356417">
      <w:bodyDiv w:val="1"/>
      <w:marLeft w:val="0"/>
      <w:marRight w:val="0"/>
      <w:marTop w:val="300"/>
      <w:marBottom w:val="0"/>
      <w:divBdr>
        <w:top w:val="none" w:sz="0" w:space="0" w:color="auto"/>
        <w:left w:val="none" w:sz="0" w:space="0" w:color="auto"/>
        <w:bottom w:val="none" w:sz="0" w:space="0" w:color="auto"/>
        <w:right w:val="none" w:sz="0" w:space="0" w:color="auto"/>
      </w:divBdr>
      <w:divsChild>
        <w:div w:id="1138064895">
          <w:marLeft w:val="0"/>
          <w:marRight w:val="0"/>
          <w:marTop w:val="0"/>
          <w:marBottom w:val="0"/>
          <w:divBdr>
            <w:top w:val="none" w:sz="0" w:space="0" w:color="auto"/>
            <w:left w:val="none" w:sz="0" w:space="0" w:color="auto"/>
            <w:bottom w:val="none" w:sz="0" w:space="0" w:color="auto"/>
            <w:right w:val="none" w:sz="0" w:space="0" w:color="auto"/>
          </w:divBdr>
          <w:divsChild>
            <w:div w:id="2026514847">
              <w:marLeft w:val="0"/>
              <w:marRight w:val="0"/>
              <w:marTop w:val="0"/>
              <w:marBottom w:val="0"/>
              <w:divBdr>
                <w:top w:val="none" w:sz="0" w:space="0" w:color="auto"/>
                <w:left w:val="none" w:sz="0" w:space="0" w:color="auto"/>
                <w:bottom w:val="none" w:sz="0" w:space="0" w:color="auto"/>
                <w:right w:val="none" w:sz="0" w:space="0" w:color="auto"/>
              </w:divBdr>
              <w:divsChild>
                <w:div w:id="455373235">
                  <w:marLeft w:val="0"/>
                  <w:marRight w:val="0"/>
                  <w:marTop w:val="0"/>
                  <w:marBottom w:val="0"/>
                  <w:divBdr>
                    <w:top w:val="none" w:sz="0" w:space="0" w:color="auto"/>
                    <w:left w:val="none" w:sz="0" w:space="0" w:color="auto"/>
                    <w:bottom w:val="none" w:sz="0" w:space="0" w:color="auto"/>
                    <w:right w:val="none" w:sz="0" w:space="0" w:color="auto"/>
                  </w:divBdr>
                  <w:divsChild>
                    <w:div w:id="98835278">
                      <w:marLeft w:val="0"/>
                      <w:marRight w:val="0"/>
                      <w:marTop w:val="0"/>
                      <w:marBottom w:val="0"/>
                      <w:divBdr>
                        <w:top w:val="none" w:sz="0" w:space="0" w:color="auto"/>
                        <w:left w:val="none" w:sz="0" w:space="0" w:color="auto"/>
                        <w:bottom w:val="none" w:sz="0" w:space="0" w:color="auto"/>
                        <w:right w:val="none" w:sz="0" w:space="0" w:color="auto"/>
                      </w:divBdr>
                      <w:divsChild>
                        <w:div w:id="107823255">
                          <w:marLeft w:val="0"/>
                          <w:marRight w:val="300"/>
                          <w:marTop w:val="300"/>
                          <w:marBottom w:val="300"/>
                          <w:divBdr>
                            <w:top w:val="none" w:sz="0" w:space="0" w:color="auto"/>
                            <w:left w:val="none" w:sz="0" w:space="0" w:color="auto"/>
                            <w:bottom w:val="none" w:sz="0" w:space="0" w:color="auto"/>
                            <w:right w:val="none" w:sz="0" w:space="0" w:color="auto"/>
                          </w:divBdr>
                          <w:divsChild>
                            <w:div w:id="965352537">
                              <w:marLeft w:val="0"/>
                              <w:marRight w:val="0"/>
                              <w:marTop w:val="0"/>
                              <w:marBottom w:val="0"/>
                              <w:divBdr>
                                <w:top w:val="none" w:sz="0" w:space="0" w:color="auto"/>
                                <w:left w:val="none" w:sz="0" w:space="0" w:color="auto"/>
                                <w:bottom w:val="none" w:sz="0" w:space="0" w:color="auto"/>
                                <w:right w:val="none" w:sz="0" w:space="0" w:color="auto"/>
                              </w:divBdr>
                              <w:divsChild>
                                <w:div w:id="10784058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600412721">
      <w:bodyDiv w:val="1"/>
      <w:marLeft w:val="0"/>
      <w:marRight w:val="0"/>
      <w:marTop w:val="0"/>
      <w:marBottom w:val="0"/>
      <w:divBdr>
        <w:top w:val="none" w:sz="0" w:space="0" w:color="auto"/>
        <w:left w:val="none" w:sz="0" w:space="0" w:color="auto"/>
        <w:bottom w:val="none" w:sz="0" w:space="0" w:color="auto"/>
        <w:right w:val="none" w:sz="0" w:space="0" w:color="auto"/>
      </w:divBdr>
    </w:div>
    <w:div w:id="1934782693">
      <w:bodyDiv w:val="1"/>
      <w:marLeft w:val="0"/>
      <w:marRight w:val="0"/>
      <w:marTop w:val="300"/>
      <w:marBottom w:val="0"/>
      <w:divBdr>
        <w:top w:val="none" w:sz="0" w:space="0" w:color="auto"/>
        <w:left w:val="none" w:sz="0" w:space="0" w:color="auto"/>
        <w:bottom w:val="none" w:sz="0" w:space="0" w:color="auto"/>
        <w:right w:val="none" w:sz="0" w:space="0" w:color="auto"/>
      </w:divBdr>
      <w:divsChild>
        <w:div w:id="893199002">
          <w:marLeft w:val="0"/>
          <w:marRight w:val="0"/>
          <w:marTop w:val="0"/>
          <w:marBottom w:val="0"/>
          <w:divBdr>
            <w:top w:val="none" w:sz="0" w:space="0" w:color="auto"/>
            <w:left w:val="none" w:sz="0" w:space="0" w:color="auto"/>
            <w:bottom w:val="none" w:sz="0" w:space="0" w:color="auto"/>
            <w:right w:val="none" w:sz="0" w:space="0" w:color="auto"/>
          </w:divBdr>
          <w:divsChild>
            <w:div w:id="2010332382">
              <w:marLeft w:val="0"/>
              <w:marRight w:val="0"/>
              <w:marTop w:val="0"/>
              <w:marBottom w:val="0"/>
              <w:divBdr>
                <w:top w:val="none" w:sz="0" w:space="0" w:color="auto"/>
                <w:left w:val="none" w:sz="0" w:space="0" w:color="auto"/>
                <w:bottom w:val="none" w:sz="0" w:space="0" w:color="auto"/>
                <w:right w:val="none" w:sz="0" w:space="0" w:color="auto"/>
              </w:divBdr>
              <w:divsChild>
                <w:div w:id="686709362">
                  <w:marLeft w:val="0"/>
                  <w:marRight w:val="0"/>
                  <w:marTop w:val="0"/>
                  <w:marBottom w:val="0"/>
                  <w:divBdr>
                    <w:top w:val="none" w:sz="0" w:space="0" w:color="auto"/>
                    <w:left w:val="none" w:sz="0" w:space="0" w:color="auto"/>
                    <w:bottom w:val="none" w:sz="0" w:space="0" w:color="auto"/>
                    <w:right w:val="none" w:sz="0" w:space="0" w:color="auto"/>
                  </w:divBdr>
                  <w:divsChild>
                    <w:div w:id="236133766">
                      <w:marLeft w:val="0"/>
                      <w:marRight w:val="0"/>
                      <w:marTop w:val="0"/>
                      <w:marBottom w:val="0"/>
                      <w:divBdr>
                        <w:top w:val="none" w:sz="0" w:space="0" w:color="auto"/>
                        <w:left w:val="none" w:sz="0" w:space="0" w:color="auto"/>
                        <w:bottom w:val="none" w:sz="0" w:space="0" w:color="auto"/>
                        <w:right w:val="none" w:sz="0" w:space="0" w:color="auto"/>
                      </w:divBdr>
                      <w:divsChild>
                        <w:div w:id="1305355981">
                          <w:marLeft w:val="0"/>
                          <w:marRight w:val="300"/>
                          <w:marTop w:val="300"/>
                          <w:marBottom w:val="300"/>
                          <w:divBdr>
                            <w:top w:val="none" w:sz="0" w:space="0" w:color="auto"/>
                            <w:left w:val="none" w:sz="0" w:space="0" w:color="auto"/>
                            <w:bottom w:val="none" w:sz="0" w:space="0" w:color="auto"/>
                            <w:right w:val="none" w:sz="0" w:space="0" w:color="auto"/>
                          </w:divBdr>
                          <w:divsChild>
                            <w:div w:id="1459255450">
                              <w:marLeft w:val="0"/>
                              <w:marRight w:val="0"/>
                              <w:marTop w:val="0"/>
                              <w:marBottom w:val="0"/>
                              <w:divBdr>
                                <w:top w:val="none" w:sz="0" w:space="0" w:color="auto"/>
                                <w:left w:val="none" w:sz="0" w:space="0" w:color="auto"/>
                                <w:bottom w:val="none" w:sz="0" w:space="0" w:color="auto"/>
                                <w:right w:val="none" w:sz="0" w:space="0" w:color="auto"/>
                              </w:divBdr>
                              <w:divsChild>
                                <w:div w:id="1739474801">
                                  <w:marLeft w:val="0"/>
                                  <w:marRight w:val="0"/>
                                  <w:marTop w:val="0"/>
                                  <w:marBottom w:val="0"/>
                                  <w:divBdr>
                                    <w:top w:val="none" w:sz="0" w:space="0" w:color="auto"/>
                                    <w:left w:val="none" w:sz="0" w:space="0" w:color="auto"/>
                                    <w:bottom w:val="none" w:sz="0" w:space="0" w:color="auto"/>
                                    <w:right w:val="none" w:sz="0" w:space="0" w:color="auto"/>
                                  </w:divBdr>
                                  <w:divsChild>
                                    <w:div w:id="1092504701">
                                      <w:blockQuote w:val="1"/>
                                      <w:marLeft w:val="720"/>
                                      <w:marRight w:val="300"/>
                                      <w:marTop w:val="100"/>
                                      <w:marBottom w:val="100"/>
                                      <w:divBdr>
                                        <w:top w:val="none" w:sz="0" w:space="0" w:color="auto"/>
                                        <w:left w:val="none" w:sz="0" w:space="0" w:color="auto"/>
                                        <w:bottom w:val="none" w:sz="0" w:space="0" w:color="auto"/>
                                        <w:right w:val="none" w:sz="0" w:space="0" w:color="auto"/>
                                      </w:divBdr>
                                    </w:div>
                                    <w:div w:id="1419056822">
                                      <w:blockQuote w:val="1"/>
                                      <w:marLeft w:val="720"/>
                                      <w:marRight w:val="300"/>
                                      <w:marTop w:val="100"/>
                                      <w:marBottom w:val="100"/>
                                      <w:divBdr>
                                        <w:top w:val="none" w:sz="0" w:space="0" w:color="auto"/>
                                        <w:left w:val="none" w:sz="0" w:space="0" w:color="auto"/>
                                        <w:bottom w:val="none" w:sz="0" w:space="0" w:color="auto"/>
                                        <w:right w:val="none" w:sz="0" w:space="0" w:color="auto"/>
                                      </w:divBdr>
                                    </w:div>
                                    <w:div w:id="1663388194">
                                      <w:blockQuote w:val="1"/>
                                      <w:marLeft w:val="720"/>
                                      <w:marRight w:val="30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9.png"/><Relationship Id="rId26" Type="http://schemas.openxmlformats.org/officeDocument/2006/relationships/image" Target="media/image14.png"/><Relationship Id="rId39" Type="http://schemas.openxmlformats.org/officeDocument/2006/relationships/image" Target="media/image23.png"/><Relationship Id="rId21" Type="http://schemas.openxmlformats.org/officeDocument/2006/relationships/image" Target="media/image10.png"/><Relationship Id="rId34" Type="http://schemas.openxmlformats.org/officeDocument/2006/relationships/hyperlink" Target="http://www.sec.gov/Archives/edgar/data/1285785/000119312512323518/0001193125-12-323518-index.htm" TargetMode="External"/><Relationship Id="rId42" Type="http://schemas.openxmlformats.org/officeDocument/2006/relationships/hyperlink" Target="http://goo.gl/A9fo9u" TargetMode="External"/><Relationship Id="rId47" Type="http://schemas.openxmlformats.org/officeDocument/2006/relationships/image" Target="media/image29.png"/><Relationship Id="rId50" Type="http://schemas.openxmlformats.org/officeDocument/2006/relationships/image" Target="media/image31.png"/><Relationship Id="rId55" Type="http://schemas.openxmlformats.org/officeDocument/2006/relationships/image" Target="media/image35.png"/><Relationship Id="rId63" Type="http://schemas.openxmlformats.org/officeDocument/2006/relationships/image" Target="media/image39.png"/><Relationship Id="rId68" Type="http://schemas.openxmlformats.org/officeDocument/2006/relationships/image" Target="media/image42.png"/><Relationship Id="rId76" Type="http://schemas.openxmlformats.org/officeDocument/2006/relationships/image" Target="cid:image005.png@01D252BE.25C5CE70" TargetMode="External"/><Relationship Id="rId84" Type="http://schemas.openxmlformats.org/officeDocument/2006/relationships/footer" Target="footer1.xml"/><Relationship Id="rId7" Type="http://schemas.openxmlformats.org/officeDocument/2006/relationships/endnotes" Target="endnotes.xml"/><Relationship Id="rId71" Type="http://schemas.openxmlformats.org/officeDocument/2006/relationships/image" Target="media/image44.png"/><Relationship Id="rId2" Type="http://schemas.openxmlformats.org/officeDocument/2006/relationships/numbering" Target="numbering.xml"/><Relationship Id="rId16" Type="http://schemas.openxmlformats.org/officeDocument/2006/relationships/hyperlink" Target="http://www.sec.gov/Archives/edgar/data/789019/000119312513310206/0001193125-13-310206-index.htm" TargetMode="External"/><Relationship Id="rId29" Type="http://schemas.openxmlformats.org/officeDocument/2006/relationships/hyperlink" Target="http://www.youtube.com/watch?v=lNPjwKy2Obs" TargetMode="External"/><Relationship Id="rId11" Type="http://schemas.openxmlformats.org/officeDocument/2006/relationships/image" Target="media/image3.png"/><Relationship Id="rId24" Type="http://schemas.openxmlformats.org/officeDocument/2006/relationships/image" Target="media/image12.png"/><Relationship Id="rId32" Type="http://schemas.openxmlformats.org/officeDocument/2006/relationships/image" Target="media/image19.png"/><Relationship Id="rId37" Type="http://schemas.openxmlformats.org/officeDocument/2006/relationships/image" Target="media/image22.png"/><Relationship Id="rId40" Type="http://schemas.openxmlformats.org/officeDocument/2006/relationships/image" Target="media/image24.png"/><Relationship Id="rId45" Type="http://schemas.openxmlformats.org/officeDocument/2006/relationships/image" Target="media/image27.png"/><Relationship Id="rId53" Type="http://schemas.openxmlformats.org/officeDocument/2006/relationships/image" Target="media/image33.png"/><Relationship Id="rId58" Type="http://schemas.openxmlformats.org/officeDocument/2006/relationships/hyperlink" Target="http://goo.gl/qhRzF7" TargetMode="External"/><Relationship Id="rId66" Type="http://schemas.openxmlformats.org/officeDocument/2006/relationships/image" Target="media/image41.png"/><Relationship Id="rId74" Type="http://schemas.openxmlformats.org/officeDocument/2006/relationships/hyperlink" Target="http://www.sec.gov/Archives/edgar/data/109563/000010956316000309/0000109563-16-000309-index.htm" TargetMode="External"/><Relationship Id="rId79" Type="http://schemas.openxmlformats.org/officeDocument/2006/relationships/image" Target="media/image49.png"/><Relationship Id="rId5" Type="http://schemas.openxmlformats.org/officeDocument/2006/relationships/webSettings" Target="webSettings.xml"/><Relationship Id="rId61" Type="http://schemas.openxmlformats.org/officeDocument/2006/relationships/image" Target="media/image38.png"/><Relationship Id="rId82" Type="http://schemas.openxmlformats.org/officeDocument/2006/relationships/image" Target="cid:image008.png@01D252BE.25C5CE70" TargetMode="External"/><Relationship Id="rId19" Type="http://schemas.openxmlformats.org/officeDocument/2006/relationships/hyperlink" Target="http://www.xbrlsite.com/2014/Library/PropertyPlantAndEquipmentNetByTypeRollUp.pdf" TargetMode="External"/><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image" Target="media/image11.png"/><Relationship Id="rId27" Type="http://schemas.openxmlformats.org/officeDocument/2006/relationships/image" Target="media/image15.png"/><Relationship Id="rId30" Type="http://schemas.openxmlformats.org/officeDocument/2006/relationships/image" Target="media/image17.png"/><Relationship Id="rId35" Type="http://schemas.openxmlformats.org/officeDocument/2006/relationships/image" Target="media/image21.png"/><Relationship Id="rId43" Type="http://schemas.openxmlformats.org/officeDocument/2006/relationships/image" Target="media/image25.png"/><Relationship Id="rId48" Type="http://schemas.openxmlformats.org/officeDocument/2006/relationships/image" Target="media/image30.png"/><Relationship Id="rId56" Type="http://schemas.openxmlformats.org/officeDocument/2006/relationships/hyperlink" Target="http://goo.gl/T2bisK" TargetMode="External"/><Relationship Id="rId64" Type="http://schemas.openxmlformats.org/officeDocument/2006/relationships/hyperlink" Target="http://www.sec.gov/Archives/edgar/data/1408534/000140853416000053/0001408534-16-000053-index.htm" TargetMode="External"/><Relationship Id="rId69" Type="http://schemas.openxmlformats.org/officeDocument/2006/relationships/hyperlink" Target="http://goo.gl/Kai08L" TargetMode="External"/><Relationship Id="rId77" Type="http://schemas.openxmlformats.org/officeDocument/2006/relationships/image" Target="media/image48.png"/><Relationship Id="rId8" Type="http://schemas.openxmlformats.org/officeDocument/2006/relationships/hyperlink" Target="http://xbrl.squarespace.com/journal/2016/12/15/understanding-logical-mechanical-and-mathematical-accounting.html" TargetMode="External"/><Relationship Id="rId51" Type="http://schemas.openxmlformats.org/officeDocument/2006/relationships/hyperlink" Target="http://goo.gl/4Q0cQh" TargetMode="External"/><Relationship Id="rId72" Type="http://schemas.openxmlformats.org/officeDocument/2006/relationships/image" Target="media/image45.png"/><Relationship Id="rId80" Type="http://schemas.openxmlformats.org/officeDocument/2006/relationships/image" Target="cid:image007.png@01D252BE.25C5CE70" TargetMode="External"/><Relationship Id="rId85"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image" Target="media/image4.png"/><Relationship Id="rId17" Type="http://schemas.openxmlformats.org/officeDocument/2006/relationships/image" Target="media/image8.png"/><Relationship Id="rId25" Type="http://schemas.openxmlformats.org/officeDocument/2006/relationships/image" Target="media/image13.png"/><Relationship Id="rId33" Type="http://schemas.openxmlformats.org/officeDocument/2006/relationships/image" Target="media/image20.png"/><Relationship Id="rId38" Type="http://schemas.openxmlformats.org/officeDocument/2006/relationships/hyperlink" Target="http://www.sec.gov/Archives/edgar/data/866273/000086627313000057/0000866273-13-000057-index.htm" TargetMode="External"/><Relationship Id="rId46" Type="http://schemas.openxmlformats.org/officeDocument/2006/relationships/image" Target="media/image28.png"/><Relationship Id="rId59" Type="http://schemas.openxmlformats.org/officeDocument/2006/relationships/image" Target="media/image37.png"/><Relationship Id="rId67" Type="http://schemas.openxmlformats.org/officeDocument/2006/relationships/hyperlink" Target="http://goo.gl/Kai08L" TargetMode="External"/><Relationship Id="rId20" Type="http://schemas.openxmlformats.org/officeDocument/2006/relationships/hyperlink" Target="http://xbrl.squarespace.com/journal/2014/6/24/mind-boggling-diversity-of-sec-xbrl-financial-filings.html" TargetMode="External"/><Relationship Id="rId41" Type="http://schemas.openxmlformats.org/officeDocument/2006/relationships/hyperlink" Target="https://www.sec.gov/Archives/edgar/data/80424/000008042413000063/pg-20130630.xml" TargetMode="External"/><Relationship Id="rId54" Type="http://schemas.openxmlformats.org/officeDocument/2006/relationships/image" Target="media/image34.png"/><Relationship Id="rId62" Type="http://schemas.openxmlformats.org/officeDocument/2006/relationships/hyperlink" Target="http://www.sec.gov/cgi-bin/viewer?action=view&amp;cik=888491&amp;accession_number=0001188112-13-000515&amp;xbrl_type=v" TargetMode="External"/><Relationship Id="rId70" Type="http://schemas.openxmlformats.org/officeDocument/2006/relationships/image" Target="media/image43.png"/><Relationship Id="rId75" Type="http://schemas.openxmlformats.org/officeDocument/2006/relationships/image" Target="media/image47.png"/><Relationship Id="rId83"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7.png"/><Relationship Id="rId23" Type="http://schemas.openxmlformats.org/officeDocument/2006/relationships/hyperlink" Target="http://www.sec.gov/Archives/edgar/data/883902/000114420413068730/0001144204-13-068730-index.htm" TargetMode="External"/><Relationship Id="rId28" Type="http://schemas.openxmlformats.org/officeDocument/2006/relationships/image" Target="media/image16.png"/><Relationship Id="rId36" Type="http://schemas.openxmlformats.org/officeDocument/2006/relationships/hyperlink" Target="http://www.sec.gov/Archives/edgar/data/896878/000089687812000146/0000896878-12-000146-index.htm" TargetMode="External"/><Relationship Id="rId49" Type="http://schemas.openxmlformats.org/officeDocument/2006/relationships/hyperlink" Target="http://www.sec.gov/Archives/edgar/data/1487685/000138713112000988/0001387131-12-000988-index.htm" TargetMode="External"/><Relationship Id="rId57" Type="http://schemas.openxmlformats.org/officeDocument/2006/relationships/image" Target="media/image36.png"/><Relationship Id="rId10" Type="http://schemas.openxmlformats.org/officeDocument/2006/relationships/image" Target="media/image2.png"/><Relationship Id="rId31" Type="http://schemas.openxmlformats.org/officeDocument/2006/relationships/image" Target="media/image18.png"/><Relationship Id="rId44" Type="http://schemas.openxmlformats.org/officeDocument/2006/relationships/image" Target="media/image26.png"/><Relationship Id="rId52" Type="http://schemas.openxmlformats.org/officeDocument/2006/relationships/image" Target="media/image32.png"/><Relationship Id="rId60" Type="http://schemas.openxmlformats.org/officeDocument/2006/relationships/hyperlink" Target="http://goo.gl/po3UtR" TargetMode="External"/><Relationship Id="rId65" Type="http://schemas.openxmlformats.org/officeDocument/2006/relationships/image" Target="media/image40.png"/><Relationship Id="rId73" Type="http://schemas.openxmlformats.org/officeDocument/2006/relationships/image" Target="media/image46.png"/><Relationship Id="rId78" Type="http://schemas.openxmlformats.org/officeDocument/2006/relationships/image" Target="cid:image001.png@01D252BF.2A233FB0" TargetMode="External"/><Relationship Id="rId81" Type="http://schemas.openxmlformats.org/officeDocument/2006/relationships/image" Target="media/image50.png"/><Relationship Id="rId86" Type="http://schemas.openxmlformats.org/officeDocument/2006/relationships/theme" Target="theme/theme1.xml"/></Relationships>
</file>

<file path=word/_rels/footer1.xml.rels><?xml version="1.0" encoding="UTF-8" standalone="yes"?>
<Relationships xmlns="http://schemas.openxmlformats.org/package/2006/relationships"><Relationship Id="rId3" Type="http://schemas.openxmlformats.org/officeDocument/2006/relationships/hyperlink" Target="https://creativecommons.org/publicdomain/zero/1.0/" TargetMode="External"/><Relationship Id="rId2" Type="http://schemas.openxmlformats.org/officeDocument/2006/relationships/image" Target="media/image51.png"/><Relationship Id="rId1" Type="http://schemas.openxmlformats.org/officeDocument/2006/relationships/hyperlink" Target="https://creativecommons.org/publicdomain/zero/1.0/" TargetMode="External"/></Relationships>
</file>

<file path=word/_rels/footnotes.xml.rels><?xml version="1.0" encoding="UTF-8" standalone="yes"?>
<Relationships xmlns="http://schemas.openxmlformats.org/package/2006/relationships"><Relationship Id="rId8" Type="http://schemas.openxmlformats.org/officeDocument/2006/relationships/hyperlink" Target="http://xbrlsite.azurewebsites.net/2016/Analysis/UnderstandingDisclosureMechanics.pdf" TargetMode="External"/><Relationship Id="rId13" Type="http://schemas.openxmlformats.org/officeDocument/2006/relationships/hyperlink" Target="http://www.xbrlsite.com/LinkedData/Exemplars/Disclosures2.aspx" TargetMode="External"/><Relationship Id="rId18" Type="http://schemas.openxmlformats.org/officeDocument/2006/relationships/hyperlink" Target="http://xbrl.squarespace.com/journal/2015/5/11/understanding-blocks-slots-templates-and-exemplars.html" TargetMode="External"/><Relationship Id="rId3" Type="http://schemas.openxmlformats.org/officeDocument/2006/relationships/hyperlink" Target="http://xbrl.squarespace.com/journal/2010/6/1/differentiating-syntax-and-semantics.html" TargetMode="External"/><Relationship Id="rId21" Type="http://schemas.openxmlformats.org/officeDocument/2006/relationships/hyperlink" Target="http://xbrl.squarespace.com/journal/2015/2/18/state-of-the-art-use-of-xbrl-definition-relations-to-express.html" TargetMode="External"/><Relationship Id="rId7" Type="http://schemas.openxmlformats.org/officeDocument/2006/relationships/hyperlink" Target="http://xbrl.squarespace.com/journal/2017/1/1/intelligent-xbrl-based-digital-financial-reports.html" TargetMode="External"/><Relationship Id="rId12" Type="http://schemas.openxmlformats.org/officeDocument/2006/relationships/hyperlink" Target="http://xbrl.squarespace.com/journal/2014/3/16/report-level-model-structure-update-insights-obtained.html" TargetMode="External"/><Relationship Id="rId17" Type="http://schemas.openxmlformats.org/officeDocument/2006/relationships/hyperlink" Target="http://www.xbrlsite.com/2014/Library/SummaryInformationAboutConformanceWithFundamentalAccountingConceptRelations.pdf" TargetMode="External"/><Relationship Id="rId25" Type="http://schemas.openxmlformats.org/officeDocument/2006/relationships/hyperlink" Target="http://xbrl.squarespace.com/journal/2014/12/31/understanding-the-benefits-of-classification.html" TargetMode="External"/><Relationship Id="rId2" Type="http://schemas.openxmlformats.org/officeDocument/2006/relationships/hyperlink" Target="http://xbrl.squarespace.com/journal/2016/12/15/understanding-logical-mechanical-and-mathematical-accounting.html" TargetMode="External"/><Relationship Id="rId16" Type="http://schemas.openxmlformats.org/officeDocument/2006/relationships/hyperlink" Target="http://www.xbrlsite.com/2014/Protototype/ReportFrames/ReportFrames.html" TargetMode="External"/><Relationship Id="rId20" Type="http://schemas.openxmlformats.org/officeDocument/2006/relationships/hyperlink" Target="http://csjarchive.cogsci.rpi.edu/1987v11/i04/p0417p0444/MAIN.PDF" TargetMode="External"/><Relationship Id="rId1" Type="http://schemas.openxmlformats.org/officeDocument/2006/relationships/hyperlink" Target="http://xbrl.squarespace.com/journal/2017/4/29/high-quality-examples-of-errors-in-xbrl-based-financial-repo.html" TargetMode="External"/><Relationship Id="rId6" Type="http://schemas.openxmlformats.org/officeDocument/2006/relationships/hyperlink" Target="https://en.wikipedia.org/wiki/Accounting_equation" TargetMode="External"/><Relationship Id="rId11" Type="http://schemas.openxmlformats.org/officeDocument/2006/relationships/hyperlink" Target="http://xbrl.us/Documents/SECOFM-USGAAPT-Architecture-20080428.pdf" TargetMode="External"/><Relationship Id="rId24" Type="http://schemas.openxmlformats.org/officeDocument/2006/relationships/hyperlink" Target="http://www.xbrlsite.com/2014/Protototype/Classes/" TargetMode="External"/><Relationship Id="rId5" Type="http://schemas.openxmlformats.org/officeDocument/2006/relationships/hyperlink" Target="http://xbrl.squarespace.com/journal/2014/3/20/digital-financial-reporting-will-change-accounting-work-prac.html" TargetMode="External"/><Relationship Id="rId15" Type="http://schemas.openxmlformats.org/officeDocument/2006/relationships/hyperlink" Target="http://xbrl.squarespace.com/journal/2014/3/16/fundamental-accounting-concepts-update-insights-obtained.html" TargetMode="External"/><Relationship Id="rId23" Type="http://schemas.openxmlformats.org/officeDocument/2006/relationships/hyperlink" Target="http://www.xbrlsite.com/2014/Library/UnderstandingMinimumProcessSteps-2014-02-14.pdf" TargetMode="External"/><Relationship Id="rId10" Type="http://schemas.openxmlformats.org/officeDocument/2006/relationships/hyperlink" Target="http://xbrl.squarespace.com/journal/2015/5/24/understanding-the-law-of-conservation-of-complexity.html" TargetMode="External"/><Relationship Id="rId19" Type="http://schemas.openxmlformats.org/officeDocument/2006/relationships/hyperlink" Target="http://plato.stanford.edu/entries/mereology/" TargetMode="External"/><Relationship Id="rId4" Type="http://schemas.openxmlformats.org/officeDocument/2006/relationships/hyperlink" Target="http://xbrl.squarespace.com/journal/2015/8/30/understanding-that-business-professionals-can-understand-bus.html" TargetMode="External"/><Relationship Id="rId9" Type="http://schemas.openxmlformats.org/officeDocument/2006/relationships/hyperlink" Target="http://xbrlsite.azurewebsites.net/2016/Analysis/SummaryTable.pdf" TargetMode="External"/><Relationship Id="rId14" Type="http://schemas.openxmlformats.org/officeDocument/2006/relationships/hyperlink" Target="https://edgardashboard.xbrlcloud.com/edgar-dashboard/" TargetMode="External"/><Relationship Id="rId22" Type="http://schemas.openxmlformats.org/officeDocument/2006/relationships/hyperlink" Target="http://www.xbrlsite.com/2014/Library/DisclosureChecklist.pdf"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Walter\Application%20Data\Microsoft\Templates\whNormal.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F46FD6B-4E32-4DAF-8945-877A4DB6F96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whNormal.dot</Template>
  <TotalTime>211</TotalTime>
  <Pages>51</Pages>
  <Words>13339</Words>
  <Characters>76036</Characters>
  <Application>Microsoft Office Word</Application>
  <DocSecurity>0</DocSecurity>
  <Lines>633</Lines>
  <Paragraphs>178</Paragraphs>
  <ScaleCrop>false</ScaleCrop>
  <HeadingPairs>
    <vt:vector size="2" baseType="variant">
      <vt:variant>
        <vt:lpstr>Title</vt:lpstr>
      </vt:variant>
      <vt:variant>
        <vt:i4>1</vt:i4>
      </vt:variant>
    </vt:vector>
  </HeadingPairs>
  <TitlesOfParts>
    <vt:vector size="1" baseType="lpstr">
      <vt:lpstr>Financial Reporting Using XBRL</vt:lpstr>
    </vt:vector>
  </TitlesOfParts>
  <Company/>
  <LinksUpToDate>false</LinksUpToDate>
  <CharactersWithSpaces>89197</CharactersWithSpaces>
  <SharedDoc>false</SharedDoc>
  <HLinks>
    <vt:vector size="1212" baseType="variant">
      <vt:variant>
        <vt:i4>7929872</vt:i4>
      </vt:variant>
      <vt:variant>
        <vt:i4>1104</vt:i4>
      </vt:variant>
      <vt:variant>
        <vt:i4>0</vt:i4>
      </vt:variant>
      <vt:variant>
        <vt:i4>5</vt:i4>
      </vt:variant>
      <vt:variant>
        <vt:lpwstr>http://en.wikipedia.org/wiki/Partition_of_a_set</vt:lpwstr>
      </vt:variant>
      <vt:variant>
        <vt:lpwstr/>
      </vt:variant>
      <vt:variant>
        <vt:i4>6160399</vt:i4>
      </vt:variant>
      <vt:variant>
        <vt:i4>1101</vt:i4>
      </vt:variant>
      <vt:variant>
        <vt:i4>0</vt:i4>
      </vt:variant>
      <vt:variant>
        <vt:i4>5</vt:i4>
      </vt:variant>
      <vt:variant>
        <vt:lpwstr>http://www.xbrl.org/Specification/XDT-REC-2006-09-18+Corrected-Errata-2009-09-07.htm</vt:lpwstr>
      </vt:variant>
      <vt:variant>
        <vt:lpwstr/>
      </vt:variant>
      <vt:variant>
        <vt:i4>3342379</vt:i4>
      </vt:variant>
      <vt:variant>
        <vt:i4>1098</vt:i4>
      </vt:variant>
      <vt:variant>
        <vt:i4>0</vt:i4>
      </vt:variant>
      <vt:variant>
        <vt:i4>5</vt:i4>
      </vt:variant>
      <vt:variant>
        <vt:lpwstr>http://www.xbrlsite.com/US-GAAP-2011/Exemplars/Viewer3.html</vt:lpwstr>
      </vt:variant>
      <vt:variant>
        <vt:lpwstr/>
      </vt:variant>
      <vt:variant>
        <vt:i4>3342452</vt:i4>
      </vt:variant>
      <vt:variant>
        <vt:i4>1095</vt:i4>
      </vt:variant>
      <vt:variant>
        <vt:i4>0</vt:i4>
      </vt:variant>
      <vt:variant>
        <vt:i4>5</vt:i4>
      </vt:variant>
      <vt:variant>
        <vt:lpwstr>http://www.xbrlsite.com/US-GAAP-2011/Exemplars/Viewer.html</vt:lpwstr>
      </vt:variant>
      <vt:variant>
        <vt:lpwstr/>
      </vt:variant>
      <vt:variant>
        <vt:i4>7077938</vt:i4>
      </vt:variant>
      <vt:variant>
        <vt:i4>1092</vt:i4>
      </vt:variant>
      <vt:variant>
        <vt:i4>0</vt:i4>
      </vt:variant>
      <vt:variant>
        <vt:i4>5</vt:i4>
      </vt:variant>
      <vt:variant>
        <vt:lpwstr>http://goo.gl/AUwrO</vt:lpwstr>
      </vt:variant>
      <vt:variant>
        <vt:lpwstr/>
      </vt:variant>
      <vt:variant>
        <vt:i4>4718664</vt:i4>
      </vt:variant>
      <vt:variant>
        <vt:i4>1089</vt:i4>
      </vt:variant>
      <vt:variant>
        <vt:i4>0</vt:i4>
      </vt:variant>
      <vt:variant>
        <vt:i4>5</vt:i4>
      </vt:variant>
      <vt:variant>
        <vt:lpwstr>http://xbrl.us/Documents/SECOFM-USGAAPT-Architecture-20080428.pdf</vt:lpwstr>
      </vt:variant>
      <vt:variant>
        <vt:lpwstr/>
      </vt:variant>
      <vt:variant>
        <vt:i4>7274544</vt:i4>
      </vt:variant>
      <vt:variant>
        <vt:i4>1086</vt:i4>
      </vt:variant>
      <vt:variant>
        <vt:i4>0</vt:i4>
      </vt:variant>
      <vt:variant>
        <vt:i4>5</vt:i4>
      </vt:variant>
      <vt:variant>
        <vt:lpwstr>http://www.xbrlsite.com/US-GAAP/Metapatterns/US-GAAP-Taxonomy-Metapatterns.pdf</vt:lpwstr>
      </vt:variant>
      <vt:variant>
        <vt:lpwstr/>
      </vt:variant>
      <vt:variant>
        <vt:i4>4128867</vt:i4>
      </vt:variant>
      <vt:variant>
        <vt:i4>1083</vt:i4>
      </vt:variant>
      <vt:variant>
        <vt:i4>0</vt:i4>
      </vt:variant>
      <vt:variant>
        <vt:i4>5</vt:i4>
      </vt:variant>
      <vt:variant>
        <vt:lpwstr>http://www.xbrlsite.com/Metapatterns/2010-08-01/Matrix.html</vt:lpwstr>
      </vt:variant>
      <vt:variant>
        <vt:lpwstr/>
      </vt:variant>
      <vt:variant>
        <vt:i4>3866687</vt:i4>
      </vt:variant>
      <vt:variant>
        <vt:i4>1080</vt:i4>
      </vt:variant>
      <vt:variant>
        <vt:i4>0</vt:i4>
      </vt:variant>
      <vt:variant>
        <vt:i4>5</vt:i4>
      </vt:variant>
      <vt:variant>
        <vt:lpwstr>http://www.xbrlsite.com/Patterns/2010-08-01/BusinessUseCases-Documentation.pdf</vt:lpwstr>
      </vt:variant>
      <vt:variant>
        <vt:lpwstr/>
      </vt:variant>
      <vt:variant>
        <vt:i4>3866746</vt:i4>
      </vt:variant>
      <vt:variant>
        <vt:i4>1077</vt:i4>
      </vt:variant>
      <vt:variant>
        <vt:i4>0</vt:i4>
      </vt:variant>
      <vt:variant>
        <vt:i4>5</vt:i4>
      </vt:variant>
      <vt:variant>
        <vt:lpwstr>http://www.xbrlsite.com/Patterns/2010-08-01/Matrix.html</vt:lpwstr>
      </vt:variant>
      <vt:variant>
        <vt:lpwstr/>
      </vt:variant>
      <vt:variant>
        <vt:i4>1376282</vt:i4>
      </vt:variant>
      <vt:variant>
        <vt:i4>1074</vt:i4>
      </vt:variant>
      <vt:variant>
        <vt:i4>0</vt:i4>
      </vt:variant>
      <vt:variant>
        <vt:i4>5</vt:i4>
      </vt:variant>
      <vt:variant>
        <vt:lpwstr>http://www.xbrl.org/us/USFRTF/USFRTF-PatternsGuide-PWD-2007-04-17.doc</vt:lpwstr>
      </vt:variant>
      <vt:variant>
        <vt:lpwstr/>
      </vt:variant>
      <vt:variant>
        <vt:i4>4259933</vt:i4>
      </vt:variant>
      <vt:variant>
        <vt:i4>1071</vt:i4>
      </vt:variant>
      <vt:variant>
        <vt:i4>0</vt:i4>
      </vt:variant>
      <vt:variant>
        <vt:i4>5</vt:i4>
      </vt:variant>
      <vt:variant>
        <vt:lpwstr>http://www.xbrlsite.com/US-GAAP-2011/ReferenceImplementation/2011-03-15/Documentation.pdf</vt:lpwstr>
      </vt:variant>
      <vt:variant>
        <vt:lpwstr/>
      </vt:variant>
      <vt:variant>
        <vt:i4>4587590</vt:i4>
      </vt:variant>
      <vt:variant>
        <vt:i4>1068</vt:i4>
      </vt:variant>
      <vt:variant>
        <vt:i4>0</vt:i4>
      </vt:variant>
      <vt:variant>
        <vt:i4>5</vt:i4>
      </vt:variant>
      <vt:variant>
        <vt:lpwstr>http://www.xbrlsite.com/US-GAAP-2011/ReferenceImplementation/2011-03-15/Landing.html</vt:lpwstr>
      </vt:variant>
      <vt:variant>
        <vt:lpwstr/>
      </vt:variant>
      <vt:variant>
        <vt:i4>983054</vt:i4>
      </vt:variant>
      <vt:variant>
        <vt:i4>1065</vt:i4>
      </vt:variant>
      <vt:variant>
        <vt:i4>0</vt:i4>
      </vt:variant>
      <vt:variant>
        <vt:i4>5</vt:i4>
      </vt:variant>
      <vt:variant>
        <vt:lpwstr>http://www.sec.gov/Archives/edgar/data/859139/000095012310103206</vt:lpwstr>
      </vt:variant>
      <vt:variant>
        <vt:lpwstr/>
      </vt:variant>
      <vt:variant>
        <vt:i4>1638426</vt:i4>
      </vt:variant>
      <vt:variant>
        <vt:i4>1062</vt:i4>
      </vt:variant>
      <vt:variant>
        <vt:i4>0</vt:i4>
      </vt:variant>
      <vt:variant>
        <vt:i4>5</vt:i4>
      </vt:variant>
      <vt:variant>
        <vt:lpwstr>http://www.sec.gov/Archives/edgar/data/1168213/000116821310000075</vt:lpwstr>
      </vt:variant>
      <vt:variant>
        <vt:lpwstr/>
      </vt:variant>
      <vt:variant>
        <vt:i4>7733362</vt:i4>
      </vt:variant>
      <vt:variant>
        <vt:i4>1059</vt:i4>
      </vt:variant>
      <vt:variant>
        <vt:i4>0</vt:i4>
      </vt:variant>
      <vt:variant>
        <vt:i4>5</vt:i4>
      </vt:variant>
      <vt:variant>
        <vt:lpwstr>http://www.xbrlsite.com/2011/Analysis/</vt:lpwstr>
      </vt:variant>
      <vt:variant>
        <vt:lpwstr/>
      </vt:variant>
      <vt:variant>
        <vt:i4>4128867</vt:i4>
      </vt:variant>
      <vt:variant>
        <vt:i4>1056</vt:i4>
      </vt:variant>
      <vt:variant>
        <vt:i4>0</vt:i4>
      </vt:variant>
      <vt:variant>
        <vt:i4>5</vt:i4>
      </vt:variant>
      <vt:variant>
        <vt:lpwstr>http://www.xbrlsite.com/Metapatterns/2010-08-01/Matrix.html</vt:lpwstr>
      </vt:variant>
      <vt:variant>
        <vt:lpwstr/>
      </vt:variant>
      <vt:variant>
        <vt:i4>917608</vt:i4>
      </vt:variant>
      <vt:variant>
        <vt:i4>1053</vt:i4>
      </vt:variant>
      <vt:variant>
        <vt:i4>0</vt:i4>
      </vt:variant>
      <vt:variant>
        <vt:i4>5</vt:i4>
      </vt:variant>
      <vt:variant>
        <vt:lpwstr>http://en.wikipedia.org/wiki/Concept_learning</vt:lpwstr>
      </vt:variant>
      <vt:variant>
        <vt:lpwstr/>
      </vt:variant>
      <vt:variant>
        <vt:i4>6881336</vt:i4>
      </vt:variant>
      <vt:variant>
        <vt:i4>1050</vt:i4>
      </vt:variant>
      <vt:variant>
        <vt:i4>0</vt:i4>
      </vt:variant>
      <vt:variant>
        <vt:i4>5</vt:i4>
      </vt:variant>
      <vt:variant>
        <vt:lpwstr>http://courses.umass.edu/psy315/prototype.html</vt:lpwstr>
      </vt:variant>
      <vt:variant>
        <vt:lpwstr/>
      </vt:variant>
      <vt:variant>
        <vt:i4>1048687</vt:i4>
      </vt:variant>
      <vt:variant>
        <vt:i4>1047</vt:i4>
      </vt:variant>
      <vt:variant>
        <vt:i4>0</vt:i4>
      </vt:variant>
      <vt:variant>
        <vt:i4>5</vt:i4>
      </vt:variant>
      <vt:variant>
        <vt:lpwstr>http://en.wikipedia.org/wiki/Prototype_theory</vt:lpwstr>
      </vt:variant>
      <vt:variant>
        <vt:lpwstr/>
      </vt:variant>
      <vt:variant>
        <vt:i4>5046283</vt:i4>
      </vt:variant>
      <vt:variant>
        <vt:i4>1044</vt:i4>
      </vt:variant>
      <vt:variant>
        <vt:i4>0</vt:i4>
      </vt:variant>
      <vt:variant>
        <vt:i4>5</vt:i4>
      </vt:variant>
      <vt:variant>
        <vt:lpwstr>http://www.xbrlsite.com/US-GAAP/ReferenceImplementation/Comparison/Index.html</vt:lpwstr>
      </vt:variant>
      <vt:variant>
        <vt:lpwstr/>
      </vt:variant>
      <vt:variant>
        <vt:i4>3342379</vt:i4>
      </vt:variant>
      <vt:variant>
        <vt:i4>1041</vt:i4>
      </vt:variant>
      <vt:variant>
        <vt:i4>0</vt:i4>
      </vt:variant>
      <vt:variant>
        <vt:i4>5</vt:i4>
      </vt:variant>
      <vt:variant>
        <vt:lpwstr>http://www.xbrlsite.com/US-GAAP-2011/Exemplars/Viewer3.html</vt:lpwstr>
      </vt:variant>
      <vt:variant>
        <vt:lpwstr/>
      </vt:variant>
      <vt:variant>
        <vt:i4>3342452</vt:i4>
      </vt:variant>
      <vt:variant>
        <vt:i4>1038</vt:i4>
      </vt:variant>
      <vt:variant>
        <vt:i4>0</vt:i4>
      </vt:variant>
      <vt:variant>
        <vt:i4>5</vt:i4>
      </vt:variant>
      <vt:variant>
        <vt:lpwstr>http://www.xbrlsite.com/US-GAAP-2011/Exemplars/Viewer.html</vt:lpwstr>
      </vt:variant>
      <vt:variant>
        <vt:lpwstr/>
      </vt:variant>
      <vt:variant>
        <vt:i4>6160474</vt:i4>
      </vt:variant>
      <vt:variant>
        <vt:i4>1032</vt:i4>
      </vt:variant>
      <vt:variant>
        <vt:i4>0</vt:i4>
      </vt:variant>
      <vt:variant>
        <vt:i4>5</vt:i4>
      </vt:variant>
      <vt:variant>
        <vt:lpwstr>http://stexx.files.wordpress.com/2010/07/combining_unstructured_semistructured_fullystructured_data.pdf</vt:lpwstr>
      </vt:variant>
      <vt:variant>
        <vt:lpwstr/>
      </vt:variant>
      <vt:variant>
        <vt:i4>8126563</vt:i4>
      </vt:variant>
      <vt:variant>
        <vt:i4>1029</vt:i4>
      </vt:variant>
      <vt:variant>
        <vt:i4>0</vt:i4>
      </vt:variant>
      <vt:variant>
        <vt:i4>5</vt:i4>
      </vt:variant>
      <vt:variant>
        <vt:lpwstr>http://goo.gl/4fSqO</vt:lpwstr>
      </vt:variant>
      <vt:variant>
        <vt:lpwstr/>
      </vt:variant>
      <vt:variant>
        <vt:i4>7798887</vt:i4>
      </vt:variant>
      <vt:variant>
        <vt:i4>1026</vt:i4>
      </vt:variant>
      <vt:variant>
        <vt:i4>0</vt:i4>
      </vt:variant>
      <vt:variant>
        <vt:i4>5</vt:i4>
      </vt:variant>
      <vt:variant>
        <vt:lpwstr>http://xasb.org/roles/BalanceSheet</vt:lpwstr>
      </vt:variant>
      <vt:variant>
        <vt:lpwstr/>
      </vt:variant>
      <vt:variant>
        <vt:i4>1835093</vt:i4>
      </vt:variant>
      <vt:variant>
        <vt:i4>1023</vt:i4>
      </vt:variant>
      <vt:variant>
        <vt:i4>0</vt:i4>
      </vt:variant>
      <vt:variant>
        <vt:i4>5</vt:i4>
      </vt:variant>
      <vt:variant>
        <vt:lpwstr>http://www.xbrlsite.com/US-GAAP-2011/LogicalModel/SEC-LogicalModel-2011-02-01.pdf</vt:lpwstr>
      </vt:variant>
      <vt:variant>
        <vt:lpwstr/>
      </vt:variant>
      <vt:variant>
        <vt:i4>7471201</vt:i4>
      </vt:variant>
      <vt:variant>
        <vt:i4>1017</vt:i4>
      </vt:variant>
      <vt:variant>
        <vt:i4>0</vt:i4>
      </vt:variant>
      <vt:variant>
        <vt:i4>5</vt:i4>
      </vt:variant>
      <vt:variant>
        <vt:lpwstr>http://goo.gl/qQ4Hx</vt:lpwstr>
      </vt:variant>
      <vt:variant>
        <vt:lpwstr/>
      </vt:variant>
      <vt:variant>
        <vt:i4>458762</vt:i4>
      </vt:variant>
      <vt:variant>
        <vt:i4>1014</vt:i4>
      </vt:variant>
      <vt:variant>
        <vt:i4>0</vt:i4>
      </vt:variant>
      <vt:variant>
        <vt:i4>5</vt:i4>
      </vt:variant>
      <vt:variant>
        <vt:lpwstr>http://xbrl.squarespace.com/</vt:lpwstr>
      </vt:variant>
      <vt:variant>
        <vt:lpwstr/>
      </vt:variant>
      <vt:variant>
        <vt:i4>1310783</vt:i4>
      </vt:variant>
      <vt:variant>
        <vt:i4>1007</vt:i4>
      </vt:variant>
      <vt:variant>
        <vt:i4>0</vt:i4>
      </vt:variant>
      <vt:variant>
        <vt:i4>5</vt:i4>
      </vt:variant>
      <vt:variant>
        <vt:lpwstr/>
      </vt:variant>
      <vt:variant>
        <vt:lpwstr>_Toc291850929</vt:lpwstr>
      </vt:variant>
      <vt:variant>
        <vt:i4>1310783</vt:i4>
      </vt:variant>
      <vt:variant>
        <vt:i4>1001</vt:i4>
      </vt:variant>
      <vt:variant>
        <vt:i4>0</vt:i4>
      </vt:variant>
      <vt:variant>
        <vt:i4>5</vt:i4>
      </vt:variant>
      <vt:variant>
        <vt:lpwstr/>
      </vt:variant>
      <vt:variant>
        <vt:lpwstr>_Toc291850928</vt:lpwstr>
      </vt:variant>
      <vt:variant>
        <vt:i4>1310783</vt:i4>
      </vt:variant>
      <vt:variant>
        <vt:i4>995</vt:i4>
      </vt:variant>
      <vt:variant>
        <vt:i4>0</vt:i4>
      </vt:variant>
      <vt:variant>
        <vt:i4>5</vt:i4>
      </vt:variant>
      <vt:variant>
        <vt:lpwstr/>
      </vt:variant>
      <vt:variant>
        <vt:lpwstr>_Toc291850927</vt:lpwstr>
      </vt:variant>
      <vt:variant>
        <vt:i4>1310783</vt:i4>
      </vt:variant>
      <vt:variant>
        <vt:i4>989</vt:i4>
      </vt:variant>
      <vt:variant>
        <vt:i4>0</vt:i4>
      </vt:variant>
      <vt:variant>
        <vt:i4>5</vt:i4>
      </vt:variant>
      <vt:variant>
        <vt:lpwstr/>
      </vt:variant>
      <vt:variant>
        <vt:lpwstr>_Toc291850926</vt:lpwstr>
      </vt:variant>
      <vt:variant>
        <vt:i4>1310783</vt:i4>
      </vt:variant>
      <vt:variant>
        <vt:i4>983</vt:i4>
      </vt:variant>
      <vt:variant>
        <vt:i4>0</vt:i4>
      </vt:variant>
      <vt:variant>
        <vt:i4>5</vt:i4>
      </vt:variant>
      <vt:variant>
        <vt:lpwstr/>
      </vt:variant>
      <vt:variant>
        <vt:lpwstr>_Toc291850925</vt:lpwstr>
      </vt:variant>
      <vt:variant>
        <vt:i4>1310783</vt:i4>
      </vt:variant>
      <vt:variant>
        <vt:i4>977</vt:i4>
      </vt:variant>
      <vt:variant>
        <vt:i4>0</vt:i4>
      </vt:variant>
      <vt:variant>
        <vt:i4>5</vt:i4>
      </vt:variant>
      <vt:variant>
        <vt:lpwstr/>
      </vt:variant>
      <vt:variant>
        <vt:lpwstr>_Toc291850924</vt:lpwstr>
      </vt:variant>
      <vt:variant>
        <vt:i4>1310783</vt:i4>
      </vt:variant>
      <vt:variant>
        <vt:i4>971</vt:i4>
      </vt:variant>
      <vt:variant>
        <vt:i4>0</vt:i4>
      </vt:variant>
      <vt:variant>
        <vt:i4>5</vt:i4>
      </vt:variant>
      <vt:variant>
        <vt:lpwstr/>
      </vt:variant>
      <vt:variant>
        <vt:lpwstr>_Toc291850923</vt:lpwstr>
      </vt:variant>
      <vt:variant>
        <vt:i4>1310783</vt:i4>
      </vt:variant>
      <vt:variant>
        <vt:i4>965</vt:i4>
      </vt:variant>
      <vt:variant>
        <vt:i4>0</vt:i4>
      </vt:variant>
      <vt:variant>
        <vt:i4>5</vt:i4>
      </vt:variant>
      <vt:variant>
        <vt:lpwstr/>
      </vt:variant>
      <vt:variant>
        <vt:lpwstr>_Toc291850922</vt:lpwstr>
      </vt:variant>
      <vt:variant>
        <vt:i4>1310783</vt:i4>
      </vt:variant>
      <vt:variant>
        <vt:i4>959</vt:i4>
      </vt:variant>
      <vt:variant>
        <vt:i4>0</vt:i4>
      </vt:variant>
      <vt:variant>
        <vt:i4>5</vt:i4>
      </vt:variant>
      <vt:variant>
        <vt:lpwstr/>
      </vt:variant>
      <vt:variant>
        <vt:lpwstr>_Toc291850921</vt:lpwstr>
      </vt:variant>
      <vt:variant>
        <vt:i4>1310783</vt:i4>
      </vt:variant>
      <vt:variant>
        <vt:i4>953</vt:i4>
      </vt:variant>
      <vt:variant>
        <vt:i4>0</vt:i4>
      </vt:variant>
      <vt:variant>
        <vt:i4>5</vt:i4>
      </vt:variant>
      <vt:variant>
        <vt:lpwstr/>
      </vt:variant>
      <vt:variant>
        <vt:lpwstr>_Toc291850920</vt:lpwstr>
      </vt:variant>
      <vt:variant>
        <vt:i4>1507391</vt:i4>
      </vt:variant>
      <vt:variant>
        <vt:i4>947</vt:i4>
      </vt:variant>
      <vt:variant>
        <vt:i4>0</vt:i4>
      </vt:variant>
      <vt:variant>
        <vt:i4>5</vt:i4>
      </vt:variant>
      <vt:variant>
        <vt:lpwstr/>
      </vt:variant>
      <vt:variant>
        <vt:lpwstr>_Toc291850919</vt:lpwstr>
      </vt:variant>
      <vt:variant>
        <vt:i4>1507391</vt:i4>
      </vt:variant>
      <vt:variant>
        <vt:i4>941</vt:i4>
      </vt:variant>
      <vt:variant>
        <vt:i4>0</vt:i4>
      </vt:variant>
      <vt:variant>
        <vt:i4>5</vt:i4>
      </vt:variant>
      <vt:variant>
        <vt:lpwstr/>
      </vt:variant>
      <vt:variant>
        <vt:lpwstr>_Toc291850918</vt:lpwstr>
      </vt:variant>
      <vt:variant>
        <vt:i4>1507391</vt:i4>
      </vt:variant>
      <vt:variant>
        <vt:i4>935</vt:i4>
      </vt:variant>
      <vt:variant>
        <vt:i4>0</vt:i4>
      </vt:variant>
      <vt:variant>
        <vt:i4>5</vt:i4>
      </vt:variant>
      <vt:variant>
        <vt:lpwstr/>
      </vt:variant>
      <vt:variant>
        <vt:lpwstr>_Toc291850917</vt:lpwstr>
      </vt:variant>
      <vt:variant>
        <vt:i4>1507391</vt:i4>
      </vt:variant>
      <vt:variant>
        <vt:i4>929</vt:i4>
      </vt:variant>
      <vt:variant>
        <vt:i4>0</vt:i4>
      </vt:variant>
      <vt:variant>
        <vt:i4>5</vt:i4>
      </vt:variant>
      <vt:variant>
        <vt:lpwstr/>
      </vt:variant>
      <vt:variant>
        <vt:lpwstr>_Toc291850916</vt:lpwstr>
      </vt:variant>
      <vt:variant>
        <vt:i4>1507391</vt:i4>
      </vt:variant>
      <vt:variant>
        <vt:i4>923</vt:i4>
      </vt:variant>
      <vt:variant>
        <vt:i4>0</vt:i4>
      </vt:variant>
      <vt:variant>
        <vt:i4>5</vt:i4>
      </vt:variant>
      <vt:variant>
        <vt:lpwstr/>
      </vt:variant>
      <vt:variant>
        <vt:lpwstr>_Toc291850915</vt:lpwstr>
      </vt:variant>
      <vt:variant>
        <vt:i4>1507391</vt:i4>
      </vt:variant>
      <vt:variant>
        <vt:i4>917</vt:i4>
      </vt:variant>
      <vt:variant>
        <vt:i4>0</vt:i4>
      </vt:variant>
      <vt:variant>
        <vt:i4>5</vt:i4>
      </vt:variant>
      <vt:variant>
        <vt:lpwstr/>
      </vt:variant>
      <vt:variant>
        <vt:lpwstr>_Toc291850914</vt:lpwstr>
      </vt:variant>
      <vt:variant>
        <vt:i4>1507391</vt:i4>
      </vt:variant>
      <vt:variant>
        <vt:i4>911</vt:i4>
      </vt:variant>
      <vt:variant>
        <vt:i4>0</vt:i4>
      </vt:variant>
      <vt:variant>
        <vt:i4>5</vt:i4>
      </vt:variant>
      <vt:variant>
        <vt:lpwstr/>
      </vt:variant>
      <vt:variant>
        <vt:lpwstr>_Toc291850913</vt:lpwstr>
      </vt:variant>
      <vt:variant>
        <vt:i4>1507391</vt:i4>
      </vt:variant>
      <vt:variant>
        <vt:i4>905</vt:i4>
      </vt:variant>
      <vt:variant>
        <vt:i4>0</vt:i4>
      </vt:variant>
      <vt:variant>
        <vt:i4>5</vt:i4>
      </vt:variant>
      <vt:variant>
        <vt:lpwstr/>
      </vt:variant>
      <vt:variant>
        <vt:lpwstr>_Toc291850912</vt:lpwstr>
      </vt:variant>
      <vt:variant>
        <vt:i4>1507391</vt:i4>
      </vt:variant>
      <vt:variant>
        <vt:i4>899</vt:i4>
      </vt:variant>
      <vt:variant>
        <vt:i4>0</vt:i4>
      </vt:variant>
      <vt:variant>
        <vt:i4>5</vt:i4>
      </vt:variant>
      <vt:variant>
        <vt:lpwstr/>
      </vt:variant>
      <vt:variant>
        <vt:lpwstr>_Toc291850911</vt:lpwstr>
      </vt:variant>
      <vt:variant>
        <vt:i4>1507391</vt:i4>
      </vt:variant>
      <vt:variant>
        <vt:i4>893</vt:i4>
      </vt:variant>
      <vt:variant>
        <vt:i4>0</vt:i4>
      </vt:variant>
      <vt:variant>
        <vt:i4>5</vt:i4>
      </vt:variant>
      <vt:variant>
        <vt:lpwstr/>
      </vt:variant>
      <vt:variant>
        <vt:lpwstr>_Toc291850910</vt:lpwstr>
      </vt:variant>
      <vt:variant>
        <vt:i4>1441855</vt:i4>
      </vt:variant>
      <vt:variant>
        <vt:i4>887</vt:i4>
      </vt:variant>
      <vt:variant>
        <vt:i4>0</vt:i4>
      </vt:variant>
      <vt:variant>
        <vt:i4>5</vt:i4>
      </vt:variant>
      <vt:variant>
        <vt:lpwstr/>
      </vt:variant>
      <vt:variant>
        <vt:lpwstr>_Toc291850909</vt:lpwstr>
      </vt:variant>
      <vt:variant>
        <vt:i4>1441855</vt:i4>
      </vt:variant>
      <vt:variant>
        <vt:i4>881</vt:i4>
      </vt:variant>
      <vt:variant>
        <vt:i4>0</vt:i4>
      </vt:variant>
      <vt:variant>
        <vt:i4>5</vt:i4>
      </vt:variant>
      <vt:variant>
        <vt:lpwstr/>
      </vt:variant>
      <vt:variant>
        <vt:lpwstr>_Toc291850908</vt:lpwstr>
      </vt:variant>
      <vt:variant>
        <vt:i4>1441855</vt:i4>
      </vt:variant>
      <vt:variant>
        <vt:i4>875</vt:i4>
      </vt:variant>
      <vt:variant>
        <vt:i4>0</vt:i4>
      </vt:variant>
      <vt:variant>
        <vt:i4>5</vt:i4>
      </vt:variant>
      <vt:variant>
        <vt:lpwstr/>
      </vt:variant>
      <vt:variant>
        <vt:lpwstr>_Toc291850907</vt:lpwstr>
      </vt:variant>
      <vt:variant>
        <vt:i4>1441855</vt:i4>
      </vt:variant>
      <vt:variant>
        <vt:i4>869</vt:i4>
      </vt:variant>
      <vt:variant>
        <vt:i4>0</vt:i4>
      </vt:variant>
      <vt:variant>
        <vt:i4>5</vt:i4>
      </vt:variant>
      <vt:variant>
        <vt:lpwstr/>
      </vt:variant>
      <vt:variant>
        <vt:lpwstr>_Toc291850906</vt:lpwstr>
      </vt:variant>
      <vt:variant>
        <vt:i4>1441855</vt:i4>
      </vt:variant>
      <vt:variant>
        <vt:i4>863</vt:i4>
      </vt:variant>
      <vt:variant>
        <vt:i4>0</vt:i4>
      </vt:variant>
      <vt:variant>
        <vt:i4>5</vt:i4>
      </vt:variant>
      <vt:variant>
        <vt:lpwstr/>
      </vt:variant>
      <vt:variant>
        <vt:lpwstr>_Toc291850905</vt:lpwstr>
      </vt:variant>
      <vt:variant>
        <vt:i4>1441855</vt:i4>
      </vt:variant>
      <vt:variant>
        <vt:i4>857</vt:i4>
      </vt:variant>
      <vt:variant>
        <vt:i4>0</vt:i4>
      </vt:variant>
      <vt:variant>
        <vt:i4>5</vt:i4>
      </vt:variant>
      <vt:variant>
        <vt:lpwstr/>
      </vt:variant>
      <vt:variant>
        <vt:lpwstr>_Toc291850904</vt:lpwstr>
      </vt:variant>
      <vt:variant>
        <vt:i4>1441855</vt:i4>
      </vt:variant>
      <vt:variant>
        <vt:i4>851</vt:i4>
      </vt:variant>
      <vt:variant>
        <vt:i4>0</vt:i4>
      </vt:variant>
      <vt:variant>
        <vt:i4>5</vt:i4>
      </vt:variant>
      <vt:variant>
        <vt:lpwstr/>
      </vt:variant>
      <vt:variant>
        <vt:lpwstr>_Toc291850903</vt:lpwstr>
      </vt:variant>
      <vt:variant>
        <vt:i4>1441855</vt:i4>
      </vt:variant>
      <vt:variant>
        <vt:i4>845</vt:i4>
      </vt:variant>
      <vt:variant>
        <vt:i4>0</vt:i4>
      </vt:variant>
      <vt:variant>
        <vt:i4>5</vt:i4>
      </vt:variant>
      <vt:variant>
        <vt:lpwstr/>
      </vt:variant>
      <vt:variant>
        <vt:lpwstr>_Toc291850902</vt:lpwstr>
      </vt:variant>
      <vt:variant>
        <vt:i4>1441855</vt:i4>
      </vt:variant>
      <vt:variant>
        <vt:i4>839</vt:i4>
      </vt:variant>
      <vt:variant>
        <vt:i4>0</vt:i4>
      </vt:variant>
      <vt:variant>
        <vt:i4>5</vt:i4>
      </vt:variant>
      <vt:variant>
        <vt:lpwstr/>
      </vt:variant>
      <vt:variant>
        <vt:lpwstr>_Toc291850901</vt:lpwstr>
      </vt:variant>
      <vt:variant>
        <vt:i4>1441855</vt:i4>
      </vt:variant>
      <vt:variant>
        <vt:i4>833</vt:i4>
      </vt:variant>
      <vt:variant>
        <vt:i4>0</vt:i4>
      </vt:variant>
      <vt:variant>
        <vt:i4>5</vt:i4>
      </vt:variant>
      <vt:variant>
        <vt:lpwstr/>
      </vt:variant>
      <vt:variant>
        <vt:lpwstr>_Toc291850900</vt:lpwstr>
      </vt:variant>
      <vt:variant>
        <vt:i4>2031678</vt:i4>
      </vt:variant>
      <vt:variant>
        <vt:i4>827</vt:i4>
      </vt:variant>
      <vt:variant>
        <vt:i4>0</vt:i4>
      </vt:variant>
      <vt:variant>
        <vt:i4>5</vt:i4>
      </vt:variant>
      <vt:variant>
        <vt:lpwstr/>
      </vt:variant>
      <vt:variant>
        <vt:lpwstr>_Toc291850899</vt:lpwstr>
      </vt:variant>
      <vt:variant>
        <vt:i4>2031678</vt:i4>
      </vt:variant>
      <vt:variant>
        <vt:i4>821</vt:i4>
      </vt:variant>
      <vt:variant>
        <vt:i4>0</vt:i4>
      </vt:variant>
      <vt:variant>
        <vt:i4>5</vt:i4>
      </vt:variant>
      <vt:variant>
        <vt:lpwstr/>
      </vt:variant>
      <vt:variant>
        <vt:lpwstr>_Toc291850898</vt:lpwstr>
      </vt:variant>
      <vt:variant>
        <vt:i4>2031678</vt:i4>
      </vt:variant>
      <vt:variant>
        <vt:i4>815</vt:i4>
      </vt:variant>
      <vt:variant>
        <vt:i4>0</vt:i4>
      </vt:variant>
      <vt:variant>
        <vt:i4>5</vt:i4>
      </vt:variant>
      <vt:variant>
        <vt:lpwstr/>
      </vt:variant>
      <vt:variant>
        <vt:lpwstr>_Toc291850897</vt:lpwstr>
      </vt:variant>
      <vt:variant>
        <vt:i4>2031678</vt:i4>
      </vt:variant>
      <vt:variant>
        <vt:i4>809</vt:i4>
      </vt:variant>
      <vt:variant>
        <vt:i4>0</vt:i4>
      </vt:variant>
      <vt:variant>
        <vt:i4>5</vt:i4>
      </vt:variant>
      <vt:variant>
        <vt:lpwstr/>
      </vt:variant>
      <vt:variant>
        <vt:lpwstr>_Toc291850896</vt:lpwstr>
      </vt:variant>
      <vt:variant>
        <vt:i4>2031678</vt:i4>
      </vt:variant>
      <vt:variant>
        <vt:i4>803</vt:i4>
      </vt:variant>
      <vt:variant>
        <vt:i4>0</vt:i4>
      </vt:variant>
      <vt:variant>
        <vt:i4>5</vt:i4>
      </vt:variant>
      <vt:variant>
        <vt:lpwstr/>
      </vt:variant>
      <vt:variant>
        <vt:lpwstr>_Toc291850895</vt:lpwstr>
      </vt:variant>
      <vt:variant>
        <vt:i4>2031678</vt:i4>
      </vt:variant>
      <vt:variant>
        <vt:i4>797</vt:i4>
      </vt:variant>
      <vt:variant>
        <vt:i4>0</vt:i4>
      </vt:variant>
      <vt:variant>
        <vt:i4>5</vt:i4>
      </vt:variant>
      <vt:variant>
        <vt:lpwstr/>
      </vt:variant>
      <vt:variant>
        <vt:lpwstr>_Toc291850894</vt:lpwstr>
      </vt:variant>
      <vt:variant>
        <vt:i4>2031678</vt:i4>
      </vt:variant>
      <vt:variant>
        <vt:i4>791</vt:i4>
      </vt:variant>
      <vt:variant>
        <vt:i4>0</vt:i4>
      </vt:variant>
      <vt:variant>
        <vt:i4>5</vt:i4>
      </vt:variant>
      <vt:variant>
        <vt:lpwstr/>
      </vt:variant>
      <vt:variant>
        <vt:lpwstr>_Toc291850893</vt:lpwstr>
      </vt:variant>
      <vt:variant>
        <vt:i4>2031678</vt:i4>
      </vt:variant>
      <vt:variant>
        <vt:i4>785</vt:i4>
      </vt:variant>
      <vt:variant>
        <vt:i4>0</vt:i4>
      </vt:variant>
      <vt:variant>
        <vt:i4>5</vt:i4>
      </vt:variant>
      <vt:variant>
        <vt:lpwstr/>
      </vt:variant>
      <vt:variant>
        <vt:lpwstr>_Toc291850892</vt:lpwstr>
      </vt:variant>
      <vt:variant>
        <vt:i4>2031678</vt:i4>
      </vt:variant>
      <vt:variant>
        <vt:i4>779</vt:i4>
      </vt:variant>
      <vt:variant>
        <vt:i4>0</vt:i4>
      </vt:variant>
      <vt:variant>
        <vt:i4>5</vt:i4>
      </vt:variant>
      <vt:variant>
        <vt:lpwstr/>
      </vt:variant>
      <vt:variant>
        <vt:lpwstr>_Toc291850891</vt:lpwstr>
      </vt:variant>
      <vt:variant>
        <vt:i4>2031678</vt:i4>
      </vt:variant>
      <vt:variant>
        <vt:i4>773</vt:i4>
      </vt:variant>
      <vt:variant>
        <vt:i4>0</vt:i4>
      </vt:variant>
      <vt:variant>
        <vt:i4>5</vt:i4>
      </vt:variant>
      <vt:variant>
        <vt:lpwstr/>
      </vt:variant>
      <vt:variant>
        <vt:lpwstr>_Toc291850890</vt:lpwstr>
      </vt:variant>
      <vt:variant>
        <vt:i4>1966142</vt:i4>
      </vt:variant>
      <vt:variant>
        <vt:i4>767</vt:i4>
      </vt:variant>
      <vt:variant>
        <vt:i4>0</vt:i4>
      </vt:variant>
      <vt:variant>
        <vt:i4>5</vt:i4>
      </vt:variant>
      <vt:variant>
        <vt:lpwstr/>
      </vt:variant>
      <vt:variant>
        <vt:lpwstr>_Toc291850889</vt:lpwstr>
      </vt:variant>
      <vt:variant>
        <vt:i4>1966142</vt:i4>
      </vt:variant>
      <vt:variant>
        <vt:i4>761</vt:i4>
      </vt:variant>
      <vt:variant>
        <vt:i4>0</vt:i4>
      </vt:variant>
      <vt:variant>
        <vt:i4>5</vt:i4>
      </vt:variant>
      <vt:variant>
        <vt:lpwstr/>
      </vt:variant>
      <vt:variant>
        <vt:lpwstr>_Toc291850888</vt:lpwstr>
      </vt:variant>
      <vt:variant>
        <vt:i4>1966142</vt:i4>
      </vt:variant>
      <vt:variant>
        <vt:i4>755</vt:i4>
      </vt:variant>
      <vt:variant>
        <vt:i4>0</vt:i4>
      </vt:variant>
      <vt:variant>
        <vt:i4>5</vt:i4>
      </vt:variant>
      <vt:variant>
        <vt:lpwstr/>
      </vt:variant>
      <vt:variant>
        <vt:lpwstr>_Toc291850887</vt:lpwstr>
      </vt:variant>
      <vt:variant>
        <vt:i4>1966142</vt:i4>
      </vt:variant>
      <vt:variant>
        <vt:i4>749</vt:i4>
      </vt:variant>
      <vt:variant>
        <vt:i4>0</vt:i4>
      </vt:variant>
      <vt:variant>
        <vt:i4>5</vt:i4>
      </vt:variant>
      <vt:variant>
        <vt:lpwstr/>
      </vt:variant>
      <vt:variant>
        <vt:lpwstr>_Toc291850886</vt:lpwstr>
      </vt:variant>
      <vt:variant>
        <vt:i4>1966142</vt:i4>
      </vt:variant>
      <vt:variant>
        <vt:i4>743</vt:i4>
      </vt:variant>
      <vt:variant>
        <vt:i4>0</vt:i4>
      </vt:variant>
      <vt:variant>
        <vt:i4>5</vt:i4>
      </vt:variant>
      <vt:variant>
        <vt:lpwstr/>
      </vt:variant>
      <vt:variant>
        <vt:lpwstr>_Toc291850885</vt:lpwstr>
      </vt:variant>
      <vt:variant>
        <vt:i4>1966142</vt:i4>
      </vt:variant>
      <vt:variant>
        <vt:i4>737</vt:i4>
      </vt:variant>
      <vt:variant>
        <vt:i4>0</vt:i4>
      </vt:variant>
      <vt:variant>
        <vt:i4>5</vt:i4>
      </vt:variant>
      <vt:variant>
        <vt:lpwstr/>
      </vt:variant>
      <vt:variant>
        <vt:lpwstr>_Toc291850884</vt:lpwstr>
      </vt:variant>
      <vt:variant>
        <vt:i4>1966142</vt:i4>
      </vt:variant>
      <vt:variant>
        <vt:i4>731</vt:i4>
      </vt:variant>
      <vt:variant>
        <vt:i4>0</vt:i4>
      </vt:variant>
      <vt:variant>
        <vt:i4>5</vt:i4>
      </vt:variant>
      <vt:variant>
        <vt:lpwstr/>
      </vt:variant>
      <vt:variant>
        <vt:lpwstr>_Toc291850883</vt:lpwstr>
      </vt:variant>
      <vt:variant>
        <vt:i4>1966142</vt:i4>
      </vt:variant>
      <vt:variant>
        <vt:i4>725</vt:i4>
      </vt:variant>
      <vt:variant>
        <vt:i4>0</vt:i4>
      </vt:variant>
      <vt:variant>
        <vt:i4>5</vt:i4>
      </vt:variant>
      <vt:variant>
        <vt:lpwstr/>
      </vt:variant>
      <vt:variant>
        <vt:lpwstr>_Toc291850882</vt:lpwstr>
      </vt:variant>
      <vt:variant>
        <vt:i4>1966142</vt:i4>
      </vt:variant>
      <vt:variant>
        <vt:i4>719</vt:i4>
      </vt:variant>
      <vt:variant>
        <vt:i4>0</vt:i4>
      </vt:variant>
      <vt:variant>
        <vt:i4>5</vt:i4>
      </vt:variant>
      <vt:variant>
        <vt:lpwstr/>
      </vt:variant>
      <vt:variant>
        <vt:lpwstr>_Toc291850881</vt:lpwstr>
      </vt:variant>
      <vt:variant>
        <vt:i4>1966142</vt:i4>
      </vt:variant>
      <vt:variant>
        <vt:i4>713</vt:i4>
      </vt:variant>
      <vt:variant>
        <vt:i4>0</vt:i4>
      </vt:variant>
      <vt:variant>
        <vt:i4>5</vt:i4>
      </vt:variant>
      <vt:variant>
        <vt:lpwstr/>
      </vt:variant>
      <vt:variant>
        <vt:lpwstr>_Toc291850880</vt:lpwstr>
      </vt:variant>
      <vt:variant>
        <vt:i4>1114174</vt:i4>
      </vt:variant>
      <vt:variant>
        <vt:i4>707</vt:i4>
      </vt:variant>
      <vt:variant>
        <vt:i4>0</vt:i4>
      </vt:variant>
      <vt:variant>
        <vt:i4>5</vt:i4>
      </vt:variant>
      <vt:variant>
        <vt:lpwstr/>
      </vt:variant>
      <vt:variant>
        <vt:lpwstr>_Toc291850879</vt:lpwstr>
      </vt:variant>
      <vt:variant>
        <vt:i4>1114174</vt:i4>
      </vt:variant>
      <vt:variant>
        <vt:i4>701</vt:i4>
      </vt:variant>
      <vt:variant>
        <vt:i4>0</vt:i4>
      </vt:variant>
      <vt:variant>
        <vt:i4>5</vt:i4>
      </vt:variant>
      <vt:variant>
        <vt:lpwstr/>
      </vt:variant>
      <vt:variant>
        <vt:lpwstr>_Toc291850878</vt:lpwstr>
      </vt:variant>
      <vt:variant>
        <vt:i4>1114174</vt:i4>
      </vt:variant>
      <vt:variant>
        <vt:i4>695</vt:i4>
      </vt:variant>
      <vt:variant>
        <vt:i4>0</vt:i4>
      </vt:variant>
      <vt:variant>
        <vt:i4>5</vt:i4>
      </vt:variant>
      <vt:variant>
        <vt:lpwstr/>
      </vt:variant>
      <vt:variant>
        <vt:lpwstr>_Toc291850877</vt:lpwstr>
      </vt:variant>
      <vt:variant>
        <vt:i4>1114174</vt:i4>
      </vt:variant>
      <vt:variant>
        <vt:i4>689</vt:i4>
      </vt:variant>
      <vt:variant>
        <vt:i4>0</vt:i4>
      </vt:variant>
      <vt:variant>
        <vt:i4>5</vt:i4>
      </vt:variant>
      <vt:variant>
        <vt:lpwstr/>
      </vt:variant>
      <vt:variant>
        <vt:lpwstr>_Toc291850876</vt:lpwstr>
      </vt:variant>
      <vt:variant>
        <vt:i4>1114174</vt:i4>
      </vt:variant>
      <vt:variant>
        <vt:i4>683</vt:i4>
      </vt:variant>
      <vt:variant>
        <vt:i4>0</vt:i4>
      </vt:variant>
      <vt:variant>
        <vt:i4>5</vt:i4>
      </vt:variant>
      <vt:variant>
        <vt:lpwstr/>
      </vt:variant>
      <vt:variant>
        <vt:lpwstr>_Toc291850875</vt:lpwstr>
      </vt:variant>
      <vt:variant>
        <vt:i4>1114174</vt:i4>
      </vt:variant>
      <vt:variant>
        <vt:i4>677</vt:i4>
      </vt:variant>
      <vt:variant>
        <vt:i4>0</vt:i4>
      </vt:variant>
      <vt:variant>
        <vt:i4>5</vt:i4>
      </vt:variant>
      <vt:variant>
        <vt:lpwstr/>
      </vt:variant>
      <vt:variant>
        <vt:lpwstr>_Toc291850874</vt:lpwstr>
      </vt:variant>
      <vt:variant>
        <vt:i4>1114174</vt:i4>
      </vt:variant>
      <vt:variant>
        <vt:i4>671</vt:i4>
      </vt:variant>
      <vt:variant>
        <vt:i4>0</vt:i4>
      </vt:variant>
      <vt:variant>
        <vt:i4>5</vt:i4>
      </vt:variant>
      <vt:variant>
        <vt:lpwstr/>
      </vt:variant>
      <vt:variant>
        <vt:lpwstr>_Toc291850873</vt:lpwstr>
      </vt:variant>
      <vt:variant>
        <vt:i4>1114174</vt:i4>
      </vt:variant>
      <vt:variant>
        <vt:i4>665</vt:i4>
      </vt:variant>
      <vt:variant>
        <vt:i4>0</vt:i4>
      </vt:variant>
      <vt:variant>
        <vt:i4>5</vt:i4>
      </vt:variant>
      <vt:variant>
        <vt:lpwstr/>
      </vt:variant>
      <vt:variant>
        <vt:lpwstr>_Toc291850872</vt:lpwstr>
      </vt:variant>
      <vt:variant>
        <vt:i4>1114174</vt:i4>
      </vt:variant>
      <vt:variant>
        <vt:i4>659</vt:i4>
      </vt:variant>
      <vt:variant>
        <vt:i4>0</vt:i4>
      </vt:variant>
      <vt:variant>
        <vt:i4>5</vt:i4>
      </vt:variant>
      <vt:variant>
        <vt:lpwstr/>
      </vt:variant>
      <vt:variant>
        <vt:lpwstr>_Toc291850871</vt:lpwstr>
      </vt:variant>
      <vt:variant>
        <vt:i4>1114174</vt:i4>
      </vt:variant>
      <vt:variant>
        <vt:i4>653</vt:i4>
      </vt:variant>
      <vt:variant>
        <vt:i4>0</vt:i4>
      </vt:variant>
      <vt:variant>
        <vt:i4>5</vt:i4>
      </vt:variant>
      <vt:variant>
        <vt:lpwstr/>
      </vt:variant>
      <vt:variant>
        <vt:lpwstr>_Toc291850870</vt:lpwstr>
      </vt:variant>
      <vt:variant>
        <vt:i4>1048638</vt:i4>
      </vt:variant>
      <vt:variant>
        <vt:i4>647</vt:i4>
      </vt:variant>
      <vt:variant>
        <vt:i4>0</vt:i4>
      </vt:variant>
      <vt:variant>
        <vt:i4>5</vt:i4>
      </vt:variant>
      <vt:variant>
        <vt:lpwstr/>
      </vt:variant>
      <vt:variant>
        <vt:lpwstr>_Toc291850869</vt:lpwstr>
      </vt:variant>
      <vt:variant>
        <vt:i4>1048638</vt:i4>
      </vt:variant>
      <vt:variant>
        <vt:i4>641</vt:i4>
      </vt:variant>
      <vt:variant>
        <vt:i4>0</vt:i4>
      </vt:variant>
      <vt:variant>
        <vt:i4>5</vt:i4>
      </vt:variant>
      <vt:variant>
        <vt:lpwstr/>
      </vt:variant>
      <vt:variant>
        <vt:lpwstr>_Toc291850868</vt:lpwstr>
      </vt:variant>
      <vt:variant>
        <vt:i4>1048638</vt:i4>
      </vt:variant>
      <vt:variant>
        <vt:i4>635</vt:i4>
      </vt:variant>
      <vt:variant>
        <vt:i4>0</vt:i4>
      </vt:variant>
      <vt:variant>
        <vt:i4>5</vt:i4>
      </vt:variant>
      <vt:variant>
        <vt:lpwstr/>
      </vt:variant>
      <vt:variant>
        <vt:lpwstr>_Toc291850867</vt:lpwstr>
      </vt:variant>
      <vt:variant>
        <vt:i4>1048638</vt:i4>
      </vt:variant>
      <vt:variant>
        <vt:i4>629</vt:i4>
      </vt:variant>
      <vt:variant>
        <vt:i4>0</vt:i4>
      </vt:variant>
      <vt:variant>
        <vt:i4>5</vt:i4>
      </vt:variant>
      <vt:variant>
        <vt:lpwstr/>
      </vt:variant>
      <vt:variant>
        <vt:lpwstr>_Toc291850866</vt:lpwstr>
      </vt:variant>
      <vt:variant>
        <vt:i4>1048638</vt:i4>
      </vt:variant>
      <vt:variant>
        <vt:i4>623</vt:i4>
      </vt:variant>
      <vt:variant>
        <vt:i4>0</vt:i4>
      </vt:variant>
      <vt:variant>
        <vt:i4>5</vt:i4>
      </vt:variant>
      <vt:variant>
        <vt:lpwstr/>
      </vt:variant>
      <vt:variant>
        <vt:lpwstr>_Toc291850865</vt:lpwstr>
      </vt:variant>
      <vt:variant>
        <vt:i4>1048638</vt:i4>
      </vt:variant>
      <vt:variant>
        <vt:i4>617</vt:i4>
      </vt:variant>
      <vt:variant>
        <vt:i4>0</vt:i4>
      </vt:variant>
      <vt:variant>
        <vt:i4>5</vt:i4>
      </vt:variant>
      <vt:variant>
        <vt:lpwstr/>
      </vt:variant>
      <vt:variant>
        <vt:lpwstr>_Toc291850864</vt:lpwstr>
      </vt:variant>
      <vt:variant>
        <vt:i4>1048638</vt:i4>
      </vt:variant>
      <vt:variant>
        <vt:i4>611</vt:i4>
      </vt:variant>
      <vt:variant>
        <vt:i4>0</vt:i4>
      </vt:variant>
      <vt:variant>
        <vt:i4>5</vt:i4>
      </vt:variant>
      <vt:variant>
        <vt:lpwstr/>
      </vt:variant>
      <vt:variant>
        <vt:lpwstr>_Toc291850863</vt:lpwstr>
      </vt:variant>
      <vt:variant>
        <vt:i4>1048638</vt:i4>
      </vt:variant>
      <vt:variant>
        <vt:i4>605</vt:i4>
      </vt:variant>
      <vt:variant>
        <vt:i4>0</vt:i4>
      </vt:variant>
      <vt:variant>
        <vt:i4>5</vt:i4>
      </vt:variant>
      <vt:variant>
        <vt:lpwstr/>
      </vt:variant>
      <vt:variant>
        <vt:lpwstr>_Toc291850862</vt:lpwstr>
      </vt:variant>
      <vt:variant>
        <vt:i4>1048638</vt:i4>
      </vt:variant>
      <vt:variant>
        <vt:i4>599</vt:i4>
      </vt:variant>
      <vt:variant>
        <vt:i4>0</vt:i4>
      </vt:variant>
      <vt:variant>
        <vt:i4>5</vt:i4>
      </vt:variant>
      <vt:variant>
        <vt:lpwstr/>
      </vt:variant>
      <vt:variant>
        <vt:lpwstr>_Toc291850861</vt:lpwstr>
      </vt:variant>
      <vt:variant>
        <vt:i4>1048638</vt:i4>
      </vt:variant>
      <vt:variant>
        <vt:i4>593</vt:i4>
      </vt:variant>
      <vt:variant>
        <vt:i4>0</vt:i4>
      </vt:variant>
      <vt:variant>
        <vt:i4>5</vt:i4>
      </vt:variant>
      <vt:variant>
        <vt:lpwstr/>
      </vt:variant>
      <vt:variant>
        <vt:lpwstr>_Toc291850860</vt:lpwstr>
      </vt:variant>
      <vt:variant>
        <vt:i4>1245246</vt:i4>
      </vt:variant>
      <vt:variant>
        <vt:i4>587</vt:i4>
      </vt:variant>
      <vt:variant>
        <vt:i4>0</vt:i4>
      </vt:variant>
      <vt:variant>
        <vt:i4>5</vt:i4>
      </vt:variant>
      <vt:variant>
        <vt:lpwstr/>
      </vt:variant>
      <vt:variant>
        <vt:lpwstr>_Toc291850859</vt:lpwstr>
      </vt:variant>
      <vt:variant>
        <vt:i4>1245246</vt:i4>
      </vt:variant>
      <vt:variant>
        <vt:i4>581</vt:i4>
      </vt:variant>
      <vt:variant>
        <vt:i4>0</vt:i4>
      </vt:variant>
      <vt:variant>
        <vt:i4>5</vt:i4>
      </vt:variant>
      <vt:variant>
        <vt:lpwstr/>
      </vt:variant>
      <vt:variant>
        <vt:lpwstr>_Toc291850858</vt:lpwstr>
      </vt:variant>
      <vt:variant>
        <vt:i4>1245246</vt:i4>
      </vt:variant>
      <vt:variant>
        <vt:i4>575</vt:i4>
      </vt:variant>
      <vt:variant>
        <vt:i4>0</vt:i4>
      </vt:variant>
      <vt:variant>
        <vt:i4>5</vt:i4>
      </vt:variant>
      <vt:variant>
        <vt:lpwstr/>
      </vt:variant>
      <vt:variant>
        <vt:lpwstr>_Toc291850857</vt:lpwstr>
      </vt:variant>
      <vt:variant>
        <vt:i4>1245246</vt:i4>
      </vt:variant>
      <vt:variant>
        <vt:i4>569</vt:i4>
      </vt:variant>
      <vt:variant>
        <vt:i4>0</vt:i4>
      </vt:variant>
      <vt:variant>
        <vt:i4>5</vt:i4>
      </vt:variant>
      <vt:variant>
        <vt:lpwstr/>
      </vt:variant>
      <vt:variant>
        <vt:lpwstr>_Toc291850856</vt:lpwstr>
      </vt:variant>
      <vt:variant>
        <vt:i4>1245246</vt:i4>
      </vt:variant>
      <vt:variant>
        <vt:i4>563</vt:i4>
      </vt:variant>
      <vt:variant>
        <vt:i4>0</vt:i4>
      </vt:variant>
      <vt:variant>
        <vt:i4>5</vt:i4>
      </vt:variant>
      <vt:variant>
        <vt:lpwstr/>
      </vt:variant>
      <vt:variant>
        <vt:lpwstr>_Toc291850855</vt:lpwstr>
      </vt:variant>
      <vt:variant>
        <vt:i4>1245246</vt:i4>
      </vt:variant>
      <vt:variant>
        <vt:i4>557</vt:i4>
      </vt:variant>
      <vt:variant>
        <vt:i4>0</vt:i4>
      </vt:variant>
      <vt:variant>
        <vt:i4>5</vt:i4>
      </vt:variant>
      <vt:variant>
        <vt:lpwstr/>
      </vt:variant>
      <vt:variant>
        <vt:lpwstr>_Toc291850854</vt:lpwstr>
      </vt:variant>
      <vt:variant>
        <vt:i4>1245246</vt:i4>
      </vt:variant>
      <vt:variant>
        <vt:i4>551</vt:i4>
      </vt:variant>
      <vt:variant>
        <vt:i4>0</vt:i4>
      </vt:variant>
      <vt:variant>
        <vt:i4>5</vt:i4>
      </vt:variant>
      <vt:variant>
        <vt:lpwstr/>
      </vt:variant>
      <vt:variant>
        <vt:lpwstr>_Toc291850853</vt:lpwstr>
      </vt:variant>
      <vt:variant>
        <vt:i4>1245246</vt:i4>
      </vt:variant>
      <vt:variant>
        <vt:i4>545</vt:i4>
      </vt:variant>
      <vt:variant>
        <vt:i4>0</vt:i4>
      </vt:variant>
      <vt:variant>
        <vt:i4>5</vt:i4>
      </vt:variant>
      <vt:variant>
        <vt:lpwstr/>
      </vt:variant>
      <vt:variant>
        <vt:lpwstr>_Toc291850852</vt:lpwstr>
      </vt:variant>
      <vt:variant>
        <vt:i4>1245246</vt:i4>
      </vt:variant>
      <vt:variant>
        <vt:i4>539</vt:i4>
      </vt:variant>
      <vt:variant>
        <vt:i4>0</vt:i4>
      </vt:variant>
      <vt:variant>
        <vt:i4>5</vt:i4>
      </vt:variant>
      <vt:variant>
        <vt:lpwstr/>
      </vt:variant>
      <vt:variant>
        <vt:lpwstr>_Toc291850851</vt:lpwstr>
      </vt:variant>
      <vt:variant>
        <vt:i4>1245246</vt:i4>
      </vt:variant>
      <vt:variant>
        <vt:i4>533</vt:i4>
      </vt:variant>
      <vt:variant>
        <vt:i4>0</vt:i4>
      </vt:variant>
      <vt:variant>
        <vt:i4>5</vt:i4>
      </vt:variant>
      <vt:variant>
        <vt:lpwstr/>
      </vt:variant>
      <vt:variant>
        <vt:lpwstr>_Toc291850850</vt:lpwstr>
      </vt:variant>
      <vt:variant>
        <vt:i4>1179710</vt:i4>
      </vt:variant>
      <vt:variant>
        <vt:i4>527</vt:i4>
      </vt:variant>
      <vt:variant>
        <vt:i4>0</vt:i4>
      </vt:variant>
      <vt:variant>
        <vt:i4>5</vt:i4>
      </vt:variant>
      <vt:variant>
        <vt:lpwstr/>
      </vt:variant>
      <vt:variant>
        <vt:lpwstr>_Toc291850849</vt:lpwstr>
      </vt:variant>
      <vt:variant>
        <vt:i4>1179710</vt:i4>
      </vt:variant>
      <vt:variant>
        <vt:i4>521</vt:i4>
      </vt:variant>
      <vt:variant>
        <vt:i4>0</vt:i4>
      </vt:variant>
      <vt:variant>
        <vt:i4>5</vt:i4>
      </vt:variant>
      <vt:variant>
        <vt:lpwstr/>
      </vt:variant>
      <vt:variant>
        <vt:lpwstr>_Toc291850848</vt:lpwstr>
      </vt:variant>
      <vt:variant>
        <vt:i4>1179710</vt:i4>
      </vt:variant>
      <vt:variant>
        <vt:i4>515</vt:i4>
      </vt:variant>
      <vt:variant>
        <vt:i4>0</vt:i4>
      </vt:variant>
      <vt:variant>
        <vt:i4>5</vt:i4>
      </vt:variant>
      <vt:variant>
        <vt:lpwstr/>
      </vt:variant>
      <vt:variant>
        <vt:lpwstr>_Toc291850847</vt:lpwstr>
      </vt:variant>
      <vt:variant>
        <vt:i4>1179710</vt:i4>
      </vt:variant>
      <vt:variant>
        <vt:i4>509</vt:i4>
      </vt:variant>
      <vt:variant>
        <vt:i4>0</vt:i4>
      </vt:variant>
      <vt:variant>
        <vt:i4>5</vt:i4>
      </vt:variant>
      <vt:variant>
        <vt:lpwstr/>
      </vt:variant>
      <vt:variant>
        <vt:lpwstr>_Toc291850846</vt:lpwstr>
      </vt:variant>
      <vt:variant>
        <vt:i4>1179710</vt:i4>
      </vt:variant>
      <vt:variant>
        <vt:i4>503</vt:i4>
      </vt:variant>
      <vt:variant>
        <vt:i4>0</vt:i4>
      </vt:variant>
      <vt:variant>
        <vt:i4>5</vt:i4>
      </vt:variant>
      <vt:variant>
        <vt:lpwstr/>
      </vt:variant>
      <vt:variant>
        <vt:lpwstr>_Toc291850845</vt:lpwstr>
      </vt:variant>
      <vt:variant>
        <vt:i4>1179710</vt:i4>
      </vt:variant>
      <vt:variant>
        <vt:i4>497</vt:i4>
      </vt:variant>
      <vt:variant>
        <vt:i4>0</vt:i4>
      </vt:variant>
      <vt:variant>
        <vt:i4>5</vt:i4>
      </vt:variant>
      <vt:variant>
        <vt:lpwstr/>
      </vt:variant>
      <vt:variant>
        <vt:lpwstr>_Toc291850844</vt:lpwstr>
      </vt:variant>
      <vt:variant>
        <vt:i4>1179710</vt:i4>
      </vt:variant>
      <vt:variant>
        <vt:i4>491</vt:i4>
      </vt:variant>
      <vt:variant>
        <vt:i4>0</vt:i4>
      </vt:variant>
      <vt:variant>
        <vt:i4>5</vt:i4>
      </vt:variant>
      <vt:variant>
        <vt:lpwstr/>
      </vt:variant>
      <vt:variant>
        <vt:lpwstr>_Toc291850843</vt:lpwstr>
      </vt:variant>
      <vt:variant>
        <vt:i4>1179710</vt:i4>
      </vt:variant>
      <vt:variant>
        <vt:i4>485</vt:i4>
      </vt:variant>
      <vt:variant>
        <vt:i4>0</vt:i4>
      </vt:variant>
      <vt:variant>
        <vt:i4>5</vt:i4>
      </vt:variant>
      <vt:variant>
        <vt:lpwstr/>
      </vt:variant>
      <vt:variant>
        <vt:lpwstr>_Toc291850842</vt:lpwstr>
      </vt:variant>
      <vt:variant>
        <vt:i4>1179710</vt:i4>
      </vt:variant>
      <vt:variant>
        <vt:i4>479</vt:i4>
      </vt:variant>
      <vt:variant>
        <vt:i4>0</vt:i4>
      </vt:variant>
      <vt:variant>
        <vt:i4>5</vt:i4>
      </vt:variant>
      <vt:variant>
        <vt:lpwstr/>
      </vt:variant>
      <vt:variant>
        <vt:lpwstr>_Toc291850841</vt:lpwstr>
      </vt:variant>
      <vt:variant>
        <vt:i4>1179710</vt:i4>
      </vt:variant>
      <vt:variant>
        <vt:i4>473</vt:i4>
      </vt:variant>
      <vt:variant>
        <vt:i4>0</vt:i4>
      </vt:variant>
      <vt:variant>
        <vt:i4>5</vt:i4>
      </vt:variant>
      <vt:variant>
        <vt:lpwstr/>
      </vt:variant>
      <vt:variant>
        <vt:lpwstr>_Toc291850840</vt:lpwstr>
      </vt:variant>
      <vt:variant>
        <vt:i4>1376318</vt:i4>
      </vt:variant>
      <vt:variant>
        <vt:i4>467</vt:i4>
      </vt:variant>
      <vt:variant>
        <vt:i4>0</vt:i4>
      </vt:variant>
      <vt:variant>
        <vt:i4>5</vt:i4>
      </vt:variant>
      <vt:variant>
        <vt:lpwstr/>
      </vt:variant>
      <vt:variant>
        <vt:lpwstr>_Toc291850839</vt:lpwstr>
      </vt:variant>
      <vt:variant>
        <vt:i4>1376318</vt:i4>
      </vt:variant>
      <vt:variant>
        <vt:i4>461</vt:i4>
      </vt:variant>
      <vt:variant>
        <vt:i4>0</vt:i4>
      </vt:variant>
      <vt:variant>
        <vt:i4>5</vt:i4>
      </vt:variant>
      <vt:variant>
        <vt:lpwstr/>
      </vt:variant>
      <vt:variant>
        <vt:lpwstr>_Toc291850838</vt:lpwstr>
      </vt:variant>
      <vt:variant>
        <vt:i4>1376318</vt:i4>
      </vt:variant>
      <vt:variant>
        <vt:i4>455</vt:i4>
      </vt:variant>
      <vt:variant>
        <vt:i4>0</vt:i4>
      </vt:variant>
      <vt:variant>
        <vt:i4>5</vt:i4>
      </vt:variant>
      <vt:variant>
        <vt:lpwstr/>
      </vt:variant>
      <vt:variant>
        <vt:lpwstr>_Toc291850837</vt:lpwstr>
      </vt:variant>
      <vt:variant>
        <vt:i4>1376318</vt:i4>
      </vt:variant>
      <vt:variant>
        <vt:i4>449</vt:i4>
      </vt:variant>
      <vt:variant>
        <vt:i4>0</vt:i4>
      </vt:variant>
      <vt:variant>
        <vt:i4>5</vt:i4>
      </vt:variant>
      <vt:variant>
        <vt:lpwstr/>
      </vt:variant>
      <vt:variant>
        <vt:lpwstr>_Toc291850836</vt:lpwstr>
      </vt:variant>
      <vt:variant>
        <vt:i4>1376318</vt:i4>
      </vt:variant>
      <vt:variant>
        <vt:i4>443</vt:i4>
      </vt:variant>
      <vt:variant>
        <vt:i4>0</vt:i4>
      </vt:variant>
      <vt:variant>
        <vt:i4>5</vt:i4>
      </vt:variant>
      <vt:variant>
        <vt:lpwstr/>
      </vt:variant>
      <vt:variant>
        <vt:lpwstr>_Toc291850835</vt:lpwstr>
      </vt:variant>
      <vt:variant>
        <vt:i4>1376318</vt:i4>
      </vt:variant>
      <vt:variant>
        <vt:i4>437</vt:i4>
      </vt:variant>
      <vt:variant>
        <vt:i4>0</vt:i4>
      </vt:variant>
      <vt:variant>
        <vt:i4>5</vt:i4>
      </vt:variant>
      <vt:variant>
        <vt:lpwstr/>
      </vt:variant>
      <vt:variant>
        <vt:lpwstr>_Toc291850834</vt:lpwstr>
      </vt:variant>
      <vt:variant>
        <vt:i4>1376318</vt:i4>
      </vt:variant>
      <vt:variant>
        <vt:i4>431</vt:i4>
      </vt:variant>
      <vt:variant>
        <vt:i4>0</vt:i4>
      </vt:variant>
      <vt:variant>
        <vt:i4>5</vt:i4>
      </vt:variant>
      <vt:variant>
        <vt:lpwstr/>
      </vt:variant>
      <vt:variant>
        <vt:lpwstr>_Toc291850833</vt:lpwstr>
      </vt:variant>
      <vt:variant>
        <vt:i4>1376318</vt:i4>
      </vt:variant>
      <vt:variant>
        <vt:i4>425</vt:i4>
      </vt:variant>
      <vt:variant>
        <vt:i4>0</vt:i4>
      </vt:variant>
      <vt:variant>
        <vt:i4>5</vt:i4>
      </vt:variant>
      <vt:variant>
        <vt:lpwstr/>
      </vt:variant>
      <vt:variant>
        <vt:lpwstr>_Toc291850832</vt:lpwstr>
      </vt:variant>
      <vt:variant>
        <vt:i4>1376318</vt:i4>
      </vt:variant>
      <vt:variant>
        <vt:i4>419</vt:i4>
      </vt:variant>
      <vt:variant>
        <vt:i4>0</vt:i4>
      </vt:variant>
      <vt:variant>
        <vt:i4>5</vt:i4>
      </vt:variant>
      <vt:variant>
        <vt:lpwstr/>
      </vt:variant>
      <vt:variant>
        <vt:lpwstr>_Toc291850831</vt:lpwstr>
      </vt:variant>
      <vt:variant>
        <vt:i4>1376318</vt:i4>
      </vt:variant>
      <vt:variant>
        <vt:i4>413</vt:i4>
      </vt:variant>
      <vt:variant>
        <vt:i4>0</vt:i4>
      </vt:variant>
      <vt:variant>
        <vt:i4>5</vt:i4>
      </vt:variant>
      <vt:variant>
        <vt:lpwstr/>
      </vt:variant>
      <vt:variant>
        <vt:lpwstr>_Toc291850830</vt:lpwstr>
      </vt:variant>
      <vt:variant>
        <vt:i4>1310782</vt:i4>
      </vt:variant>
      <vt:variant>
        <vt:i4>407</vt:i4>
      </vt:variant>
      <vt:variant>
        <vt:i4>0</vt:i4>
      </vt:variant>
      <vt:variant>
        <vt:i4>5</vt:i4>
      </vt:variant>
      <vt:variant>
        <vt:lpwstr/>
      </vt:variant>
      <vt:variant>
        <vt:lpwstr>_Toc291850829</vt:lpwstr>
      </vt:variant>
      <vt:variant>
        <vt:i4>1310782</vt:i4>
      </vt:variant>
      <vt:variant>
        <vt:i4>401</vt:i4>
      </vt:variant>
      <vt:variant>
        <vt:i4>0</vt:i4>
      </vt:variant>
      <vt:variant>
        <vt:i4>5</vt:i4>
      </vt:variant>
      <vt:variant>
        <vt:lpwstr/>
      </vt:variant>
      <vt:variant>
        <vt:lpwstr>_Toc291850828</vt:lpwstr>
      </vt:variant>
      <vt:variant>
        <vt:i4>1310782</vt:i4>
      </vt:variant>
      <vt:variant>
        <vt:i4>395</vt:i4>
      </vt:variant>
      <vt:variant>
        <vt:i4>0</vt:i4>
      </vt:variant>
      <vt:variant>
        <vt:i4>5</vt:i4>
      </vt:variant>
      <vt:variant>
        <vt:lpwstr/>
      </vt:variant>
      <vt:variant>
        <vt:lpwstr>_Toc291850827</vt:lpwstr>
      </vt:variant>
      <vt:variant>
        <vt:i4>1310782</vt:i4>
      </vt:variant>
      <vt:variant>
        <vt:i4>389</vt:i4>
      </vt:variant>
      <vt:variant>
        <vt:i4>0</vt:i4>
      </vt:variant>
      <vt:variant>
        <vt:i4>5</vt:i4>
      </vt:variant>
      <vt:variant>
        <vt:lpwstr/>
      </vt:variant>
      <vt:variant>
        <vt:lpwstr>_Toc291850826</vt:lpwstr>
      </vt:variant>
      <vt:variant>
        <vt:i4>1310782</vt:i4>
      </vt:variant>
      <vt:variant>
        <vt:i4>383</vt:i4>
      </vt:variant>
      <vt:variant>
        <vt:i4>0</vt:i4>
      </vt:variant>
      <vt:variant>
        <vt:i4>5</vt:i4>
      </vt:variant>
      <vt:variant>
        <vt:lpwstr/>
      </vt:variant>
      <vt:variant>
        <vt:lpwstr>_Toc291850825</vt:lpwstr>
      </vt:variant>
      <vt:variant>
        <vt:i4>1310782</vt:i4>
      </vt:variant>
      <vt:variant>
        <vt:i4>377</vt:i4>
      </vt:variant>
      <vt:variant>
        <vt:i4>0</vt:i4>
      </vt:variant>
      <vt:variant>
        <vt:i4>5</vt:i4>
      </vt:variant>
      <vt:variant>
        <vt:lpwstr/>
      </vt:variant>
      <vt:variant>
        <vt:lpwstr>_Toc291850824</vt:lpwstr>
      </vt:variant>
      <vt:variant>
        <vt:i4>1310782</vt:i4>
      </vt:variant>
      <vt:variant>
        <vt:i4>371</vt:i4>
      </vt:variant>
      <vt:variant>
        <vt:i4>0</vt:i4>
      </vt:variant>
      <vt:variant>
        <vt:i4>5</vt:i4>
      </vt:variant>
      <vt:variant>
        <vt:lpwstr/>
      </vt:variant>
      <vt:variant>
        <vt:lpwstr>_Toc291850823</vt:lpwstr>
      </vt:variant>
      <vt:variant>
        <vt:i4>1310782</vt:i4>
      </vt:variant>
      <vt:variant>
        <vt:i4>365</vt:i4>
      </vt:variant>
      <vt:variant>
        <vt:i4>0</vt:i4>
      </vt:variant>
      <vt:variant>
        <vt:i4>5</vt:i4>
      </vt:variant>
      <vt:variant>
        <vt:lpwstr/>
      </vt:variant>
      <vt:variant>
        <vt:lpwstr>_Toc291850822</vt:lpwstr>
      </vt:variant>
      <vt:variant>
        <vt:i4>1310782</vt:i4>
      </vt:variant>
      <vt:variant>
        <vt:i4>359</vt:i4>
      </vt:variant>
      <vt:variant>
        <vt:i4>0</vt:i4>
      </vt:variant>
      <vt:variant>
        <vt:i4>5</vt:i4>
      </vt:variant>
      <vt:variant>
        <vt:lpwstr/>
      </vt:variant>
      <vt:variant>
        <vt:lpwstr>_Toc291850821</vt:lpwstr>
      </vt:variant>
      <vt:variant>
        <vt:i4>1310782</vt:i4>
      </vt:variant>
      <vt:variant>
        <vt:i4>353</vt:i4>
      </vt:variant>
      <vt:variant>
        <vt:i4>0</vt:i4>
      </vt:variant>
      <vt:variant>
        <vt:i4>5</vt:i4>
      </vt:variant>
      <vt:variant>
        <vt:lpwstr/>
      </vt:variant>
      <vt:variant>
        <vt:lpwstr>_Toc291850820</vt:lpwstr>
      </vt:variant>
      <vt:variant>
        <vt:i4>1507390</vt:i4>
      </vt:variant>
      <vt:variant>
        <vt:i4>347</vt:i4>
      </vt:variant>
      <vt:variant>
        <vt:i4>0</vt:i4>
      </vt:variant>
      <vt:variant>
        <vt:i4>5</vt:i4>
      </vt:variant>
      <vt:variant>
        <vt:lpwstr/>
      </vt:variant>
      <vt:variant>
        <vt:lpwstr>_Toc291850819</vt:lpwstr>
      </vt:variant>
      <vt:variant>
        <vt:i4>1507390</vt:i4>
      </vt:variant>
      <vt:variant>
        <vt:i4>341</vt:i4>
      </vt:variant>
      <vt:variant>
        <vt:i4>0</vt:i4>
      </vt:variant>
      <vt:variant>
        <vt:i4>5</vt:i4>
      </vt:variant>
      <vt:variant>
        <vt:lpwstr/>
      </vt:variant>
      <vt:variant>
        <vt:lpwstr>_Toc291850818</vt:lpwstr>
      </vt:variant>
      <vt:variant>
        <vt:i4>1507390</vt:i4>
      </vt:variant>
      <vt:variant>
        <vt:i4>335</vt:i4>
      </vt:variant>
      <vt:variant>
        <vt:i4>0</vt:i4>
      </vt:variant>
      <vt:variant>
        <vt:i4>5</vt:i4>
      </vt:variant>
      <vt:variant>
        <vt:lpwstr/>
      </vt:variant>
      <vt:variant>
        <vt:lpwstr>_Toc291850817</vt:lpwstr>
      </vt:variant>
      <vt:variant>
        <vt:i4>1507390</vt:i4>
      </vt:variant>
      <vt:variant>
        <vt:i4>329</vt:i4>
      </vt:variant>
      <vt:variant>
        <vt:i4>0</vt:i4>
      </vt:variant>
      <vt:variant>
        <vt:i4>5</vt:i4>
      </vt:variant>
      <vt:variant>
        <vt:lpwstr/>
      </vt:variant>
      <vt:variant>
        <vt:lpwstr>_Toc291850816</vt:lpwstr>
      </vt:variant>
      <vt:variant>
        <vt:i4>1507390</vt:i4>
      </vt:variant>
      <vt:variant>
        <vt:i4>323</vt:i4>
      </vt:variant>
      <vt:variant>
        <vt:i4>0</vt:i4>
      </vt:variant>
      <vt:variant>
        <vt:i4>5</vt:i4>
      </vt:variant>
      <vt:variant>
        <vt:lpwstr/>
      </vt:variant>
      <vt:variant>
        <vt:lpwstr>_Toc291850815</vt:lpwstr>
      </vt:variant>
      <vt:variant>
        <vt:i4>1507390</vt:i4>
      </vt:variant>
      <vt:variant>
        <vt:i4>317</vt:i4>
      </vt:variant>
      <vt:variant>
        <vt:i4>0</vt:i4>
      </vt:variant>
      <vt:variant>
        <vt:i4>5</vt:i4>
      </vt:variant>
      <vt:variant>
        <vt:lpwstr/>
      </vt:variant>
      <vt:variant>
        <vt:lpwstr>_Toc291850814</vt:lpwstr>
      </vt:variant>
      <vt:variant>
        <vt:i4>1507390</vt:i4>
      </vt:variant>
      <vt:variant>
        <vt:i4>311</vt:i4>
      </vt:variant>
      <vt:variant>
        <vt:i4>0</vt:i4>
      </vt:variant>
      <vt:variant>
        <vt:i4>5</vt:i4>
      </vt:variant>
      <vt:variant>
        <vt:lpwstr/>
      </vt:variant>
      <vt:variant>
        <vt:lpwstr>_Toc291850813</vt:lpwstr>
      </vt:variant>
      <vt:variant>
        <vt:i4>1507390</vt:i4>
      </vt:variant>
      <vt:variant>
        <vt:i4>305</vt:i4>
      </vt:variant>
      <vt:variant>
        <vt:i4>0</vt:i4>
      </vt:variant>
      <vt:variant>
        <vt:i4>5</vt:i4>
      </vt:variant>
      <vt:variant>
        <vt:lpwstr/>
      </vt:variant>
      <vt:variant>
        <vt:lpwstr>_Toc291850812</vt:lpwstr>
      </vt:variant>
      <vt:variant>
        <vt:i4>1507390</vt:i4>
      </vt:variant>
      <vt:variant>
        <vt:i4>299</vt:i4>
      </vt:variant>
      <vt:variant>
        <vt:i4>0</vt:i4>
      </vt:variant>
      <vt:variant>
        <vt:i4>5</vt:i4>
      </vt:variant>
      <vt:variant>
        <vt:lpwstr/>
      </vt:variant>
      <vt:variant>
        <vt:lpwstr>_Toc291850811</vt:lpwstr>
      </vt:variant>
      <vt:variant>
        <vt:i4>1507390</vt:i4>
      </vt:variant>
      <vt:variant>
        <vt:i4>293</vt:i4>
      </vt:variant>
      <vt:variant>
        <vt:i4>0</vt:i4>
      </vt:variant>
      <vt:variant>
        <vt:i4>5</vt:i4>
      </vt:variant>
      <vt:variant>
        <vt:lpwstr/>
      </vt:variant>
      <vt:variant>
        <vt:lpwstr>_Toc291850810</vt:lpwstr>
      </vt:variant>
      <vt:variant>
        <vt:i4>1441854</vt:i4>
      </vt:variant>
      <vt:variant>
        <vt:i4>287</vt:i4>
      </vt:variant>
      <vt:variant>
        <vt:i4>0</vt:i4>
      </vt:variant>
      <vt:variant>
        <vt:i4>5</vt:i4>
      </vt:variant>
      <vt:variant>
        <vt:lpwstr/>
      </vt:variant>
      <vt:variant>
        <vt:lpwstr>_Toc291850809</vt:lpwstr>
      </vt:variant>
      <vt:variant>
        <vt:i4>1441854</vt:i4>
      </vt:variant>
      <vt:variant>
        <vt:i4>281</vt:i4>
      </vt:variant>
      <vt:variant>
        <vt:i4>0</vt:i4>
      </vt:variant>
      <vt:variant>
        <vt:i4>5</vt:i4>
      </vt:variant>
      <vt:variant>
        <vt:lpwstr/>
      </vt:variant>
      <vt:variant>
        <vt:lpwstr>_Toc291850808</vt:lpwstr>
      </vt:variant>
      <vt:variant>
        <vt:i4>1441854</vt:i4>
      </vt:variant>
      <vt:variant>
        <vt:i4>275</vt:i4>
      </vt:variant>
      <vt:variant>
        <vt:i4>0</vt:i4>
      </vt:variant>
      <vt:variant>
        <vt:i4>5</vt:i4>
      </vt:variant>
      <vt:variant>
        <vt:lpwstr/>
      </vt:variant>
      <vt:variant>
        <vt:lpwstr>_Toc291850807</vt:lpwstr>
      </vt:variant>
      <vt:variant>
        <vt:i4>1441854</vt:i4>
      </vt:variant>
      <vt:variant>
        <vt:i4>269</vt:i4>
      </vt:variant>
      <vt:variant>
        <vt:i4>0</vt:i4>
      </vt:variant>
      <vt:variant>
        <vt:i4>5</vt:i4>
      </vt:variant>
      <vt:variant>
        <vt:lpwstr/>
      </vt:variant>
      <vt:variant>
        <vt:lpwstr>_Toc291850806</vt:lpwstr>
      </vt:variant>
      <vt:variant>
        <vt:i4>1441854</vt:i4>
      </vt:variant>
      <vt:variant>
        <vt:i4>263</vt:i4>
      </vt:variant>
      <vt:variant>
        <vt:i4>0</vt:i4>
      </vt:variant>
      <vt:variant>
        <vt:i4>5</vt:i4>
      </vt:variant>
      <vt:variant>
        <vt:lpwstr/>
      </vt:variant>
      <vt:variant>
        <vt:lpwstr>_Toc291850805</vt:lpwstr>
      </vt:variant>
      <vt:variant>
        <vt:i4>1441854</vt:i4>
      </vt:variant>
      <vt:variant>
        <vt:i4>257</vt:i4>
      </vt:variant>
      <vt:variant>
        <vt:i4>0</vt:i4>
      </vt:variant>
      <vt:variant>
        <vt:i4>5</vt:i4>
      </vt:variant>
      <vt:variant>
        <vt:lpwstr/>
      </vt:variant>
      <vt:variant>
        <vt:lpwstr>_Toc291850804</vt:lpwstr>
      </vt:variant>
      <vt:variant>
        <vt:i4>1441854</vt:i4>
      </vt:variant>
      <vt:variant>
        <vt:i4>251</vt:i4>
      </vt:variant>
      <vt:variant>
        <vt:i4>0</vt:i4>
      </vt:variant>
      <vt:variant>
        <vt:i4>5</vt:i4>
      </vt:variant>
      <vt:variant>
        <vt:lpwstr/>
      </vt:variant>
      <vt:variant>
        <vt:lpwstr>_Toc291850803</vt:lpwstr>
      </vt:variant>
      <vt:variant>
        <vt:i4>1441854</vt:i4>
      </vt:variant>
      <vt:variant>
        <vt:i4>245</vt:i4>
      </vt:variant>
      <vt:variant>
        <vt:i4>0</vt:i4>
      </vt:variant>
      <vt:variant>
        <vt:i4>5</vt:i4>
      </vt:variant>
      <vt:variant>
        <vt:lpwstr/>
      </vt:variant>
      <vt:variant>
        <vt:lpwstr>_Toc291850802</vt:lpwstr>
      </vt:variant>
      <vt:variant>
        <vt:i4>1441854</vt:i4>
      </vt:variant>
      <vt:variant>
        <vt:i4>239</vt:i4>
      </vt:variant>
      <vt:variant>
        <vt:i4>0</vt:i4>
      </vt:variant>
      <vt:variant>
        <vt:i4>5</vt:i4>
      </vt:variant>
      <vt:variant>
        <vt:lpwstr/>
      </vt:variant>
      <vt:variant>
        <vt:lpwstr>_Toc291850801</vt:lpwstr>
      </vt:variant>
      <vt:variant>
        <vt:i4>1441854</vt:i4>
      </vt:variant>
      <vt:variant>
        <vt:i4>233</vt:i4>
      </vt:variant>
      <vt:variant>
        <vt:i4>0</vt:i4>
      </vt:variant>
      <vt:variant>
        <vt:i4>5</vt:i4>
      </vt:variant>
      <vt:variant>
        <vt:lpwstr/>
      </vt:variant>
      <vt:variant>
        <vt:lpwstr>_Toc291850800</vt:lpwstr>
      </vt:variant>
      <vt:variant>
        <vt:i4>2031665</vt:i4>
      </vt:variant>
      <vt:variant>
        <vt:i4>227</vt:i4>
      </vt:variant>
      <vt:variant>
        <vt:i4>0</vt:i4>
      </vt:variant>
      <vt:variant>
        <vt:i4>5</vt:i4>
      </vt:variant>
      <vt:variant>
        <vt:lpwstr/>
      </vt:variant>
      <vt:variant>
        <vt:lpwstr>_Toc291850799</vt:lpwstr>
      </vt:variant>
      <vt:variant>
        <vt:i4>2031665</vt:i4>
      </vt:variant>
      <vt:variant>
        <vt:i4>221</vt:i4>
      </vt:variant>
      <vt:variant>
        <vt:i4>0</vt:i4>
      </vt:variant>
      <vt:variant>
        <vt:i4>5</vt:i4>
      </vt:variant>
      <vt:variant>
        <vt:lpwstr/>
      </vt:variant>
      <vt:variant>
        <vt:lpwstr>_Toc291850798</vt:lpwstr>
      </vt:variant>
      <vt:variant>
        <vt:i4>2031665</vt:i4>
      </vt:variant>
      <vt:variant>
        <vt:i4>215</vt:i4>
      </vt:variant>
      <vt:variant>
        <vt:i4>0</vt:i4>
      </vt:variant>
      <vt:variant>
        <vt:i4>5</vt:i4>
      </vt:variant>
      <vt:variant>
        <vt:lpwstr/>
      </vt:variant>
      <vt:variant>
        <vt:lpwstr>_Toc291850797</vt:lpwstr>
      </vt:variant>
      <vt:variant>
        <vt:i4>2031665</vt:i4>
      </vt:variant>
      <vt:variant>
        <vt:i4>209</vt:i4>
      </vt:variant>
      <vt:variant>
        <vt:i4>0</vt:i4>
      </vt:variant>
      <vt:variant>
        <vt:i4>5</vt:i4>
      </vt:variant>
      <vt:variant>
        <vt:lpwstr/>
      </vt:variant>
      <vt:variant>
        <vt:lpwstr>_Toc291850796</vt:lpwstr>
      </vt:variant>
      <vt:variant>
        <vt:i4>2031665</vt:i4>
      </vt:variant>
      <vt:variant>
        <vt:i4>203</vt:i4>
      </vt:variant>
      <vt:variant>
        <vt:i4>0</vt:i4>
      </vt:variant>
      <vt:variant>
        <vt:i4>5</vt:i4>
      </vt:variant>
      <vt:variant>
        <vt:lpwstr/>
      </vt:variant>
      <vt:variant>
        <vt:lpwstr>_Toc291850795</vt:lpwstr>
      </vt:variant>
      <vt:variant>
        <vt:i4>2031665</vt:i4>
      </vt:variant>
      <vt:variant>
        <vt:i4>197</vt:i4>
      </vt:variant>
      <vt:variant>
        <vt:i4>0</vt:i4>
      </vt:variant>
      <vt:variant>
        <vt:i4>5</vt:i4>
      </vt:variant>
      <vt:variant>
        <vt:lpwstr/>
      </vt:variant>
      <vt:variant>
        <vt:lpwstr>_Toc291850794</vt:lpwstr>
      </vt:variant>
      <vt:variant>
        <vt:i4>2031665</vt:i4>
      </vt:variant>
      <vt:variant>
        <vt:i4>191</vt:i4>
      </vt:variant>
      <vt:variant>
        <vt:i4>0</vt:i4>
      </vt:variant>
      <vt:variant>
        <vt:i4>5</vt:i4>
      </vt:variant>
      <vt:variant>
        <vt:lpwstr/>
      </vt:variant>
      <vt:variant>
        <vt:lpwstr>_Toc291850793</vt:lpwstr>
      </vt:variant>
      <vt:variant>
        <vt:i4>2031665</vt:i4>
      </vt:variant>
      <vt:variant>
        <vt:i4>185</vt:i4>
      </vt:variant>
      <vt:variant>
        <vt:i4>0</vt:i4>
      </vt:variant>
      <vt:variant>
        <vt:i4>5</vt:i4>
      </vt:variant>
      <vt:variant>
        <vt:lpwstr/>
      </vt:variant>
      <vt:variant>
        <vt:lpwstr>_Toc291850792</vt:lpwstr>
      </vt:variant>
      <vt:variant>
        <vt:i4>2031665</vt:i4>
      </vt:variant>
      <vt:variant>
        <vt:i4>179</vt:i4>
      </vt:variant>
      <vt:variant>
        <vt:i4>0</vt:i4>
      </vt:variant>
      <vt:variant>
        <vt:i4>5</vt:i4>
      </vt:variant>
      <vt:variant>
        <vt:lpwstr/>
      </vt:variant>
      <vt:variant>
        <vt:lpwstr>_Toc291850791</vt:lpwstr>
      </vt:variant>
      <vt:variant>
        <vt:i4>2031665</vt:i4>
      </vt:variant>
      <vt:variant>
        <vt:i4>173</vt:i4>
      </vt:variant>
      <vt:variant>
        <vt:i4>0</vt:i4>
      </vt:variant>
      <vt:variant>
        <vt:i4>5</vt:i4>
      </vt:variant>
      <vt:variant>
        <vt:lpwstr/>
      </vt:variant>
      <vt:variant>
        <vt:lpwstr>_Toc291850790</vt:lpwstr>
      </vt:variant>
      <vt:variant>
        <vt:i4>1966129</vt:i4>
      </vt:variant>
      <vt:variant>
        <vt:i4>167</vt:i4>
      </vt:variant>
      <vt:variant>
        <vt:i4>0</vt:i4>
      </vt:variant>
      <vt:variant>
        <vt:i4>5</vt:i4>
      </vt:variant>
      <vt:variant>
        <vt:lpwstr/>
      </vt:variant>
      <vt:variant>
        <vt:lpwstr>_Toc291850789</vt:lpwstr>
      </vt:variant>
      <vt:variant>
        <vt:i4>1966129</vt:i4>
      </vt:variant>
      <vt:variant>
        <vt:i4>161</vt:i4>
      </vt:variant>
      <vt:variant>
        <vt:i4>0</vt:i4>
      </vt:variant>
      <vt:variant>
        <vt:i4>5</vt:i4>
      </vt:variant>
      <vt:variant>
        <vt:lpwstr/>
      </vt:variant>
      <vt:variant>
        <vt:lpwstr>_Toc291850788</vt:lpwstr>
      </vt:variant>
      <vt:variant>
        <vt:i4>1966129</vt:i4>
      </vt:variant>
      <vt:variant>
        <vt:i4>155</vt:i4>
      </vt:variant>
      <vt:variant>
        <vt:i4>0</vt:i4>
      </vt:variant>
      <vt:variant>
        <vt:i4>5</vt:i4>
      </vt:variant>
      <vt:variant>
        <vt:lpwstr/>
      </vt:variant>
      <vt:variant>
        <vt:lpwstr>_Toc291850787</vt:lpwstr>
      </vt:variant>
      <vt:variant>
        <vt:i4>1966129</vt:i4>
      </vt:variant>
      <vt:variant>
        <vt:i4>149</vt:i4>
      </vt:variant>
      <vt:variant>
        <vt:i4>0</vt:i4>
      </vt:variant>
      <vt:variant>
        <vt:i4>5</vt:i4>
      </vt:variant>
      <vt:variant>
        <vt:lpwstr/>
      </vt:variant>
      <vt:variant>
        <vt:lpwstr>_Toc291850786</vt:lpwstr>
      </vt:variant>
      <vt:variant>
        <vt:i4>1966129</vt:i4>
      </vt:variant>
      <vt:variant>
        <vt:i4>143</vt:i4>
      </vt:variant>
      <vt:variant>
        <vt:i4>0</vt:i4>
      </vt:variant>
      <vt:variant>
        <vt:i4>5</vt:i4>
      </vt:variant>
      <vt:variant>
        <vt:lpwstr/>
      </vt:variant>
      <vt:variant>
        <vt:lpwstr>_Toc291850785</vt:lpwstr>
      </vt:variant>
      <vt:variant>
        <vt:i4>1966129</vt:i4>
      </vt:variant>
      <vt:variant>
        <vt:i4>137</vt:i4>
      </vt:variant>
      <vt:variant>
        <vt:i4>0</vt:i4>
      </vt:variant>
      <vt:variant>
        <vt:i4>5</vt:i4>
      </vt:variant>
      <vt:variant>
        <vt:lpwstr/>
      </vt:variant>
      <vt:variant>
        <vt:lpwstr>_Toc291850784</vt:lpwstr>
      </vt:variant>
      <vt:variant>
        <vt:i4>1966129</vt:i4>
      </vt:variant>
      <vt:variant>
        <vt:i4>131</vt:i4>
      </vt:variant>
      <vt:variant>
        <vt:i4>0</vt:i4>
      </vt:variant>
      <vt:variant>
        <vt:i4>5</vt:i4>
      </vt:variant>
      <vt:variant>
        <vt:lpwstr/>
      </vt:variant>
      <vt:variant>
        <vt:lpwstr>_Toc291850783</vt:lpwstr>
      </vt:variant>
      <vt:variant>
        <vt:i4>1966129</vt:i4>
      </vt:variant>
      <vt:variant>
        <vt:i4>125</vt:i4>
      </vt:variant>
      <vt:variant>
        <vt:i4>0</vt:i4>
      </vt:variant>
      <vt:variant>
        <vt:i4>5</vt:i4>
      </vt:variant>
      <vt:variant>
        <vt:lpwstr/>
      </vt:variant>
      <vt:variant>
        <vt:lpwstr>_Toc291850782</vt:lpwstr>
      </vt:variant>
      <vt:variant>
        <vt:i4>1966129</vt:i4>
      </vt:variant>
      <vt:variant>
        <vt:i4>119</vt:i4>
      </vt:variant>
      <vt:variant>
        <vt:i4>0</vt:i4>
      </vt:variant>
      <vt:variant>
        <vt:i4>5</vt:i4>
      </vt:variant>
      <vt:variant>
        <vt:lpwstr/>
      </vt:variant>
      <vt:variant>
        <vt:lpwstr>_Toc291850781</vt:lpwstr>
      </vt:variant>
      <vt:variant>
        <vt:i4>1966129</vt:i4>
      </vt:variant>
      <vt:variant>
        <vt:i4>113</vt:i4>
      </vt:variant>
      <vt:variant>
        <vt:i4>0</vt:i4>
      </vt:variant>
      <vt:variant>
        <vt:i4>5</vt:i4>
      </vt:variant>
      <vt:variant>
        <vt:lpwstr/>
      </vt:variant>
      <vt:variant>
        <vt:lpwstr>_Toc291850780</vt:lpwstr>
      </vt:variant>
      <vt:variant>
        <vt:i4>1114161</vt:i4>
      </vt:variant>
      <vt:variant>
        <vt:i4>107</vt:i4>
      </vt:variant>
      <vt:variant>
        <vt:i4>0</vt:i4>
      </vt:variant>
      <vt:variant>
        <vt:i4>5</vt:i4>
      </vt:variant>
      <vt:variant>
        <vt:lpwstr/>
      </vt:variant>
      <vt:variant>
        <vt:lpwstr>_Toc291850779</vt:lpwstr>
      </vt:variant>
      <vt:variant>
        <vt:i4>1114161</vt:i4>
      </vt:variant>
      <vt:variant>
        <vt:i4>101</vt:i4>
      </vt:variant>
      <vt:variant>
        <vt:i4>0</vt:i4>
      </vt:variant>
      <vt:variant>
        <vt:i4>5</vt:i4>
      </vt:variant>
      <vt:variant>
        <vt:lpwstr/>
      </vt:variant>
      <vt:variant>
        <vt:lpwstr>_Toc291850778</vt:lpwstr>
      </vt:variant>
      <vt:variant>
        <vt:i4>1114161</vt:i4>
      </vt:variant>
      <vt:variant>
        <vt:i4>95</vt:i4>
      </vt:variant>
      <vt:variant>
        <vt:i4>0</vt:i4>
      </vt:variant>
      <vt:variant>
        <vt:i4>5</vt:i4>
      </vt:variant>
      <vt:variant>
        <vt:lpwstr/>
      </vt:variant>
      <vt:variant>
        <vt:lpwstr>_Toc291850777</vt:lpwstr>
      </vt:variant>
      <vt:variant>
        <vt:i4>1114161</vt:i4>
      </vt:variant>
      <vt:variant>
        <vt:i4>89</vt:i4>
      </vt:variant>
      <vt:variant>
        <vt:i4>0</vt:i4>
      </vt:variant>
      <vt:variant>
        <vt:i4>5</vt:i4>
      </vt:variant>
      <vt:variant>
        <vt:lpwstr/>
      </vt:variant>
      <vt:variant>
        <vt:lpwstr>_Toc291850776</vt:lpwstr>
      </vt:variant>
      <vt:variant>
        <vt:i4>1114161</vt:i4>
      </vt:variant>
      <vt:variant>
        <vt:i4>83</vt:i4>
      </vt:variant>
      <vt:variant>
        <vt:i4>0</vt:i4>
      </vt:variant>
      <vt:variant>
        <vt:i4>5</vt:i4>
      </vt:variant>
      <vt:variant>
        <vt:lpwstr/>
      </vt:variant>
      <vt:variant>
        <vt:lpwstr>_Toc291850775</vt:lpwstr>
      </vt:variant>
      <vt:variant>
        <vt:i4>1114161</vt:i4>
      </vt:variant>
      <vt:variant>
        <vt:i4>77</vt:i4>
      </vt:variant>
      <vt:variant>
        <vt:i4>0</vt:i4>
      </vt:variant>
      <vt:variant>
        <vt:i4>5</vt:i4>
      </vt:variant>
      <vt:variant>
        <vt:lpwstr/>
      </vt:variant>
      <vt:variant>
        <vt:lpwstr>_Toc291850774</vt:lpwstr>
      </vt:variant>
      <vt:variant>
        <vt:i4>1114161</vt:i4>
      </vt:variant>
      <vt:variant>
        <vt:i4>71</vt:i4>
      </vt:variant>
      <vt:variant>
        <vt:i4>0</vt:i4>
      </vt:variant>
      <vt:variant>
        <vt:i4>5</vt:i4>
      </vt:variant>
      <vt:variant>
        <vt:lpwstr/>
      </vt:variant>
      <vt:variant>
        <vt:lpwstr>_Toc291850773</vt:lpwstr>
      </vt:variant>
      <vt:variant>
        <vt:i4>1114161</vt:i4>
      </vt:variant>
      <vt:variant>
        <vt:i4>65</vt:i4>
      </vt:variant>
      <vt:variant>
        <vt:i4>0</vt:i4>
      </vt:variant>
      <vt:variant>
        <vt:i4>5</vt:i4>
      </vt:variant>
      <vt:variant>
        <vt:lpwstr/>
      </vt:variant>
      <vt:variant>
        <vt:lpwstr>_Toc291850772</vt:lpwstr>
      </vt:variant>
      <vt:variant>
        <vt:i4>1114161</vt:i4>
      </vt:variant>
      <vt:variant>
        <vt:i4>59</vt:i4>
      </vt:variant>
      <vt:variant>
        <vt:i4>0</vt:i4>
      </vt:variant>
      <vt:variant>
        <vt:i4>5</vt:i4>
      </vt:variant>
      <vt:variant>
        <vt:lpwstr/>
      </vt:variant>
      <vt:variant>
        <vt:lpwstr>_Toc291850771</vt:lpwstr>
      </vt:variant>
      <vt:variant>
        <vt:i4>1114161</vt:i4>
      </vt:variant>
      <vt:variant>
        <vt:i4>53</vt:i4>
      </vt:variant>
      <vt:variant>
        <vt:i4>0</vt:i4>
      </vt:variant>
      <vt:variant>
        <vt:i4>5</vt:i4>
      </vt:variant>
      <vt:variant>
        <vt:lpwstr/>
      </vt:variant>
      <vt:variant>
        <vt:lpwstr>_Toc291850770</vt:lpwstr>
      </vt:variant>
      <vt:variant>
        <vt:i4>1048625</vt:i4>
      </vt:variant>
      <vt:variant>
        <vt:i4>47</vt:i4>
      </vt:variant>
      <vt:variant>
        <vt:i4>0</vt:i4>
      </vt:variant>
      <vt:variant>
        <vt:i4>5</vt:i4>
      </vt:variant>
      <vt:variant>
        <vt:lpwstr/>
      </vt:variant>
      <vt:variant>
        <vt:lpwstr>_Toc291850769</vt:lpwstr>
      </vt:variant>
      <vt:variant>
        <vt:i4>1048625</vt:i4>
      </vt:variant>
      <vt:variant>
        <vt:i4>41</vt:i4>
      </vt:variant>
      <vt:variant>
        <vt:i4>0</vt:i4>
      </vt:variant>
      <vt:variant>
        <vt:i4>5</vt:i4>
      </vt:variant>
      <vt:variant>
        <vt:lpwstr/>
      </vt:variant>
      <vt:variant>
        <vt:lpwstr>_Toc291850768</vt:lpwstr>
      </vt:variant>
      <vt:variant>
        <vt:i4>1048625</vt:i4>
      </vt:variant>
      <vt:variant>
        <vt:i4>35</vt:i4>
      </vt:variant>
      <vt:variant>
        <vt:i4>0</vt:i4>
      </vt:variant>
      <vt:variant>
        <vt:i4>5</vt:i4>
      </vt:variant>
      <vt:variant>
        <vt:lpwstr/>
      </vt:variant>
      <vt:variant>
        <vt:lpwstr>_Toc291850767</vt:lpwstr>
      </vt:variant>
      <vt:variant>
        <vt:i4>1048625</vt:i4>
      </vt:variant>
      <vt:variant>
        <vt:i4>29</vt:i4>
      </vt:variant>
      <vt:variant>
        <vt:i4>0</vt:i4>
      </vt:variant>
      <vt:variant>
        <vt:i4>5</vt:i4>
      </vt:variant>
      <vt:variant>
        <vt:lpwstr/>
      </vt:variant>
      <vt:variant>
        <vt:lpwstr>_Toc291850766</vt:lpwstr>
      </vt:variant>
      <vt:variant>
        <vt:i4>1048625</vt:i4>
      </vt:variant>
      <vt:variant>
        <vt:i4>23</vt:i4>
      </vt:variant>
      <vt:variant>
        <vt:i4>0</vt:i4>
      </vt:variant>
      <vt:variant>
        <vt:i4>5</vt:i4>
      </vt:variant>
      <vt:variant>
        <vt:lpwstr/>
      </vt:variant>
      <vt:variant>
        <vt:lpwstr>_Toc291850765</vt:lpwstr>
      </vt:variant>
      <vt:variant>
        <vt:i4>1048625</vt:i4>
      </vt:variant>
      <vt:variant>
        <vt:i4>17</vt:i4>
      </vt:variant>
      <vt:variant>
        <vt:i4>0</vt:i4>
      </vt:variant>
      <vt:variant>
        <vt:i4>5</vt:i4>
      </vt:variant>
      <vt:variant>
        <vt:lpwstr/>
      </vt:variant>
      <vt:variant>
        <vt:lpwstr>_Toc291850764</vt:lpwstr>
      </vt:variant>
      <vt:variant>
        <vt:i4>1048625</vt:i4>
      </vt:variant>
      <vt:variant>
        <vt:i4>11</vt:i4>
      </vt:variant>
      <vt:variant>
        <vt:i4>0</vt:i4>
      </vt:variant>
      <vt:variant>
        <vt:i4>5</vt:i4>
      </vt:variant>
      <vt:variant>
        <vt:lpwstr/>
      </vt:variant>
      <vt:variant>
        <vt:lpwstr>_Toc291850763</vt:lpwstr>
      </vt:variant>
      <vt:variant>
        <vt:i4>1048625</vt:i4>
      </vt:variant>
      <vt:variant>
        <vt:i4>5</vt:i4>
      </vt:variant>
      <vt:variant>
        <vt:i4>0</vt:i4>
      </vt:variant>
      <vt:variant>
        <vt:i4>5</vt:i4>
      </vt:variant>
      <vt:variant>
        <vt:lpwstr/>
      </vt:variant>
      <vt:variant>
        <vt:lpwstr>_Toc291850762</vt:lpwstr>
      </vt:variant>
      <vt:variant>
        <vt:i4>458762</vt:i4>
      </vt:variant>
      <vt:variant>
        <vt:i4>0</vt:i4>
      </vt:variant>
      <vt:variant>
        <vt:i4>0</vt:i4>
      </vt:variant>
      <vt:variant>
        <vt:i4>5</vt:i4>
      </vt:variant>
      <vt:variant>
        <vt:lpwstr>http://xbrl.squarespace.com/</vt:lpwstr>
      </vt:variant>
      <vt:variant>
        <vt:lpwstr/>
      </vt:variant>
      <vt:variant>
        <vt:i4>1572870</vt:i4>
      </vt:variant>
      <vt:variant>
        <vt:i4>0</vt:i4>
      </vt:variant>
      <vt:variant>
        <vt:i4>0</vt:i4>
      </vt:variant>
      <vt:variant>
        <vt:i4>5</vt:i4>
      </vt:variant>
      <vt:variant>
        <vt:lpwstr>http://www.xbrlsite.com/US-GAAP-2011/LogicalModel/SEC-XBRL-Primer-2011-02-15.pdf</vt:lpwstr>
      </vt:variant>
      <vt:variant>
        <vt:lpwstr/>
      </vt:variant>
      <vt:variant>
        <vt:i4>6553702</vt:i4>
      </vt:variant>
      <vt:variant>
        <vt:i4>6</vt:i4>
      </vt:variant>
      <vt:variant>
        <vt:i4>0</vt:i4>
      </vt:variant>
      <vt:variant>
        <vt:i4>5</vt:i4>
      </vt:variant>
      <vt:variant>
        <vt:lpwstr>http://creativecommons.org/licenses/by/3.0/</vt:lpwstr>
      </vt:variant>
      <vt:variant>
        <vt:lpwstr/>
      </vt:variant>
      <vt:variant>
        <vt:i4>6553702</vt:i4>
      </vt:variant>
      <vt:variant>
        <vt:i4>0</vt:i4>
      </vt:variant>
      <vt:variant>
        <vt:i4>0</vt:i4>
      </vt:variant>
      <vt:variant>
        <vt:i4>5</vt:i4>
      </vt:variant>
      <vt:variant>
        <vt:lpwstr>http://creativecommons.org/licenses/by/3.0/</vt:lpwstr>
      </vt:variant>
      <vt:variant>
        <vt:lpwstr/>
      </vt:variant>
      <vt:variant>
        <vt:i4>6553702</vt:i4>
      </vt:variant>
      <vt:variant>
        <vt:i4>220875</vt:i4>
      </vt:variant>
      <vt:variant>
        <vt:i4>1065</vt:i4>
      </vt:variant>
      <vt:variant>
        <vt:i4>4</vt:i4>
      </vt:variant>
      <vt:variant>
        <vt:lpwstr>http://creativecommons.org/licenses/by/3.0/</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Financial Reporting Using XBRL</dc:title>
  <dc:creator>Charles Hoffman</dc:creator>
  <cp:lastModifiedBy>Charles Hoffman</cp:lastModifiedBy>
  <cp:revision>30</cp:revision>
  <cp:lastPrinted>2017-05-17T20:42:00Z</cp:lastPrinted>
  <dcterms:created xsi:type="dcterms:W3CDTF">2016-12-18T21:34:00Z</dcterms:created>
  <dcterms:modified xsi:type="dcterms:W3CDTF">2020-07-15T16:24:00Z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ies>
</file>