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23CBA8" w14:textId="5CBABB69" w:rsidR="00431828" w:rsidRDefault="00431828" w:rsidP="00B054D0">
      <w:pPr>
        <w:pStyle w:val="Heading1"/>
      </w:pPr>
      <w:bookmarkStart w:id="0" w:name="_Toc469843756"/>
      <w:r>
        <w:t>Template Examples</w:t>
      </w:r>
      <w:bookmarkEnd w:id="0"/>
    </w:p>
    <w:p w14:paraId="31B20F79" w14:textId="32EC3115" w:rsidR="005A7E57" w:rsidRDefault="005A7E57" w:rsidP="00B054D0">
      <w:pPr>
        <w:pStyle w:val="BodyText"/>
        <w:rPr>
          <w:lang w:val="en-GB"/>
        </w:rPr>
      </w:pPr>
      <w:r>
        <w:rPr>
          <w:lang w:val="en-GB"/>
        </w:rPr>
        <w:t>The purpose of this section is to provide the reader with an example of a set of templates that can be used when creating XBRL-based digital financial reports.</w:t>
      </w:r>
    </w:p>
    <w:p w14:paraId="5148ADBE" w14:textId="32884B00" w:rsidR="00431828" w:rsidRDefault="00431828" w:rsidP="00B054D0">
      <w:pPr>
        <w:pStyle w:val="BodyText"/>
        <w:rPr>
          <w:lang w:val="en-GB"/>
        </w:rPr>
      </w:pPr>
      <w:r>
        <w:rPr>
          <w:lang w:val="en-GB"/>
        </w:rPr>
        <w:t>The financial disclosure templates are a set of approximately 75 smaller fragments or parts of US GAAP financial report disclosures, similar to the business use cases.  Disclosure templates/exemplars are created for common financial report disclosures.  The disclosure templates/exemplars are modelled compliant with XBRL-based financial report logical, mechanical, mathematical, and SEC EFM rules.  The templates/exemplars use the 2017 US GAAP XBRL Taxonomy</w:t>
      </w:r>
      <w:r>
        <w:rPr>
          <w:rStyle w:val="FootnoteReference"/>
          <w:lang w:val="en-GB"/>
        </w:rPr>
        <w:footnoteReference w:id="1"/>
      </w:r>
      <w:r>
        <w:rPr>
          <w:lang w:val="en-GB"/>
        </w:rPr>
        <w:t xml:space="preserve">.  </w:t>
      </w:r>
    </w:p>
    <w:p w14:paraId="6C3E3753" w14:textId="77777777" w:rsidR="00431828" w:rsidRDefault="00431828" w:rsidP="00B054D0">
      <w:pPr>
        <w:pStyle w:val="Heading2"/>
        <w:rPr>
          <w:lang w:val="en-GB"/>
        </w:rPr>
      </w:pPr>
      <w:bookmarkStart w:id="1" w:name="_Toc418920278"/>
      <w:r>
        <w:rPr>
          <w:lang w:val="en-GB"/>
        </w:rPr>
        <w:t>Overview of US GAAP financial disclosure templates</w:t>
      </w:r>
      <w:bookmarkEnd w:id="1"/>
      <w:r>
        <w:rPr>
          <w:lang w:val="en-GB"/>
        </w:rPr>
        <w:t>/exemplars</w:t>
      </w:r>
    </w:p>
    <w:p w14:paraId="29DD5B2C" w14:textId="77777777" w:rsidR="00431828" w:rsidRDefault="00431828" w:rsidP="00B054D0">
      <w:pPr>
        <w:pStyle w:val="BodyText"/>
      </w:pPr>
      <w:r>
        <w:rPr>
          <w:lang w:val="en-GB"/>
        </w:rPr>
        <w:t>The disclosure templates can be found at the following URL:</w:t>
      </w:r>
    </w:p>
    <w:p w14:paraId="2BFF6FBE" w14:textId="77777777" w:rsidR="00431828" w:rsidRPr="00FE599A" w:rsidRDefault="00472C90" w:rsidP="00B054D0">
      <w:pPr>
        <w:jc w:val="center"/>
        <w:rPr>
          <w:sz w:val="16"/>
        </w:rPr>
      </w:pPr>
      <w:hyperlink r:id="rId8" w:history="1">
        <w:r w:rsidR="00431828" w:rsidRPr="00E21712">
          <w:rPr>
            <w:rStyle w:val="Hyperlink"/>
            <w:sz w:val="16"/>
          </w:rPr>
          <w:t>http://xbrlsite.azurewebsites.net/DigitalFinancialReporting/Templates/us-gaap/2017-05-07/</w:t>
        </w:r>
      </w:hyperlink>
      <w:r w:rsidR="00431828">
        <w:rPr>
          <w:sz w:val="16"/>
        </w:rPr>
        <w:t xml:space="preserve"> </w:t>
      </w:r>
    </w:p>
    <w:p w14:paraId="016E8DD1" w14:textId="77777777" w:rsidR="00431828" w:rsidRDefault="00431828" w:rsidP="00B054D0"/>
    <w:p w14:paraId="09432A79" w14:textId="77777777" w:rsidR="00431828" w:rsidRDefault="00431828" w:rsidP="00B054D0">
      <w:pPr>
        <w:jc w:val="center"/>
      </w:pPr>
      <w:r>
        <w:rPr>
          <w:noProof/>
        </w:rPr>
        <w:drawing>
          <wp:inline distT="0" distB="0" distL="0" distR="0" wp14:anchorId="7453266C" wp14:editId="46F4A85F">
            <wp:extent cx="5114925" cy="4438430"/>
            <wp:effectExtent l="0" t="0" r="0" b="0"/>
            <wp:docPr id="1073741973" name="Picture 1073741973" descr="C:\Users\Charlie\AppData\Local\Temp\SNAGHTML1371a3a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Charlie\AppData\Local\Temp\SNAGHTML1371a3a4.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30061" cy="4451564"/>
                    </a:xfrm>
                    <a:prstGeom prst="rect">
                      <a:avLst/>
                    </a:prstGeom>
                    <a:noFill/>
                    <a:ln>
                      <a:noFill/>
                    </a:ln>
                  </pic:spPr>
                </pic:pic>
              </a:graphicData>
            </a:graphic>
          </wp:inline>
        </w:drawing>
      </w:r>
    </w:p>
    <w:p w14:paraId="70C1297D" w14:textId="77777777" w:rsidR="00431828" w:rsidRDefault="00431828" w:rsidP="00B054D0">
      <w:pPr>
        <w:pStyle w:val="Heading2"/>
        <w:rPr>
          <w:lang w:val="en-GB"/>
        </w:rPr>
      </w:pPr>
      <w:bookmarkStart w:id="2" w:name="_Toc418920279"/>
      <w:r>
        <w:rPr>
          <w:lang w:val="en-GB"/>
        </w:rPr>
        <w:lastRenderedPageBreak/>
        <w:t>Details of financial disclosure templates</w:t>
      </w:r>
      <w:bookmarkEnd w:id="2"/>
    </w:p>
    <w:p w14:paraId="3D619B55" w14:textId="77777777" w:rsidR="00431828" w:rsidRDefault="00431828" w:rsidP="00B054D0">
      <w:pPr>
        <w:pStyle w:val="BodyText"/>
        <w:rPr>
          <w:lang w:val="en-GB"/>
        </w:rPr>
      </w:pPr>
      <w:r>
        <w:rPr>
          <w:lang w:val="en-GB"/>
        </w:rPr>
        <w:t>The following is a summary of the different disclosure templates available:</w:t>
      </w: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50"/>
        <w:gridCol w:w="6300"/>
      </w:tblGrid>
      <w:tr w:rsidR="00431828" w:rsidRPr="00B95DD7" w14:paraId="08DC8F36" w14:textId="77777777" w:rsidTr="00984985">
        <w:trPr>
          <w:cantSplit/>
          <w:tblHeader/>
        </w:trPr>
        <w:tc>
          <w:tcPr>
            <w:tcW w:w="3150" w:type="dxa"/>
            <w:shd w:val="pct20" w:color="auto" w:fill="auto"/>
          </w:tcPr>
          <w:p w14:paraId="6490D1EF" w14:textId="77777777" w:rsidR="00431828" w:rsidRPr="00B95DD7" w:rsidRDefault="00431828" w:rsidP="00984985">
            <w:pPr>
              <w:pStyle w:val="BodyText"/>
              <w:spacing w:before="0" w:after="0"/>
              <w:jc w:val="left"/>
              <w:rPr>
                <w:b/>
                <w:szCs w:val="20"/>
                <w:lang w:val="en-GB"/>
              </w:rPr>
            </w:pPr>
            <w:r w:rsidRPr="00B95DD7">
              <w:rPr>
                <w:b/>
                <w:szCs w:val="20"/>
                <w:lang w:val="en-GB"/>
              </w:rPr>
              <w:t>Template label</w:t>
            </w:r>
          </w:p>
        </w:tc>
        <w:tc>
          <w:tcPr>
            <w:tcW w:w="6300" w:type="dxa"/>
            <w:shd w:val="pct20" w:color="auto" w:fill="auto"/>
          </w:tcPr>
          <w:p w14:paraId="22D2B7A9" w14:textId="77777777" w:rsidR="00431828" w:rsidRPr="00B95DD7" w:rsidRDefault="00431828" w:rsidP="00984985">
            <w:pPr>
              <w:pStyle w:val="BodyText"/>
              <w:spacing w:before="0" w:after="0"/>
              <w:jc w:val="center"/>
              <w:rPr>
                <w:b/>
                <w:szCs w:val="20"/>
                <w:lang w:val="en-GB"/>
              </w:rPr>
            </w:pPr>
            <w:r w:rsidRPr="00B95DD7">
              <w:rPr>
                <w:b/>
                <w:szCs w:val="20"/>
                <w:lang w:val="en-GB"/>
              </w:rPr>
              <w:t>Description</w:t>
            </w:r>
          </w:p>
        </w:tc>
      </w:tr>
      <w:tr w:rsidR="00431828" w:rsidRPr="00B95DD7" w14:paraId="11CEC10D" w14:textId="77777777" w:rsidTr="00984985">
        <w:trPr>
          <w:cantSplit/>
        </w:trPr>
        <w:tc>
          <w:tcPr>
            <w:tcW w:w="3150" w:type="dxa"/>
          </w:tcPr>
          <w:p w14:paraId="106EC2AB" w14:textId="77777777" w:rsidR="00431828" w:rsidRPr="00B95DD7" w:rsidRDefault="00431828" w:rsidP="00984985">
            <w:pPr>
              <w:rPr>
                <w:rFonts w:cs="Arial"/>
                <w:sz w:val="16"/>
              </w:rPr>
            </w:pPr>
            <w:r w:rsidRPr="00B95DD7">
              <w:rPr>
                <w:rFonts w:cs="Arial"/>
                <w:color w:val="000000"/>
                <w:sz w:val="16"/>
                <w:szCs w:val="20"/>
              </w:rPr>
              <w:t>Accounting Policies</w:t>
            </w:r>
          </w:p>
        </w:tc>
        <w:tc>
          <w:tcPr>
            <w:tcW w:w="6300" w:type="dxa"/>
          </w:tcPr>
          <w:p w14:paraId="042EC881" w14:textId="77777777" w:rsidR="00431828" w:rsidRPr="00B95DD7" w:rsidRDefault="00431828" w:rsidP="00984985">
            <w:pPr>
              <w:rPr>
                <w:rFonts w:cs="Arial"/>
                <w:sz w:val="16"/>
              </w:rPr>
            </w:pPr>
            <w:r w:rsidRPr="00B95DD7">
              <w:rPr>
                <w:rFonts w:cs="Arial"/>
                <w:color w:val="000000"/>
                <w:sz w:val="16"/>
                <w:szCs w:val="20"/>
              </w:rPr>
              <w:t>Basic summary of significant accounting policies</w:t>
            </w:r>
          </w:p>
        </w:tc>
      </w:tr>
      <w:tr w:rsidR="00431828" w:rsidRPr="00B95DD7" w14:paraId="74298283" w14:textId="77777777" w:rsidTr="00984985">
        <w:trPr>
          <w:cantSplit/>
        </w:trPr>
        <w:tc>
          <w:tcPr>
            <w:tcW w:w="3150" w:type="dxa"/>
          </w:tcPr>
          <w:p w14:paraId="43D0CE70" w14:textId="77777777" w:rsidR="00431828" w:rsidRPr="00B95DD7" w:rsidRDefault="00431828" w:rsidP="00984985">
            <w:pPr>
              <w:rPr>
                <w:rFonts w:cs="Arial"/>
                <w:sz w:val="16"/>
              </w:rPr>
            </w:pPr>
            <w:r w:rsidRPr="00B95DD7">
              <w:rPr>
                <w:rFonts w:cs="Arial"/>
                <w:color w:val="000000"/>
                <w:sz w:val="16"/>
                <w:szCs w:val="20"/>
              </w:rPr>
              <w:t>Accrued Liabilities Components</w:t>
            </w:r>
          </w:p>
        </w:tc>
        <w:tc>
          <w:tcPr>
            <w:tcW w:w="6300" w:type="dxa"/>
          </w:tcPr>
          <w:p w14:paraId="3C8C79CD" w14:textId="77777777" w:rsidR="00431828" w:rsidRPr="00B95DD7" w:rsidRDefault="00431828" w:rsidP="00984985">
            <w:pPr>
              <w:rPr>
                <w:rFonts w:cs="Arial"/>
                <w:sz w:val="16"/>
              </w:rPr>
            </w:pPr>
            <w:r w:rsidRPr="00B95DD7">
              <w:rPr>
                <w:rFonts w:cs="Arial"/>
                <w:color w:val="000000"/>
                <w:sz w:val="16"/>
                <w:szCs w:val="20"/>
              </w:rPr>
              <w:t>Components of accrued liabilities</w:t>
            </w:r>
          </w:p>
        </w:tc>
      </w:tr>
      <w:tr w:rsidR="00431828" w:rsidRPr="00B95DD7" w14:paraId="00951302" w14:textId="77777777" w:rsidTr="00984985">
        <w:trPr>
          <w:cantSplit/>
        </w:trPr>
        <w:tc>
          <w:tcPr>
            <w:tcW w:w="3150" w:type="dxa"/>
          </w:tcPr>
          <w:p w14:paraId="7780E202" w14:textId="77777777" w:rsidR="00431828" w:rsidRPr="00B95DD7" w:rsidRDefault="00431828" w:rsidP="00984985">
            <w:pPr>
              <w:rPr>
                <w:rFonts w:cs="Arial"/>
                <w:sz w:val="16"/>
              </w:rPr>
            </w:pPr>
            <w:r w:rsidRPr="00B95DD7">
              <w:rPr>
                <w:rFonts w:cs="Arial"/>
                <w:color w:val="000000"/>
                <w:sz w:val="16"/>
                <w:szCs w:val="20"/>
              </w:rPr>
              <w:t>Antidilutive Securities Excluded from Computation of Earnings Per Share</w:t>
            </w:r>
          </w:p>
        </w:tc>
        <w:tc>
          <w:tcPr>
            <w:tcW w:w="6300" w:type="dxa"/>
          </w:tcPr>
          <w:p w14:paraId="266B61D6" w14:textId="77777777" w:rsidR="00431828" w:rsidRPr="00B95DD7" w:rsidRDefault="00431828" w:rsidP="00984985">
            <w:pPr>
              <w:rPr>
                <w:rFonts w:cs="Arial"/>
                <w:sz w:val="16"/>
              </w:rPr>
            </w:pPr>
            <w:r w:rsidRPr="00B95DD7">
              <w:rPr>
                <w:rFonts w:cs="Arial"/>
                <w:color w:val="000000"/>
                <w:sz w:val="16"/>
                <w:szCs w:val="20"/>
              </w:rPr>
              <w:t>Details of antidilutive securities excluded from computation of earnings per share</w:t>
            </w:r>
          </w:p>
        </w:tc>
      </w:tr>
      <w:tr w:rsidR="00431828" w:rsidRPr="00B95DD7" w14:paraId="19C03FBB" w14:textId="77777777" w:rsidTr="00984985">
        <w:trPr>
          <w:cantSplit/>
        </w:trPr>
        <w:tc>
          <w:tcPr>
            <w:tcW w:w="3150" w:type="dxa"/>
          </w:tcPr>
          <w:p w14:paraId="7206D30B" w14:textId="77777777" w:rsidR="00431828" w:rsidRPr="00B95DD7" w:rsidRDefault="00431828" w:rsidP="00984985">
            <w:pPr>
              <w:rPr>
                <w:rFonts w:cs="Arial"/>
                <w:sz w:val="16"/>
              </w:rPr>
            </w:pPr>
            <w:r w:rsidRPr="00B95DD7">
              <w:rPr>
                <w:rFonts w:cs="Arial"/>
                <w:color w:val="000000"/>
                <w:sz w:val="16"/>
                <w:szCs w:val="20"/>
              </w:rPr>
              <w:t>Asset Retirement Obligation Roll Forward</w:t>
            </w:r>
          </w:p>
        </w:tc>
        <w:tc>
          <w:tcPr>
            <w:tcW w:w="6300" w:type="dxa"/>
          </w:tcPr>
          <w:p w14:paraId="0ADB4A5B" w14:textId="77777777" w:rsidR="00431828" w:rsidRPr="00B95DD7" w:rsidRDefault="00431828" w:rsidP="00984985">
            <w:pPr>
              <w:rPr>
                <w:rFonts w:cs="Arial"/>
                <w:sz w:val="16"/>
              </w:rPr>
            </w:pPr>
            <w:r w:rsidRPr="00B95DD7">
              <w:rPr>
                <w:rFonts w:cs="Arial"/>
                <w:color w:val="000000"/>
                <w:sz w:val="16"/>
                <w:szCs w:val="20"/>
              </w:rPr>
              <w:t>Asset retirement obligation roll forward</w:t>
            </w:r>
          </w:p>
        </w:tc>
      </w:tr>
      <w:tr w:rsidR="00431828" w:rsidRPr="00B95DD7" w14:paraId="44A271D1" w14:textId="77777777" w:rsidTr="00984985">
        <w:trPr>
          <w:cantSplit/>
        </w:trPr>
        <w:tc>
          <w:tcPr>
            <w:tcW w:w="3150" w:type="dxa"/>
          </w:tcPr>
          <w:p w14:paraId="7F59A506" w14:textId="77777777" w:rsidR="00431828" w:rsidRPr="00B95DD7" w:rsidRDefault="00431828" w:rsidP="00984985">
            <w:pPr>
              <w:rPr>
                <w:rFonts w:cs="Arial"/>
                <w:sz w:val="16"/>
              </w:rPr>
            </w:pPr>
            <w:r w:rsidRPr="00B95DD7">
              <w:rPr>
                <w:rFonts w:cs="Arial"/>
                <w:color w:val="000000"/>
                <w:sz w:val="16"/>
                <w:szCs w:val="20"/>
              </w:rPr>
              <w:t>Balance Sheet, Classified, Does Not Have Noncontrolling Interest</w:t>
            </w:r>
          </w:p>
        </w:tc>
        <w:tc>
          <w:tcPr>
            <w:tcW w:w="6300" w:type="dxa"/>
          </w:tcPr>
          <w:p w14:paraId="2D1CCAF2" w14:textId="77777777" w:rsidR="00431828" w:rsidRPr="00B95DD7" w:rsidRDefault="00431828" w:rsidP="00984985">
            <w:pPr>
              <w:rPr>
                <w:rFonts w:cs="Arial"/>
                <w:sz w:val="16"/>
              </w:rPr>
            </w:pPr>
            <w:r w:rsidRPr="00B95DD7">
              <w:rPr>
                <w:rFonts w:cs="Arial"/>
                <w:color w:val="000000"/>
                <w:sz w:val="16"/>
                <w:szCs w:val="20"/>
              </w:rPr>
              <w:t>Basic classified balance sheet which does not include a noncontrolling interest.</w:t>
            </w:r>
          </w:p>
        </w:tc>
      </w:tr>
      <w:tr w:rsidR="00431828" w:rsidRPr="00B95DD7" w14:paraId="13C93CA8" w14:textId="77777777" w:rsidTr="00984985">
        <w:trPr>
          <w:cantSplit/>
        </w:trPr>
        <w:tc>
          <w:tcPr>
            <w:tcW w:w="3150" w:type="dxa"/>
          </w:tcPr>
          <w:p w14:paraId="26F538D7" w14:textId="77777777" w:rsidR="00431828" w:rsidRPr="00B95DD7" w:rsidRDefault="00431828" w:rsidP="00984985">
            <w:pPr>
              <w:rPr>
                <w:rFonts w:cs="Arial"/>
                <w:sz w:val="16"/>
              </w:rPr>
            </w:pPr>
            <w:r w:rsidRPr="00B95DD7">
              <w:rPr>
                <w:rFonts w:cs="Arial"/>
                <w:color w:val="000000"/>
                <w:sz w:val="16"/>
                <w:szCs w:val="20"/>
              </w:rPr>
              <w:t>Balance Sheet, Classified, With Noncontrolling Interest</w:t>
            </w:r>
          </w:p>
        </w:tc>
        <w:tc>
          <w:tcPr>
            <w:tcW w:w="6300" w:type="dxa"/>
          </w:tcPr>
          <w:p w14:paraId="289268BF" w14:textId="77777777" w:rsidR="00431828" w:rsidRPr="00B95DD7" w:rsidRDefault="00431828" w:rsidP="00984985">
            <w:pPr>
              <w:rPr>
                <w:rFonts w:cs="Arial"/>
                <w:sz w:val="16"/>
              </w:rPr>
            </w:pPr>
            <w:r w:rsidRPr="00B95DD7">
              <w:rPr>
                <w:rFonts w:cs="Arial"/>
                <w:color w:val="000000"/>
                <w:sz w:val="16"/>
                <w:szCs w:val="20"/>
              </w:rPr>
              <w:t>Basic classified balance sheet which contains a noncontrolling interest.</w:t>
            </w:r>
          </w:p>
        </w:tc>
      </w:tr>
      <w:tr w:rsidR="00431828" w:rsidRPr="00B95DD7" w14:paraId="25AFB55E" w14:textId="77777777" w:rsidTr="00984985">
        <w:trPr>
          <w:cantSplit/>
        </w:trPr>
        <w:tc>
          <w:tcPr>
            <w:tcW w:w="3150" w:type="dxa"/>
          </w:tcPr>
          <w:p w14:paraId="2A28C7A2" w14:textId="77777777" w:rsidR="00431828" w:rsidRPr="00B95DD7" w:rsidRDefault="00431828" w:rsidP="00984985">
            <w:pPr>
              <w:rPr>
                <w:rFonts w:cs="Arial"/>
                <w:sz w:val="16"/>
              </w:rPr>
            </w:pPr>
            <w:r w:rsidRPr="00B95DD7">
              <w:rPr>
                <w:rFonts w:cs="Arial"/>
                <w:color w:val="000000"/>
                <w:sz w:val="16"/>
                <w:szCs w:val="20"/>
              </w:rPr>
              <w:t>Balance Sheet, Parenthetical</w:t>
            </w:r>
          </w:p>
        </w:tc>
        <w:tc>
          <w:tcPr>
            <w:tcW w:w="6300" w:type="dxa"/>
          </w:tcPr>
          <w:p w14:paraId="797F5A14" w14:textId="77777777" w:rsidR="00431828" w:rsidRPr="00B95DD7" w:rsidRDefault="00431828" w:rsidP="00984985">
            <w:pPr>
              <w:rPr>
                <w:rFonts w:cs="Arial"/>
                <w:sz w:val="16"/>
              </w:rPr>
            </w:pPr>
            <w:r w:rsidRPr="00B95DD7">
              <w:rPr>
                <w:rFonts w:cs="Arial"/>
                <w:color w:val="000000"/>
                <w:sz w:val="16"/>
                <w:szCs w:val="20"/>
              </w:rPr>
              <w:t>Balance sheet parenthetical information</w:t>
            </w:r>
          </w:p>
        </w:tc>
      </w:tr>
      <w:tr w:rsidR="00431828" w:rsidRPr="00B95DD7" w14:paraId="54F02761" w14:textId="77777777" w:rsidTr="00984985">
        <w:trPr>
          <w:cantSplit/>
        </w:trPr>
        <w:tc>
          <w:tcPr>
            <w:tcW w:w="3150" w:type="dxa"/>
          </w:tcPr>
          <w:p w14:paraId="60CD939D" w14:textId="77777777" w:rsidR="00431828" w:rsidRPr="00B95DD7" w:rsidRDefault="00431828" w:rsidP="00984985">
            <w:pPr>
              <w:rPr>
                <w:rFonts w:cs="Arial"/>
                <w:sz w:val="16"/>
              </w:rPr>
            </w:pPr>
            <w:r w:rsidRPr="00B95DD7">
              <w:rPr>
                <w:rFonts w:cs="Arial"/>
                <w:color w:val="000000"/>
                <w:sz w:val="16"/>
                <w:szCs w:val="20"/>
              </w:rPr>
              <w:t>Balance Sheet, Parenthetical, Two Classes of Stock</w:t>
            </w:r>
          </w:p>
        </w:tc>
        <w:tc>
          <w:tcPr>
            <w:tcW w:w="6300" w:type="dxa"/>
          </w:tcPr>
          <w:p w14:paraId="49A4DE47" w14:textId="77777777" w:rsidR="00431828" w:rsidRPr="00B95DD7" w:rsidRDefault="00431828" w:rsidP="00984985">
            <w:pPr>
              <w:rPr>
                <w:rFonts w:cs="Arial"/>
                <w:sz w:val="16"/>
              </w:rPr>
            </w:pPr>
            <w:r w:rsidRPr="00B95DD7">
              <w:rPr>
                <w:rFonts w:cs="Arial"/>
                <w:color w:val="000000"/>
                <w:sz w:val="16"/>
                <w:szCs w:val="20"/>
              </w:rPr>
              <w:t>Balance sheet parenthetical information with two classes of stock</w:t>
            </w:r>
          </w:p>
        </w:tc>
      </w:tr>
      <w:tr w:rsidR="00431828" w:rsidRPr="00B95DD7" w14:paraId="362227E7" w14:textId="77777777" w:rsidTr="00984985">
        <w:trPr>
          <w:cantSplit/>
        </w:trPr>
        <w:tc>
          <w:tcPr>
            <w:tcW w:w="3150" w:type="dxa"/>
          </w:tcPr>
          <w:p w14:paraId="1C23890F" w14:textId="77777777" w:rsidR="00431828" w:rsidRPr="00B95DD7" w:rsidRDefault="00431828" w:rsidP="00984985">
            <w:pPr>
              <w:rPr>
                <w:rFonts w:cs="Arial"/>
                <w:sz w:val="16"/>
              </w:rPr>
            </w:pPr>
            <w:r w:rsidRPr="00B95DD7">
              <w:rPr>
                <w:rFonts w:cs="Arial"/>
                <w:color w:val="000000"/>
                <w:sz w:val="16"/>
                <w:szCs w:val="20"/>
              </w:rPr>
              <w:t>Business Acquisitions</w:t>
            </w:r>
          </w:p>
        </w:tc>
        <w:tc>
          <w:tcPr>
            <w:tcW w:w="6300" w:type="dxa"/>
          </w:tcPr>
          <w:p w14:paraId="1A4DCF9B" w14:textId="77777777" w:rsidR="00431828" w:rsidRPr="00B95DD7" w:rsidRDefault="00431828" w:rsidP="00984985">
            <w:pPr>
              <w:rPr>
                <w:rFonts w:cs="Arial"/>
                <w:sz w:val="16"/>
              </w:rPr>
            </w:pPr>
            <w:r w:rsidRPr="00B95DD7">
              <w:rPr>
                <w:rFonts w:cs="Arial"/>
                <w:color w:val="000000"/>
                <w:sz w:val="16"/>
                <w:szCs w:val="20"/>
              </w:rPr>
              <w:t>Business acquisitions by acquisition</w:t>
            </w:r>
          </w:p>
        </w:tc>
      </w:tr>
      <w:tr w:rsidR="00431828" w:rsidRPr="00B95DD7" w14:paraId="3971AACA" w14:textId="77777777" w:rsidTr="00984985">
        <w:trPr>
          <w:cantSplit/>
        </w:trPr>
        <w:tc>
          <w:tcPr>
            <w:tcW w:w="3150" w:type="dxa"/>
          </w:tcPr>
          <w:p w14:paraId="5761A468" w14:textId="77777777" w:rsidR="00431828" w:rsidRPr="00B95DD7" w:rsidRDefault="00431828" w:rsidP="00984985">
            <w:pPr>
              <w:rPr>
                <w:rFonts w:cs="Arial"/>
                <w:sz w:val="16"/>
              </w:rPr>
            </w:pPr>
            <w:r w:rsidRPr="00B95DD7">
              <w:rPr>
                <w:rFonts w:cs="Arial"/>
                <w:color w:val="000000"/>
                <w:sz w:val="16"/>
                <w:szCs w:val="20"/>
              </w:rPr>
              <w:t>Capital Leases Future Minimum Payments Due</w:t>
            </w:r>
          </w:p>
        </w:tc>
        <w:tc>
          <w:tcPr>
            <w:tcW w:w="6300" w:type="dxa"/>
          </w:tcPr>
          <w:p w14:paraId="57ECFB4D" w14:textId="77777777" w:rsidR="00431828" w:rsidRPr="00B95DD7" w:rsidRDefault="00431828" w:rsidP="00984985">
            <w:pPr>
              <w:rPr>
                <w:rFonts w:cs="Arial"/>
                <w:sz w:val="16"/>
              </w:rPr>
            </w:pPr>
            <w:r w:rsidRPr="00B95DD7">
              <w:rPr>
                <w:rFonts w:cs="Arial"/>
                <w:color w:val="000000"/>
                <w:sz w:val="16"/>
                <w:szCs w:val="20"/>
              </w:rPr>
              <w:t>Future Minimum Lease Payments for Capital Leases</w:t>
            </w:r>
          </w:p>
        </w:tc>
      </w:tr>
      <w:tr w:rsidR="00431828" w:rsidRPr="00B95DD7" w14:paraId="10EBDA8D" w14:textId="77777777" w:rsidTr="00984985">
        <w:trPr>
          <w:cantSplit/>
        </w:trPr>
        <w:tc>
          <w:tcPr>
            <w:tcW w:w="3150" w:type="dxa"/>
          </w:tcPr>
          <w:p w14:paraId="58B1DDD9" w14:textId="77777777" w:rsidR="00431828" w:rsidRPr="00B95DD7" w:rsidRDefault="00431828" w:rsidP="00984985">
            <w:pPr>
              <w:rPr>
                <w:rFonts w:cs="Arial"/>
                <w:sz w:val="16"/>
              </w:rPr>
            </w:pPr>
            <w:r w:rsidRPr="00B95DD7">
              <w:rPr>
                <w:rFonts w:cs="Arial"/>
                <w:color w:val="000000"/>
                <w:sz w:val="16"/>
                <w:szCs w:val="20"/>
              </w:rPr>
              <w:t>Cash Flow Statement, CONTRA EXAMPLE, Exchange Gain in Wrong Location</w:t>
            </w:r>
          </w:p>
        </w:tc>
        <w:tc>
          <w:tcPr>
            <w:tcW w:w="6300" w:type="dxa"/>
          </w:tcPr>
          <w:p w14:paraId="3A98BF33" w14:textId="77777777" w:rsidR="00431828" w:rsidRPr="00B95DD7" w:rsidRDefault="00431828" w:rsidP="00984985">
            <w:pPr>
              <w:rPr>
                <w:rFonts w:cs="Arial"/>
                <w:sz w:val="16"/>
              </w:rPr>
            </w:pPr>
            <w:r w:rsidRPr="00B95DD7">
              <w:rPr>
                <w:rFonts w:cs="Arial"/>
                <w:color w:val="000000"/>
                <w:sz w:val="16"/>
                <w:szCs w:val="20"/>
              </w:rPr>
              <w:t>Cash flow statement, exchange gain modeled INCORRECTLY.</w:t>
            </w:r>
          </w:p>
        </w:tc>
      </w:tr>
      <w:tr w:rsidR="00431828" w:rsidRPr="00B95DD7" w14:paraId="6F338FFB" w14:textId="77777777" w:rsidTr="00984985">
        <w:trPr>
          <w:cantSplit/>
        </w:trPr>
        <w:tc>
          <w:tcPr>
            <w:tcW w:w="3150" w:type="dxa"/>
          </w:tcPr>
          <w:p w14:paraId="432C1097" w14:textId="77777777" w:rsidR="00431828" w:rsidRPr="00B95DD7" w:rsidRDefault="00431828" w:rsidP="00984985">
            <w:pPr>
              <w:rPr>
                <w:rFonts w:cs="Arial"/>
                <w:sz w:val="16"/>
              </w:rPr>
            </w:pPr>
            <w:r w:rsidRPr="00B95DD7">
              <w:rPr>
                <w:rFonts w:cs="Arial"/>
                <w:color w:val="000000"/>
                <w:sz w:val="16"/>
                <w:szCs w:val="20"/>
              </w:rPr>
              <w:t>Cash Flow Statement, Indirect, Basic</w:t>
            </w:r>
          </w:p>
        </w:tc>
        <w:tc>
          <w:tcPr>
            <w:tcW w:w="6300" w:type="dxa"/>
          </w:tcPr>
          <w:p w14:paraId="0C8541A2" w14:textId="77777777" w:rsidR="00431828" w:rsidRPr="00B95DD7" w:rsidRDefault="00431828" w:rsidP="00984985">
            <w:pPr>
              <w:rPr>
                <w:rFonts w:cs="Arial"/>
                <w:sz w:val="16"/>
              </w:rPr>
            </w:pPr>
            <w:r w:rsidRPr="00B95DD7">
              <w:rPr>
                <w:rFonts w:cs="Arial"/>
                <w:color w:val="000000"/>
                <w:sz w:val="16"/>
                <w:szCs w:val="20"/>
              </w:rPr>
              <w:t>Basic cash flow statement using indirect method, no discontinued operations</w:t>
            </w:r>
          </w:p>
        </w:tc>
      </w:tr>
      <w:tr w:rsidR="00431828" w:rsidRPr="00B95DD7" w14:paraId="376E1C5F" w14:textId="77777777" w:rsidTr="00984985">
        <w:trPr>
          <w:cantSplit/>
        </w:trPr>
        <w:tc>
          <w:tcPr>
            <w:tcW w:w="3150" w:type="dxa"/>
          </w:tcPr>
          <w:p w14:paraId="28278FDD" w14:textId="77777777" w:rsidR="00431828" w:rsidRPr="00B95DD7" w:rsidRDefault="00431828" w:rsidP="00984985">
            <w:pPr>
              <w:rPr>
                <w:rFonts w:cs="Arial"/>
                <w:sz w:val="16"/>
              </w:rPr>
            </w:pPr>
            <w:r w:rsidRPr="00B95DD7">
              <w:rPr>
                <w:rFonts w:cs="Arial"/>
                <w:color w:val="000000"/>
                <w:sz w:val="16"/>
                <w:szCs w:val="20"/>
              </w:rPr>
              <w:t>Cash Flow Statement, Indirect, Basic, All Cash Flows from Continuing Operations</w:t>
            </w:r>
          </w:p>
        </w:tc>
        <w:tc>
          <w:tcPr>
            <w:tcW w:w="6300" w:type="dxa"/>
          </w:tcPr>
          <w:p w14:paraId="10C6D88C" w14:textId="77777777" w:rsidR="00431828" w:rsidRPr="00B95DD7" w:rsidRDefault="00431828" w:rsidP="00984985">
            <w:pPr>
              <w:rPr>
                <w:rFonts w:cs="Arial"/>
                <w:sz w:val="16"/>
              </w:rPr>
            </w:pPr>
            <w:r w:rsidRPr="00B95DD7">
              <w:rPr>
                <w:rFonts w:cs="Arial"/>
                <w:color w:val="000000"/>
                <w:sz w:val="16"/>
                <w:szCs w:val="20"/>
              </w:rPr>
              <w:t>Basic cash flow statement using indirect method, no discontinued operations; specifically uses concepts indicating that cash flows are from continuing operations</w:t>
            </w:r>
          </w:p>
        </w:tc>
      </w:tr>
      <w:tr w:rsidR="00431828" w:rsidRPr="00B95DD7" w14:paraId="6383804F" w14:textId="77777777" w:rsidTr="00984985">
        <w:trPr>
          <w:cantSplit/>
        </w:trPr>
        <w:tc>
          <w:tcPr>
            <w:tcW w:w="3150" w:type="dxa"/>
          </w:tcPr>
          <w:p w14:paraId="1643341E" w14:textId="77777777" w:rsidR="00431828" w:rsidRPr="00B95DD7" w:rsidRDefault="00431828" w:rsidP="00984985">
            <w:pPr>
              <w:rPr>
                <w:rFonts w:cs="Arial"/>
                <w:sz w:val="16"/>
              </w:rPr>
            </w:pPr>
            <w:r w:rsidRPr="00B95DD7">
              <w:rPr>
                <w:rFonts w:cs="Arial"/>
                <w:color w:val="000000"/>
                <w:sz w:val="16"/>
                <w:szCs w:val="20"/>
              </w:rPr>
              <w:t>Cash Flow Statement, With Discontinued Operations, Option 1</w:t>
            </w:r>
          </w:p>
        </w:tc>
        <w:tc>
          <w:tcPr>
            <w:tcW w:w="6300" w:type="dxa"/>
          </w:tcPr>
          <w:p w14:paraId="2B3320F1" w14:textId="77777777" w:rsidR="00431828" w:rsidRPr="00B95DD7" w:rsidRDefault="00431828" w:rsidP="00984985">
            <w:pPr>
              <w:rPr>
                <w:rFonts w:cs="Arial"/>
                <w:sz w:val="16"/>
              </w:rPr>
            </w:pPr>
            <w:r w:rsidRPr="00B95DD7">
              <w:rPr>
                <w:rFonts w:cs="Arial"/>
                <w:color w:val="000000"/>
                <w:sz w:val="16"/>
                <w:szCs w:val="20"/>
              </w:rPr>
              <w:t>Cash flow statement WITH discontinued operations, option 2.</w:t>
            </w:r>
          </w:p>
        </w:tc>
      </w:tr>
      <w:tr w:rsidR="00431828" w:rsidRPr="00B95DD7" w14:paraId="15A0D21B" w14:textId="77777777" w:rsidTr="00984985">
        <w:trPr>
          <w:cantSplit/>
        </w:trPr>
        <w:tc>
          <w:tcPr>
            <w:tcW w:w="3150" w:type="dxa"/>
          </w:tcPr>
          <w:p w14:paraId="46DE50D5" w14:textId="77777777" w:rsidR="00431828" w:rsidRPr="00B95DD7" w:rsidRDefault="00431828" w:rsidP="00984985">
            <w:pPr>
              <w:rPr>
                <w:rFonts w:cs="Arial"/>
                <w:sz w:val="16"/>
              </w:rPr>
            </w:pPr>
            <w:r w:rsidRPr="00B95DD7">
              <w:rPr>
                <w:rFonts w:cs="Arial"/>
                <w:color w:val="000000"/>
                <w:sz w:val="16"/>
                <w:szCs w:val="20"/>
              </w:rPr>
              <w:t>Cash Flow Statement, With Discontinued Operations, Option 2</w:t>
            </w:r>
          </w:p>
        </w:tc>
        <w:tc>
          <w:tcPr>
            <w:tcW w:w="6300" w:type="dxa"/>
          </w:tcPr>
          <w:p w14:paraId="59CFD810" w14:textId="77777777" w:rsidR="00431828" w:rsidRPr="00B95DD7" w:rsidRDefault="00431828" w:rsidP="00984985">
            <w:pPr>
              <w:rPr>
                <w:rFonts w:cs="Arial"/>
                <w:sz w:val="16"/>
              </w:rPr>
            </w:pPr>
            <w:r w:rsidRPr="00B95DD7">
              <w:rPr>
                <w:rFonts w:cs="Arial"/>
                <w:color w:val="000000"/>
                <w:sz w:val="16"/>
                <w:szCs w:val="20"/>
              </w:rPr>
              <w:t>Cash flow statement, questionable modeling. INCORRECT</w:t>
            </w:r>
          </w:p>
        </w:tc>
      </w:tr>
      <w:tr w:rsidR="00431828" w:rsidRPr="00B95DD7" w14:paraId="10AAE171" w14:textId="77777777" w:rsidTr="00984985">
        <w:trPr>
          <w:cantSplit/>
        </w:trPr>
        <w:tc>
          <w:tcPr>
            <w:tcW w:w="3150" w:type="dxa"/>
          </w:tcPr>
          <w:p w14:paraId="55A905B0" w14:textId="77777777" w:rsidR="00431828" w:rsidRPr="00B95DD7" w:rsidRDefault="00431828" w:rsidP="00984985">
            <w:pPr>
              <w:rPr>
                <w:rFonts w:cs="Arial"/>
                <w:sz w:val="16"/>
              </w:rPr>
            </w:pPr>
            <w:r w:rsidRPr="00B95DD7">
              <w:rPr>
                <w:rFonts w:cs="Arial"/>
                <w:color w:val="000000"/>
                <w:sz w:val="16"/>
                <w:szCs w:val="20"/>
              </w:rPr>
              <w:t>Cash, Cash Equivalents, and Short-term Investments Components</w:t>
            </w:r>
          </w:p>
        </w:tc>
        <w:tc>
          <w:tcPr>
            <w:tcW w:w="6300" w:type="dxa"/>
          </w:tcPr>
          <w:p w14:paraId="504C0D66" w14:textId="77777777" w:rsidR="00431828" w:rsidRPr="00B95DD7" w:rsidRDefault="00431828" w:rsidP="00984985">
            <w:pPr>
              <w:rPr>
                <w:rFonts w:cs="Arial"/>
                <w:sz w:val="16"/>
              </w:rPr>
            </w:pPr>
            <w:r w:rsidRPr="00B95DD7">
              <w:rPr>
                <w:rFonts w:cs="Arial"/>
                <w:color w:val="000000"/>
                <w:sz w:val="16"/>
                <w:szCs w:val="20"/>
              </w:rPr>
              <w:t>Components of cash, cash equivalents, and short-term investments</w:t>
            </w:r>
          </w:p>
        </w:tc>
      </w:tr>
      <w:tr w:rsidR="00431828" w:rsidRPr="00B95DD7" w14:paraId="131C9E15" w14:textId="77777777" w:rsidTr="00984985">
        <w:trPr>
          <w:cantSplit/>
        </w:trPr>
        <w:tc>
          <w:tcPr>
            <w:tcW w:w="3150" w:type="dxa"/>
          </w:tcPr>
          <w:p w14:paraId="0697684C" w14:textId="77777777" w:rsidR="00431828" w:rsidRPr="00B95DD7" w:rsidRDefault="00431828" w:rsidP="00984985">
            <w:pPr>
              <w:rPr>
                <w:rFonts w:cs="Arial"/>
                <w:sz w:val="16"/>
              </w:rPr>
            </w:pPr>
            <w:r w:rsidRPr="00B95DD7">
              <w:rPr>
                <w:rFonts w:cs="Arial"/>
                <w:color w:val="000000"/>
                <w:sz w:val="16"/>
                <w:szCs w:val="20"/>
              </w:rPr>
              <w:t>Change in Benefit Obligation</w:t>
            </w:r>
          </w:p>
        </w:tc>
        <w:tc>
          <w:tcPr>
            <w:tcW w:w="6300" w:type="dxa"/>
          </w:tcPr>
          <w:p w14:paraId="7988E095" w14:textId="77777777" w:rsidR="00431828" w:rsidRPr="00B95DD7" w:rsidRDefault="00431828" w:rsidP="00984985">
            <w:pPr>
              <w:rPr>
                <w:rFonts w:cs="Arial"/>
                <w:sz w:val="16"/>
              </w:rPr>
            </w:pPr>
            <w:r w:rsidRPr="00B95DD7">
              <w:rPr>
                <w:rFonts w:cs="Arial"/>
                <w:color w:val="000000"/>
                <w:sz w:val="16"/>
                <w:szCs w:val="20"/>
              </w:rPr>
              <w:t>Change (roll forward) in benefit obligation of defined benefit plans.</w:t>
            </w:r>
          </w:p>
        </w:tc>
      </w:tr>
      <w:tr w:rsidR="00431828" w:rsidRPr="00B95DD7" w14:paraId="49B1F0D2" w14:textId="77777777" w:rsidTr="00984985">
        <w:trPr>
          <w:cantSplit/>
        </w:trPr>
        <w:tc>
          <w:tcPr>
            <w:tcW w:w="3150" w:type="dxa"/>
          </w:tcPr>
          <w:p w14:paraId="4BE9391C" w14:textId="77777777" w:rsidR="00431828" w:rsidRPr="00B95DD7" w:rsidRDefault="00431828" w:rsidP="00984985">
            <w:pPr>
              <w:rPr>
                <w:rFonts w:cs="Arial"/>
                <w:sz w:val="16"/>
              </w:rPr>
            </w:pPr>
            <w:r w:rsidRPr="00B95DD7">
              <w:rPr>
                <w:rFonts w:cs="Arial"/>
                <w:color w:val="000000"/>
                <w:sz w:val="16"/>
                <w:szCs w:val="20"/>
              </w:rPr>
              <w:t>Change in Fair Value of Benefit Plan Assets</w:t>
            </w:r>
          </w:p>
        </w:tc>
        <w:tc>
          <w:tcPr>
            <w:tcW w:w="6300" w:type="dxa"/>
          </w:tcPr>
          <w:p w14:paraId="4D40CAD3" w14:textId="77777777" w:rsidR="00431828" w:rsidRPr="00B95DD7" w:rsidRDefault="00431828" w:rsidP="00984985">
            <w:pPr>
              <w:rPr>
                <w:rFonts w:cs="Arial"/>
                <w:sz w:val="16"/>
              </w:rPr>
            </w:pPr>
            <w:r w:rsidRPr="00B95DD7">
              <w:rPr>
                <w:rFonts w:cs="Arial"/>
                <w:color w:val="000000"/>
                <w:sz w:val="16"/>
                <w:szCs w:val="20"/>
              </w:rPr>
              <w:t>Change (roll forward) in benefit plan assets of defined benefit plans.</w:t>
            </w:r>
          </w:p>
        </w:tc>
      </w:tr>
      <w:tr w:rsidR="00431828" w:rsidRPr="00B95DD7" w14:paraId="0E084C7D" w14:textId="77777777" w:rsidTr="00984985">
        <w:trPr>
          <w:cantSplit/>
        </w:trPr>
        <w:tc>
          <w:tcPr>
            <w:tcW w:w="3150" w:type="dxa"/>
          </w:tcPr>
          <w:p w14:paraId="4A707EE8" w14:textId="77777777" w:rsidR="00431828" w:rsidRPr="00B95DD7" w:rsidRDefault="00431828" w:rsidP="00984985">
            <w:pPr>
              <w:rPr>
                <w:rFonts w:cs="Arial"/>
                <w:sz w:val="16"/>
              </w:rPr>
            </w:pPr>
            <w:r w:rsidRPr="00B95DD7">
              <w:rPr>
                <w:rFonts w:cs="Arial"/>
                <w:color w:val="000000"/>
                <w:sz w:val="16"/>
                <w:szCs w:val="20"/>
              </w:rPr>
              <w:t>Concentrations of Risk</w:t>
            </w:r>
          </w:p>
        </w:tc>
        <w:tc>
          <w:tcPr>
            <w:tcW w:w="6300" w:type="dxa"/>
          </w:tcPr>
          <w:p w14:paraId="58C16338" w14:textId="77777777" w:rsidR="00431828" w:rsidRPr="00B95DD7" w:rsidRDefault="00431828" w:rsidP="00984985">
            <w:pPr>
              <w:rPr>
                <w:rFonts w:cs="Arial"/>
                <w:sz w:val="16"/>
              </w:rPr>
            </w:pPr>
            <w:r w:rsidRPr="00B95DD7">
              <w:rPr>
                <w:rFonts w:cs="Arial"/>
                <w:color w:val="000000"/>
                <w:sz w:val="16"/>
                <w:szCs w:val="20"/>
              </w:rPr>
              <w:t>Basic example of current vulnerability due to certain concentrations.</w:t>
            </w:r>
          </w:p>
        </w:tc>
      </w:tr>
      <w:tr w:rsidR="00431828" w:rsidRPr="00B95DD7" w14:paraId="11556C95" w14:textId="77777777" w:rsidTr="00984985">
        <w:trPr>
          <w:cantSplit/>
        </w:trPr>
        <w:tc>
          <w:tcPr>
            <w:tcW w:w="3150" w:type="dxa"/>
          </w:tcPr>
          <w:p w14:paraId="6F6B1586" w14:textId="77777777" w:rsidR="00431828" w:rsidRPr="00B95DD7" w:rsidRDefault="00431828" w:rsidP="00984985">
            <w:pPr>
              <w:rPr>
                <w:rFonts w:cs="Arial"/>
                <w:sz w:val="16"/>
              </w:rPr>
            </w:pPr>
            <w:r w:rsidRPr="00B95DD7">
              <w:rPr>
                <w:rFonts w:cs="Arial"/>
                <w:color w:val="000000"/>
                <w:sz w:val="16"/>
                <w:szCs w:val="20"/>
              </w:rPr>
              <w:t>Contract Receivable Retainage, Fiscal Year Maturity</w:t>
            </w:r>
          </w:p>
        </w:tc>
        <w:tc>
          <w:tcPr>
            <w:tcW w:w="6300" w:type="dxa"/>
          </w:tcPr>
          <w:p w14:paraId="7A25A5C5" w14:textId="77777777" w:rsidR="00431828" w:rsidRPr="00B95DD7" w:rsidRDefault="00431828" w:rsidP="00984985">
            <w:pPr>
              <w:rPr>
                <w:rFonts w:cs="Arial"/>
                <w:sz w:val="16"/>
              </w:rPr>
            </w:pPr>
            <w:r w:rsidRPr="00B95DD7">
              <w:rPr>
                <w:rFonts w:cs="Arial"/>
                <w:color w:val="000000"/>
                <w:sz w:val="16"/>
                <w:szCs w:val="20"/>
              </w:rPr>
              <w:t>Fiscal year maturities of contract receivable retainage</w:t>
            </w:r>
          </w:p>
        </w:tc>
      </w:tr>
      <w:tr w:rsidR="00431828" w:rsidRPr="00B95DD7" w14:paraId="3FBD43C3" w14:textId="77777777" w:rsidTr="00984985">
        <w:trPr>
          <w:cantSplit/>
        </w:trPr>
        <w:tc>
          <w:tcPr>
            <w:tcW w:w="3150" w:type="dxa"/>
          </w:tcPr>
          <w:p w14:paraId="153346E8" w14:textId="77777777" w:rsidR="00431828" w:rsidRPr="00B95DD7" w:rsidRDefault="00431828" w:rsidP="00984985">
            <w:pPr>
              <w:rPr>
                <w:rFonts w:cs="Arial"/>
                <w:sz w:val="16"/>
              </w:rPr>
            </w:pPr>
            <w:r w:rsidRPr="00B95DD7">
              <w:rPr>
                <w:rFonts w:cs="Arial"/>
                <w:color w:val="000000"/>
                <w:sz w:val="16"/>
                <w:szCs w:val="20"/>
              </w:rPr>
              <w:t>Cost-method Investments</w:t>
            </w:r>
          </w:p>
        </w:tc>
        <w:tc>
          <w:tcPr>
            <w:tcW w:w="6300" w:type="dxa"/>
          </w:tcPr>
          <w:p w14:paraId="6B33DD4A" w14:textId="77777777" w:rsidR="00431828" w:rsidRPr="00B95DD7" w:rsidRDefault="00431828" w:rsidP="00984985">
            <w:pPr>
              <w:rPr>
                <w:rFonts w:cs="Arial"/>
                <w:sz w:val="16"/>
              </w:rPr>
            </w:pPr>
            <w:r w:rsidRPr="00B95DD7">
              <w:rPr>
                <w:rFonts w:cs="Arial"/>
                <w:color w:val="000000"/>
                <w:sz w:val="16"/>
                <w:szCs w:val="20"/>
              </w:rPr>
              <w:t>Cost-method Investments, Realized Gain (Loss), Excluding Other than Temporary Impairments</w:t>
            </w:r>
          </w:p>
        </w:tc>
      </w:tr>
      <w:tr w:rsidR="00431828" w:rsidRPr="00B95DD7" w14:paraId="51AB4946" w14:textId="77777777" w:rsidTr="00984985">
        <w:trPr>
          <w:cantSplit/>
        </w:trPr>
        <w:tc>
          <w:tcPr>
            <w:tcW w:w="3150" w:type="dxa"/>
          </w:tcPr>
          <w:p w14:paraId="5ADD6E9F" w14:textId="77777777" w:rsidR="00431828" w:rsidRPr="00B95DD7" w:rsidRDefault="00431828" w:rsidP="00984985">
            <w:pPr>
              <w:rPr>
                <w:rFonts w:cs="Arial"/>
                <w:sz w:val="16"/>
              </w:rPr>
            </w:pPr>
            <w:r w:rsidRPr="00B95DD7">
              <w:rPr>
                <w:rFonts w:cs="Arial"/>
                <w:color w:val="000000"/>
                <w:sz w:val="16"/>
                <w:szCs w:val="20"/>
              </w:rPr>
              <w:t>Debt Instruments</w:t>
            </w:r>
          </w:p>
        </w:tc>
        <w:tc>
          <w:tcPr>
            <w:tcW w:w="6300" w:type="dxa"/>
          </w:tcPr>
          <w:p w14:paraId="7BE9C158" w14:textId="77777777" w:rsidR="00431828" w:rsidRPr="00B95DD7" w:rsidRDefault="00431828" w:rsidP="00984985">
            <w:pPr>
              <w:rPr>
                <w:rFonts w:cs="Arial"/>
                <w:sz w:val="16"/>
              </w:rPr>
            </w:pPr>
            <w:r w:rsidRPr="00B95DD7">
              <w:rPr>
                <w:rFonts w:cs="Arial"/>
                <w:color w:val="000000"/>
                <w:sz w:val="16"/>
                <w:szCs w:val="20"/>
              </w:rPr>
              <w:t>Basic disclosure of individual long-term debt instruments</w:t>
            </w:r>
          </w:p>
        </w:tc>
      </w:tr>
      <w:tr w:rsidR="00431828" w:rsidRPr="00B95DD7" w14:paraId="30DA3CCF" w14:textId="77777777" w:rsidTr="00984985">
        <w:trPr>
          <w:cantSplit/>
        </w:trPr>
        <w:tc>
          <w:tcPr>
            <w:tcW w:w="3150" w:type="dxa"/>
          </w:tcPr>
          <w:p w14:paraId="3326E975" w14:textId="77777777" w:rsidR="00431828" w:rsidRPr="00B95DD7" w:rsidRDefault="00431828" w:rsidP="00984985">
            <w:pPr>
              <w:rPr>
                <w:rFonts w:cs="Arial"/>
                <w:sz w:val="16"/>
              </w:rPr>
            </w:pPr>
            <w:r w:rsidRPr="00B95DD7">
              <w:rPr>
                <w:rFonts w:cs="Arial"/>
                <w:color w:val="000000"/>
                <w:sz w:val="16"/>
                <w:szCs w:val="20"/>
              </w:rPr>
              <w:t>Deferred Revenue Arrangement, by Type</w:t>
            </w:r>
          </w:p>
        </w:tc>
        <w:tc>
          <w:tcPr>
            <w:tcW w:w="6300" w:type="dxa"/>
          </w:tcPr>
          <w:p w14:paraId="76D6FDF9" w14:textId="77777777" w:rsidR="00431828" w:rsidRPr="00B95DD7" w:rsidRDefault="00431828" w:rsidP="00984985">
            <w:pPr>
              <w:rPr>
                <w:rFonts w:cs="Arial"/>
                <w:sz w:val="16"/>
              </w:rPr>
            </w:pPr>
            <w:r w:rsidRPr="00B95DD7">
              <w:rPr>
                <w:rFonts w:cs="Arial"/>
                <w:color w:val="000000"/>
                <w:sz w:val="16"/>
                <w:szCs w:val="20"/>
              </w:rPr>
              <w:t>Detail of deferred revenue arrangements organized by type of arrangement.</w:t>
            </w:r>
          </w:p>
        </w:tc>
      </w:tr>
      <w:tr w:rsidR="00431828" w:rsidRPr="00B95DD7" w14:paraId="3292F64F" w14:textId="77777777" w:rsidTr="00984985">
        <w:trPr>
          <w:cantSplit/>
        </w:trPr>
        <w:tc>
          <w:tcPr>
            <w:tcW w:w="3150" w:type="dxa"/>
          </w:tcPr>
          <w:p w14:paraId="3F5B94B6" w14:textId="77777777" w:rsidR="00431828" w:rsidRPr="00B95DD7" w:rsidRDefault="00431828" w:rsidP="00984985">
            <w:pPr>
              <w:rPr>
                <w:rFonts w:cs="Arial"/>
                <w:sz w:val="16"/>
              </w:rPr>
            </w:pPr>
            <w:r w:rsidRPr="00B95DD7">
              <w:rPr>
                <w:rFonts w:cs="Arial"/>
                <w:color w:val="000000"/>
                <w:sz w:val="16"/>
                <w:szCs w:val="20"/>
              </w:rPr>
              <w:t>Discontinued Operations, by Disposal Group</w:t>
            </w:r>
          </w:p>
        </w:tc>
        <w:tc>
          <w:tcPr>
            <w:tcW w:w="6300" w:type="dxa"/>
          </w:tcPr>
          <w:p w14:paraId="3764D6D8" w14:textId="77777777" w:rsidR="00431828" w:rsidRPr="00B95DD7" w:rsidRDefault="00431828" w:rsidP="00984985">
            <w:pPr>
              <w:rPr>
                <w:rFonts w:cs="Arial"/>
                <w:sz w:val="16"/>
              </w:rPr>
            </w:pPr>
            <w:r w:rsidRPr="00B95DD7">
              <w:rPr>
                <w:rFonts w:cs="Arial"/>
                <w:color w:val="000000"/>
                <w:sz w:val="16"/>
                <w:szCs w:val="20"/>
              </w:rPr>
              <w:t>Discontinued operations by disposal group</w:t>
            </w:r>
          </w:p>
        </w:tc>
      </w:tr>
      <w:tr w:rsidR="00431828" w:rsidRPr="00B95DD7" w14:paraId="5A96C324" w14:textId="77777777" w:rsidTr="00984985">
        <w:trPr>
          <w:cantSplit/>
        </w:trPr>
        <w:tc>
          <w:tcPr>
            <w:tcW w:w="3150" w:type="dxa"/>
          </w:tcPr>
          <w:p w14:paraId="4B00065F" w14:textId="77777777" w:rsidR="00431828" w:rsidRPr="00B95DD7" w:rsidRDefault="00431828" w:rsidP="00984985">
            <w:pPr>
              <w:rPr>
                <w:rFonts w:cs="Arial"/>
                <w:sz w:val="16"/>
              </w:rPr>
            </w:pPr>
            <w:r w:rsidRPr="00B95DD7">
              <w:rPr>
                <w:rFonts w:cs="Arial"/>
                <w:color w:val="000000"/>
                <w:sz w:val="16"/>
                <w:szCs w:val="20"/>
              </w:rPr>
              <w:t>Document and Entity Information, Basic</w:t>
            </w:r>
          </w:p>
        </w:tc>
        <w:tc>
          <w:tcPr>
            <w:tcW w:w="6300" w:type="dxa"/>
          </w:tcPr>
          <w:p w14:paraId="5B0143E6" w14:textId="77777777" w:rsidR="00431828" w:rsidRPr="00B95DD7" w:rsidRDefault="00431828" w:rsidP="00984985">
            <w:pPr>
              <w:rPr>
                <w:rFonts w:cs="Arial"/>
                <w:sz w:val="16"/>
              </w:rPr>
            </w:pPr>
            <w:r w:rsidRPr="00B95DD7">
              <w:rPr>
                <w:rFonts w:cs="Arial"/>
                <w:color w:val="000000"/>
                <w:sz w:val="16"/>
                <w:szCs w:val="20"/>
              </w:rPr>
              <w:t>Basic document and entity information, all modeled together which leads to illogical characteristics provided for some reported facts</w:t>
            </w:r>
          </w:p>
        </w:tc>
      </w:tr>
      <w:tr w:rsidR="00431828" w:rsidRPr="00B95DD7" w14:paraId="6F5845F5" w14:textId="77777777" w:rsidTr="00984985">
        <w:trPr>
          <w:cantSplit/>
        </w:trPr>
        <w:tc>
          <w:tcPr>
            <w:tcW w:w="3150" w:type="dxa"/>
          </w:tcPr>
          <w:p w14:paraId="64C92E31" w14:textId="77777777" w:rsidR="00431828" w:rsidRPr="00B95DD7" w:rsidRDefault="00431828" w:rsidP="00984985">
            <w:pPr>
              <w:rPr>
                <w:rFonts w:cs="Arial"/>
                <w:sz w:val="16"/>
              </w:rPr>
            </w:pPr>
            <w:r w:rsidRPr="00B95DD7">
              <w:rPr>
                <w:rFonts w:cs="Arial"/>
                <w:color w:val="000000"/>
                <w:sz w:val="16"/>
                <w:szCs w:val="20"/>
              </w:rPr>
              <w:t>Document and Entity Information, Separate into Three Logical Pieces</w:t>
            </w:r>
          </w:p>
        </w:tc>
        <w:tc>
          <w:tcPr>
            <w:tcW w:w="6300" w:type="dxa"/>
          </w:tcPr>
          <w:p w14:paraId="14FE0025" w14:textId="77777777" w:rsidR="00431828" w:rsidRPr="00B95DD7" w:rsidRDefault="00431828" w:rsidP="00984985">
            <w:pPr>
              <w:rPr>
                <w:rFonts w:cs="Arial"/>
                <w:sz w:val="16"/>
              </w:rPr>
            </w:pPr>
            <w:r w:rsidRPr="00B95DD7">
              <w:rPr>
                <w:rFonts w:cs="Arial"/>
                <w:color w:val="000000"/>
                <w:sz w:val="16"/>
                <w:szCs w:val="20"/>
              </w:rPr>
              <w:t>Basic document and entity information, breaks out document information, entity information, and common stock related information into individual components</w:t>
            </w:r>
          </w:p>
        </w:tc>
      </w:tr>
      <w:tr w:rsidR="00431828" w:rsidRPr="00B95DD7" w14:paraId="09C48141" w14:textId="77777777" w:rsidTr="00984985">
        <w:trPr>
          <w:cantSplit/>
        </w:trPr>
        <w:tc>
          <w:tcPr>
            <w:tcW w:w="3150" w:type="dxa"/>
          </w:tcPr>
          <w:p w14:paraId="2880C2E3" w14:textId="77777777" w:rsidR="00431828" w:rsidRPr="00B95DD7" w:rsidRDefault="00431828" w:rsidP="00984985">
            <w:pPr>
              <w:rPr>
                <w:rFonts w:cs="Arial"/>
                <w:sz w:val="16"/>
              </w:rPr>
            </w:pPr>
            <w:r w:rsidRPr="00B95DD7">
              <w:rPr>
                <w:rFonts w:cs="Arial"/>
                <w:color w:val="000000"/>
                <w:sz w:val="16"/>
                <w:szCs w:val="20"/>
              </w:rPr>
              <w:t>Document and Entity Information, Separate into Two Pieces</w:t>
            </w:r>
          </w:p>
        </w:tc>
        <w:tc>
          <w:tcPr>
            <w:tcW w:w="6300" w:type="dxa"/>
          </w:tcPr>
          <w:p w14:paraId="6EC1541B" w14:textId="77777777" w:rsidR="00431828" w:rsidRPr="00B95DD7" w:rsidRDefault="00431828" w:rsidP="00984985">
            <w:pPr>
              <w:rPr>
                <w:rFonts w:cs="Arial"/>
                <w:sz w:val="16"/>
              </w:rPr>
            </w:pPr>
            <w:r w:rsidRPr="00B95DD7">
              <w:rPr>
                <w:rFonts w:cs="Arial"/>
                <w:color w:val="000000"/>
                <w:sz w:val="16"/>
                <w:szCs w:val="20"/>
              </w:rPr>
              <w:t>Basic document and entity information, breaks out document information and entity information; still leads to illogical characteristics provided for some reported facts</w:t>
            </w:r>
          </w:p>
        </w:tc>
      </w:tr>
      <w:tr w:rsidR="00431828" w:rsidRPr="00B95DD7" w14:paraId="40D27F7F" w14:textId="77777777" w:rsidTr="00984985">
        <w:trPr>
          <w:cantSplit/>
        </w:trPr>
        <w:tc>
          <w:tcPr>
            <w:tcW w:w="3150" w:type="dxa"/>
          </w:tcPr>
          <w:p w14:paraId="529F4E63" w14:textId="77777777" w:rsidR="00431828" w:rsidRPr="00B95DD7" w:rsidRDefault="00431828" w:rsidP="00984985">
            <w:pPr>
              <w:rPr>
                <w:rFonts w:cs="Arial"/>
                <w:sz w:val="16"/>
              </w:rPr>
            </w:pPr>
            <w:r w:rsidRPr="00B95DD7">
              <w:rPr>
                <w:rFonts w:cs="Arial"/>
                <w:color w:val="000000"/>
                <w:sz w:val="16"/>
                <w:szCs w:val="20"/>
              </w:rPr>
              <w:t>Document and Entity Information, Separate Tables in Separate Networks</w:t>
            </w:r>
          </w:p>
        </w:tc>
        <w:tc>
          <w:tcPr>
            <w:tcW w:w="6300" w:type="dxa"/>
          </w:tcPr>
          <w:p w14:paraId="448F1983" w14:textId="77777777" w:rsidR="00431828" w:rsidRPr="00B95DD7" w:rsidRDefault="00431828" w:rsidP="00984985">
            <w:pPr>
              <w:rPr>
                <w:rFonts w:cs="Arial"/>
                <w:sz w:val="16"/>
              </w:rPr>
            </w:pPr>
            <w:r w:rsidRPr="00B95DD7">
              <w:rPr>
                <w:rFonts w:cs="Arial"/>
                <w:color w:val="000000"/>
                <w:sz w:val="16"/>
                <w:szCs w:val="20"/>
              </w:rPr>
              <w:t>Basic document and entity information, breaks out document information and entity information (including stock information) into separate tables and separate networks.</w:t>
            </w:r>
          </w:p>
        </w:tc>
      </w:tr>
      <w:tr w:rsidR="00431828" w:rsidRPr="00B95DD7" w14:paraId="646B2FEC" w14:textId="77777777" w:rsidTr="00984985">
        <w:trPr>
          <w:cantSplit/>
        </w:trPr>
        <w:tc>
          <w:tcPr>
            <w:tcW w:w="3150" w:type="dxa"/>
          </w:tcPr>
          <w:p w14:paraId="6671FADC" w14:textId="77777777" w:rsidR="00431828" w:rsidRPr="00B95DD7" w:rsidRDefault="00431828" w:rsidP="00984985">
            <w:pPr>
              <w:rPr>
                <w:rFonts w:cs="Arial"/>
                <w:sz w:val="16"/>
              </w:rPr>
            </w:pPr>
            <w:r w:rsidRPr="00B95DD7">
              <w:rPr>
                <w:rFonts w:cs="Arial"/>
                <w:color w:val="000000"/>
                <w:sz w:val="16"/>
                <w:szCs w:val="20"/>
              </w:rPr>
              <w:t>Document information</w:t>
            </w:r>
          </w:p>
        </w:tc>
        <w:tc>
          <w:tcPr>
            <w:tcW w:w="6300" w:type="dxa"/>
          </w:tcPr>
          <w:p w14:paraId="3DB1ADF4" w14:textId="77777777" w:rsidR="00431828" w:rsidRPr="00B95DD7" w:rsidRDefault="00431828" w:rsidP="00984985">
            <w:pPr>
              <w:rPr>
                <w:rFonts w:cs="Arial"/>
                <w:sz w:val="16"/>
              </w:rPr>
            </w:pPr>
            <w:r w:rsidRPr="00B95DD7">
              <w:rPr>
                <w:rFonts w:cs="Arial"/>
                <w:color w:val="000000"/>
                <w:sz w:val="16"/>
                <w:szCs w:val="20"/>
              </w:rPr>
              <w:t>Information about the report itself, the document submitted</w:t>
            </w:r>
          </w:p>
        </w:tc>
      </w:tr>
      <w:tr w:rsidR="00431828" w:rsidRPr="00B95DD7" w14:paraId="1E90E015" w14:textId="77777777" w:rsidTr="00984985">
        <w:trPr>
          <w:cantSplit/>
        </w:trPr>
        <w:tc>
          <w:tcPr>
            <w:tcW w:w="3150" w:type="dxa"/>
          </w:tcPr>
          <w:p w14:paraId="7F1A591B" w14:textId="77777777" w:rsidR="00431828" w:rsidRPr="00B95DD7" w:rsidRDefault="00431828" w:rsidP="00984985">
            <w:pPr>
              <w:rPr>
                <w:rFonts w:cs="Arial"/>
                <w:sz w:val="16"/>
              </w:rPr>
            </w:pPr>
            <w:r w:rsidRPr="00B95DD7">
              <w:rPr>
                <w:rFonts w:cs="Arial"/>
                <w:color w:val="000000"/>
                <w:sz w:val="16"/>
                <w:szCs w:val="20"/>
              </w:rPr>
              <w:t>Effective Income Tax Rate Reconciliation</w:t>
            </w:r>
          </w:p>
        </w:tc>
        <w:tc>
          <w:tcPr>
            <w:tcW w:w="6300" w:type="dxa"/>
          </w:tcPr>
          <w:p w14:paraId="30D961FC" w14:textId="77777777" w:rsidR="00431828" w:rsidRPr="00B95DD7" w:rsidRDefault="00431828" w:rsidP="00984985">
            <w:pPr>
              <w:rPr>
                <w:rFonts w:cs="Arial"/>
                <w:sz w:val="16"/>
              </w:rPr>
            </w:pPr>
            <w:r w:rsidRPr="00B95DD7">
              <w:rPr>
                <w:rFonts w:cs="Arial"/>
                <w:color w:val="000000"/>
                <w:sz w:val="16"/>
                <w:szCs w:val="20"/>
              </w:rPr>
              <w:t>Reconciliation between income tax rate between statutory rate and effective rate</w:t>
            </w:r>
          </w:p>
        </w:tc>
      </w:tr>
      <w:tr w:rsidR="00431828" w:rsidRPr="00B95DD7" w14:paraId="37DFA6F2" w14:textId="77777777" w:rsidTr="00984985">
        <w:trPr>
          <w:cantSplit/>
        </w:trPr>
        <w:tc>
          <w:tcPr>
            <w:tcW w:w="3150" w:type="dxa"/>
          </w:tcPr>
          <w:p w14:paraId="36F14FCF" w14:textId="77777777" w:rsidR="00431828" w:rsidRPr="00B95DD7" w:rsidRDefault="00431828" w:rsidP="00984985">
            <w:pPr>
              <w:rPr>
                <w:rFonts w:cs="Arial"/>
                <w:sz w:val="16"/>
              </w:rPr>
            </w:pPr>
            <w:r w:rsidRPr="00B95DD7">
              <w:rPr>
                <w:rFonts w:cs="Arial"/>
                <w:color w:val="000000"/>
                <w:sz w:val="16"/>
                <w:szCs w:val="20"/>
              </w:rPr>
              <w:lastRenderedPageBreak/>
              <w:t>Entity Information</w:t>
            </w:r>
          </w:p>
        </w:tc>
        <w:tc>
          <w:tcPr>
            <w:tcW w:w="6300" w:type="dxa"/>
          </w:tcPr>
          <w:p w14:paraId="628F8B4B" w14:textId="77777777" w:rsidR="00431828" w:rsidRPr="00B95DD7" w:rsidRDefault="00431828" w:rsidP="00984985">
            <w:pPr>
              <w:rPr>
                <w:rFonts w:cs="Arial"/>
                <w:sz w:val="16"/>
              </w:rPr>
            </w:pPr>
            <w:r w:rsidRPr="00B95DD7">
              <w:rPr>
                <w:rFonts w:cs="Arial"/>
                <w:color w:val="000000"/>
                <w:sz w:val="16"/>
                <w:szCs w:val="20"/>
              </w:rPr>
              <w:t>Information which describes the entity which filed the report.</w:t>
            </w:r>
          </w:p>
        </w:tc>
      </w:tr>
      <w:tr w:rsidR="00431828" w:rsidRPr="00B95DD7" w14:paraId="3D00D7A7" w14:textId="77777777" w:rsidTr="00984985">
        <w:trPr>
          <w:cantSplit/>
        </w:trPr>
        <w:tc>
          <w:tcPr>
            <w:tcW w:w="3150" w:type="dxa"/>
          </w:tcPr>
          <w:p w14:paraId="1A145E91" w14:textId="77777777" w:rsidR="00431828" w:rsidRPr="00B95DD7" w:rsidRDefault="00431828" w:rsidP="00984985">
            <w:pPr>
              <w:rPr>
                <w:rFonts w:cs="Arial"/>
                <w:sz w:val="16"/>
              </w:rPr>
            </w:pPr>
            <w:r w:rsidRPr="00B95DD7">
              <w:rPr>
                <w:rFonts w:cs="Arial"/>
                <w:color w:val="000000"/>
                <w:sz w:val="16"/>
                <w:szCs w:val="20"/>
              </w:rPr>
              <w:t>Entity Listings</w:t>
            </w:r>
          </w:p>
        </w:tc>
        <w:tc>
          <w:tcPr>
            <w:tcW w:w="6300" w:type="dxa"/>
          </w:tcPr>
          <w:p w14:paraId="1A7CB38D" w14:textId="77777777" w:rsidR="00431828" w:rsidRPr="00B95DD7" w:rsidRDefault="00431828" w:rsidP="00984985">
            <w:pPr>
              <w:rPr>
                <w:rFonts w:cs="Arial"/>
                <w:sz w:val="16"/>
              </w:rPr>
            </w:pPr>
            <w:r w:rsidRPr="00B95DD7">
              <w:rPr>
                <w:rFonts w:cs="Arial"/>
                <w:color w:val="000000"/>
                <w:sz w:val="16"/>
                <w:szCs w:val="20"/>
              </w:rPr>
              <w:t>Information about an entity's listings</w:t>
            </w:r>
          </w:p>
        </w:tc>
      </w:tr>
      <w:tr w:rsidR="00431828" w:rsidRPr="00B95DD7" w14:paraId="79457325" w14:textId="77777777" w:rsidTr="00984985">
        <w:trPr>
          <w:cantSplit/>
        </w:trPr>
        <w:tc>
          <w:tcPr>
            <w:tcW w:w="3150" w:type="dxa"/>
          </w:tcPr>
          <w:p w14:paraId="645DFAAE" w14:textId="77777777" w:rsidR="00431828" w:rsidRPr="00B95DD7" w:rsidRDefault="00431828" w:rsidP="00984985">
            <w:pPr>
              <w:rPr>
                <w:rFonts w:cs="Arial"/>
                <w:sz w:val="16"/>
              </w:rPr>
            </w:pPr>
            <w:r w:rsidRPr="00B95DD7">
              <w:rPr>
                <w:rFonts w:cs="Arial"/>
                <w:color w:val="000000"/>
                <w:sz w:val="16"/>
                <w:szCs w:val="20"/>
              </w:rPr>
              <w:t>Equity Method Investments</w:t>
            </w:r>
          </w:p>
        </w:tc>
        <w:tc>
          <w:tcPr>
            <w:tcW w:w="6300" w:type="dxa"/>
          </w:tcPr>
          <w:p w14:paraId="0466DD53" w14:textId="77777777" w:rsidR="00431828" w:rsidRPr="00B95DD7" w:rsidRDefault="00431828" w:rsidP="00984985">
            <w:pPr>
              <w:rPr>
                <w:rFonts w:cs="Arial"/>
                <w:sz w:val="16"/>
              </w:rPr>
            </w:pPr>
            <w:r w:rsidRPr="00B95DD7">
              <w:rPr>
                <w:rFonts w:cs="Arial"/>
                <w:color w:val="000000"/>
                <w:sz w:val="16"/>
                <w:szCs w:val="20"/>
              </w:rPr>
              <w:t>Details of each equity method investment which includes the investment name and the percentage ownership of common stock of each investment.</w:t>
            </w:r>
          </w:p>
        </w:tc>
      </w:tr>
      <w:tr w:rsidR="00431828" w:rsidRPr="00B95DD7" w14:paraId="250B4455" w14:textId="77777777" w:rsidTr="00984985">
        <w:trPr>
          <w:cantSplit/>
        </w:trPr>
        <w:tc>
          <w:tcPr>
            <w:tcW w:w="3150" w:type="dxa"/>
          </w:tcPr>
          <w:p w14:paraId="785F42E8" w14:textId="77777777" w:rsidR="00431828" w:rsidRPr="00B95DD7" w:rsidRDefault="00431828" w:rsidP="00984985">
            <w:pPr>
              <w:rPr>
                <w:rFonts w:cs="Arial"/>
                <w:sz w:val="16"/>
              </w:rPr>
            </w:pPr>
            <w:r w:rsidRPr="00B95DD7">
              <w:rPr>
                <w:rFonts w:cs="Arial"/>
                <w:color w:val="000000"/>
                <w:sz w:val="16"/>
                <w:szCs w:val="20"/>
              </w:rPr>
              <w:t>Extraordinary Items, Basic</w:t>
            </w:r>
          </w:p>
        </w:tc>
        <w:tc>
          <w:tcPr>
            <w:tcW w:w="6300" w:type="dxa"/>
          </w:tcPr>
          <w:p w14:paraId="7996B0D8" w14:textId="77777777" w:rsidR="00431828" w:rsidRPr="00B95DD7" w:rsidRDefault="00431828" w:rsidP="00984985">
            <w:pPr>
              <w:rPr>
                <w:rFonts w:cs="Arial"/>
                <w:sz w:val="16"/>
              </w:rPr>
            </w:pPr>
            <w:r w:rsidRPr="00B95DD7">
              <w:rPr>
                <w:rFonts w:cs="Arial"/>
                <w:color w:val="000000"/>
                <w:sz w:val="16"/>
                <w:szCs w:val="20"/>
              </w:rPr>
              <w:t>Basic example of an extraordinary item.</w:t>
            </w:r>
          </w:p>
        </w:tc>
      </w:tr>
      <w:tr w:rsidR="00431828" w:rsidRPr="00B95DD7" w14:paraId="73C352DE" w14:textId="77777777" w:rsidTr="00984985">
        <w:trPr>
          <w:cantSplit/>
        </w:trPr>
        <w:tc>
          <w:tcPr>
            <w:tcW w:w="3150" w:type="dxa"/>
          </w:tcPr>
          <w:p w14:paraId="3C494014" w14:textId="77777777" w:rsidR="00431828" w:rsidRPr="00B95DD7" w:rsidRDefault="00431828" w:rsidP="00984985">
            <w:pPr>
              <w:rPr>
                <w:rFonts w:cs="Arial"/>
                <w:sz w:val="16"/>
              </w:rPr>
            </w:pPr>
            <w:r w:rsidRPr="00B95DD7">
              <w:rPr>
                <w:rFonts w:cs="Arial"/>
                <w:color w:val="000000"/>
                <w:sz w:val="16"/>
                <w:szCs w:val="20"/>
              </w:rPr>
              <w:t>Fair Value of Assets and Liabilities Measured on Recurring and Nonrecurring Basis</w:t>
            </w:r>
          </w:p>
        </w:tc>
        <w:tc>
          <w:tcPr>
            <w:tcW w:w="6300" w:type="dxa"/>
          </w:tcPr>
          <w:p w14:paraId="612C18E1" w14:textId="77777777" w:rsidR="00431828" w:rsidRPr="00B95DD7" w:rsidRDefault="00431828" w:rsidP="00984985">
            <w:pPr>
              <w:rPr>
                <w:rFonts w:cs="Arial"/>
                <w:sz w:val="16"/>
              </w:rPr>
            </w:pPr>
            <w:r w:rsidRPr="00B95DD7">
              <w:rPr>
                <w:rFonts w:cs="Arial"/>
                <w:color w:val="000000"/>
                <w:sz w:val="16"/>
                <w:szCs w:val="20"/>
              </w:rPr>
              <w:t>Fair value measurements on recurring or nonrecurring basis</w:t>
            </w:r>
          </w:p>
        </w:tc>
      </w:tr>
      <w:tr w:rsidR="00431828" w:rsidRPr="00B95DD7" w14:paraId="5871E460" w14:textId="77777777" w:rsidTr="00984985">
        <w:trPr>
          <w:cantSplit/>
        </w:trPr>
        <w:tc>
          <w:tcPr>
            <w:tcW w:w="3150" w:type="dxa"/>
          </w:tcPr>
          <w:p w14:paraId="274EF467" w14:textId="77777777" w:rsidR="00431828" w:rsidRPr="00B95DD7" w:rsidRDefault="00431828" w:rsidP="00984985">
            <w:pPr>
              <w:rPr>
                <w:rFonts w:cs="Arial"/>
                <w:sz w:val="16"/>
              </w:rPr>
            </w:pPr>
            <w:r w:rsidRPr="00B95DD7">
              <w:rPr>
                <w:rFonts w:cs="Arial"/>
                <w:color w:val="000000"/>
                <w:sz w:val="16"/>
                <w:szCs w:val="20"/>
              </w:rPr>
              <w:t>Fair Value, Assets Measured on Recurring Basis, Unobservable Input Reconciliation</w:t>
            </w:r>
          </w:p>
        </w:tc>
        <w:tc>
          <w:tcPr>
            <w:tcW w:w="6300" w:type="dxa"/>
          </w:tcPr>
          <w:p w14:paraId="1B02E0AC" w14:textId="77777777" w:rsidR="00431828" w:rsidRPr="00B95DD7" w:rsidRDefault="00431828" w:rsidP="00984985">
            <w:pPr>
              <w:rPr>
                <w:rFonts w:cs="Arial"/>
                <w:sz w:val="16"/>
              </w:rPr>
            </w:pPr>
            <w:r w:rsidRPr="00B95DD7">
              <w:rPr>
                <w:rFonts w:cs="Arial"/>
                <w:color w:val="000000"/>
                <w:sz w:val="16"/>
                <w:szCs w:val="20"/>
              </w:rPr>
              <w:t>Fair Value of Assets Measured on Recurring Basis, Unobservable Input Reconciliation</w:t>
            </w:r>
          </w:p>
        </w:tc>
      </w:tr>
      <w:tr w:rsidR="00431828" w:rsidRPr="00B95DD7" w14:paraId="7AE03996" w14:textId="77777777" w:rsidTr="00984985">
        <w:trPr>
          <w:cantSplit/>
        </w:trPr>
        <w:tc>
          <w:tcPr>
            <w:tcW w:w="3150" w:type="dxa"/>
          </w:tcPr>
          <w:p w14:paraId="24531211" w14:textId="77777777" w:rsidR="00431828" w:rsidRPr="00B95DD7" w:rsidRDefault="00431828" w:rsidP="00984985">
            <w:pPr>
              <w:rPr>
                <w:rFonts w:cs="Arial"/>
                <w:sz w:val="16"/>
              </w:rPr>
            </w:pPr>
            <w:r w:rsidRPr="00B95DD7">
              <w:rPr>
                <w:rFonts w:cs="Arial"/>
                <w:color w:val="000000"/>
                <w:sz w:val="16"/>
                <w:szCs w:val="20"/>
              </w:rPr>
              <w:t>Finite-Lived Intangible Assets Acquired as Part of Business Combination</w:t>
            </w:r>
          </w:p>
        </w:tc>
        <w:tc>
          <w:tcPr>
            <w:tcW w:w="6300" w:type="dxa"/>
          </w:tcPr>
          <w:p w14:paraId="21E8CBD4" w14:textId="77777777" w:rsidR="00431828" w:rsidRPr="00B95DD7" w:rsidRDefault="00431828" w:rsidP="00984985">
            <w:pPr>
              <w:rPr>
                <w:rFonts w:cs="Arial"/>
                <w:sz w:val="16"/>
              </w:rPr>
            </w:pPr>
            <w:r w:rsidRPr="00B95DD7">
              <w:rPr>
                <w:rFonts w:cs="Arial"/>
                <w:color w:val="000000"/>
                <w:sz w:val="16"/>
                <w:szCs w:val="20"/>
              </w:rPr>
              <w:t>Finite-lived intangible assets acquired as part of business combination</w:t>
            </w:r>
          </w:p>
        </w:tc>
      </w:tr>
      <w:tr w:rsidR="00431828" w:rsidRPr="00B95DD7" w14:paraId="6921467A" w14:textId="77777777" w:rsidTr="00984985">
        <w:trPr>
          <w:cantSplit/>
        </w:trPr>
        <w:tc>
          <w:tcPr>
            <w:tcW w:w="3150" w:type="dxa"/>
          </w:tcPr>
          <w:p w14:paraId="070E2AD4" w14:textId="77777777" w:rsidR="00431828" w:rsidRPr="00B95DD7" w:rsidRDefault="00431828" w:rsidP="00984985">
            <w:pPr>
              <w:rPr>
                <w:rFonts w:cs="Arial"/>
                <w:sz w:val="16"/>
              </w:rPr>
            </w:pPr>
            <w:r w:rsidRPr="00B95DD7">
              <w:rPr>
                <w:rFonts w:cs="Arial"/>
                <w:color w:val="000000"/>
                <w:sz w:val="16"/>
                <w:szCs w:val="20"/>
              </w:rPr>
              <w:t>Finite-Lived Intangible Assets, Future Amortization Expense</w:t>
            </w:r>
          </w:p>
        </w:tc>
        <w:tc>
          <w:tcPr>
            <w:tcW w:w="6300" w:type="dxa"/>
          </w:tcPr>
          <w:p w14:paraId="458DB9E4" w14:textId="77777777" w:rsidR="00431828" w:rsidRPr="00B95DD7" w:rsidRDefault="00431828" w:rsidP="00984985">
            <w:pPr>
              <w:rPr>
                <w:rFonts w:cs="Arial"/>
                <w:sz w:val="16"/>
              </w:rPr>
            </w:pPr>
            <w:r w:rsidRPr="00B95DD7">
              <w:rPr>
                <w:rFonts w:cs="Arial"/>
                <w:color w:val="000000"/>
                <w:sz w:val="16"/>
                <w:szCs w:val="20"/>
              </w:rPr>
              <w:t>Future amortization expense for finite-lived intangible assets</w:t>
            </w:r>
          </w:p>
        </w:tc>
      </w:tr>
      <w:tr w:rsidR="00431828" w:rsidRPr="00B95DD7" w14:paraId="18CB869E" w14:textId="77777777" w:rsidTr="00984985">
        <w:trPr>
          <w:cantSplit/>
        </w:trPr>
        <w:tc>
          <w:tcPr>
            <w:tcW w:w="3150" w:type="dxa"/>
          </w:tcPr>
          <w:p w14:paraId="3C99B0AE" w14:textId="77777777" w:rsidR="00431828" w:rsidRPr="00B95DD7" w:rsidRDefault="00431828" w:rsidP="00984985">
            <w:pPr>
              <w:rPr>
                <w:rFonts w:cs="Arial"/>
                <w:sz w:val="16"/>
              </w:rPr>
            </w:pPr>
            <w:r w:rsidRPr="00B95DD7">
              <w:rPr>
                <w:rFonts w:cs="Arial"/>
                <w:color w:val="000000"/>
                <w:sz w:val="16"/>
                <w:szCs w:val="20"/>
              </w:rPr>
              <w:t>Funding Status of Defined Benefit Plans</w:t>
            </w:r>
          </w:p>
        </w:tc>
        <w:tc>
          <w:tcPr>
            <w:tcW w:w="6300" w:type="dxa"/>
          </w:tcPr>
          <w:p w14:paraId="6F1BCE70" w14:textId="77777777" w:rsidR="00431828" w:rsidRPr="00B95DD7" w:rsidRDefault="00431828" w:rsidP="00984985">
            <w:pPr>
              <w:rPr>
                <w:rFonts w:cs="Arial"/>
                <w:sz w:val="16"/>
              </w:rPr>
            </w:pPr>
            <w:r w:rsidRPr="00B95DD7">
              <w:rPr>
                <w:rFonts w:cs="Arial"/>
                <w:color w:val="000000"/>
                <w:sz w:val="16"/>
                <w:szCs w:val="20"/>
              </w:rPr>
              <w:t>Combination of change in benefit obligation and change in defined benefit plan assets.</w:t>
            </w:r>
          </w:p>
        </w:tc>
      </w:tr>
      <w:tr w:rsidR="00431828" w:rsidRPr="00B95DD7" w14:paraId="4DE65E3F" w14:textId="77777777" w:rsidTr="00984985">
        <w:trPr>
          <w:cantSplit/>
        </w:trPr>
        <w:tc>
          <w:tcPr>
            <w:tcW w:w="3150" w:type="dxa"/>
          </w:tcPr>
          <w:p w14:paraId="52F80C7A" w14:textId="77777777" w:rsidR="00431828" w:rsidRPr="00B95DD7" w:rsidRDefault="00431828" w:rsidP="00984985">
            <w:pPr>
              <w:rPr>
                <w:rFonts w:cs="Arial"/>
                <w:sz w:val="16"/>
              </w:rPr>
            </w:pPr>
            <w:r w:rsidRPr="00B95DD7">
              <w:rPr>
                <w:rFonts w:cs="Arial"/>
                <w:color w:val="000000"/>
                <w:sz w:val="16"/>
                <w:szCs w:val="20"/>
              </w:rPr>
              <w:t>Geographic Area Information</w:t>
            </w:r>
          </w:p>
        </w:tc>
        <w:tc>
          <w:tcPr>
            <w:tcW w:w="6300" w:type="dxa"/>
          </w:tcPr>
          <w:p w14:paraId="11037D30" w14:textId="77777777" w:rsidR="00431828" w:rsidRPr="00B95DD7" w:rsidRDefault="00431828" w:rsidP="00984985">
            <w:pPr>
              <w:rPr>
                <w:rFonts w:cs="Arial"/>
                <w:sz w:val="16"/>
              </w:rPr>
            </w:pPr>
            <w:r w:rsidRPr="00B95DD7">
              <w:rPr>
                <w:rFonts w:cs="Arial"/>
                <w:color w:val="000000"/>
                <w:sz w:val="16"/>
                <w:szCs w:val="20"/>
              </w:rPr>
              <w:t>Basic disclosure of the details of revenue from external customers and long-lived assets, by geographical area</w:t>
            </w:r>
          </w:p>
        </w:tc>
      </w:tr>
      <w:tr w:rsidR="00431828" w:rsidRPr="00B95DD7" w14:paraId="4765DD60" w14:textId="77777777" w:rsidTr="00984985">
        <w:trPr>
          <w:cantSplit/>
        </w:trPr>
        <w:tc>
          <w:tcPr>
            <w:tcW w:w="3150" w:type="dxa"/>
          </w:tcPr>
          <w:p w14:paraId="19BA7F7D" w14:textId="77777777" w:rsidR="00431828" w:rsidRPr="00B95DD7" w:rsidRDefault="00431828" w:rsidP="00984985">
            <w:pPr>
              <w:rPr>
                <w:rFonts w:cs="Arial"/>
                <w:sz w:val="16"/>
              </w:rPr>
            </w:pPr>
            <w:r w:rsidRPr="00B95DD7">
              <w:rPr>
                <w:rFonts w:cs="Arial"/>
                <w:color w:val="000000"/>
                <w:sz w:val="16"/>
                <w:szCs w:val="20"/>
              </w:rPr>
              <w:t>Geographic Area Information, Nested Hierarchy</w:t>
            </w:r>
          </w:p>
        </w:tc>
        <w:tc>
          <w:tcPr>
            <w:tcW w:w="6300" w:type="dxa"/>
          </w:tcPr>
          <w:p w14:paraId="22B9A7C4" w14:textId="77777777" w:rsidR="00431828" w:rsidRPr="00B95DD7" w:rsidRDefault="00431828" w:rsidP="00984985">
            <w:pPr>
              <w:rPr>
                <w:rFonts w:cs="Arial"/>
                <w:sz w:val="16"/>
              </w:rPr>
            </w:pPr>
            <w:r w:rsidRPr="00B95DD7">
              <w:rPr>
                <w:rFonts w:cs="Arial"/>
                <w:color w:val="000000"/>
                <w:sz w:val="16"/>
                <w:szCs w:val="20"/>
              </w:rPr>
              <w:t>Basic disclosure of the details of revenue from external customers and long-lived assets, by geographical area; but with regions this a nested hierarchy</w:t>
            </w:r>
          </w:p>
        </w:tc>
      </w:tr>
      <w:tr w:rsidR="00431828" w:rsidRPr="00B95DD7" w14:paraId="28DC65C5" w14:textId="77777777" w:rsidTr="00984985">
        <w:trPr>
          <w:cantSplit/>
        </w:trPr>
        <w:tc>
          <w:tcPr>
            <w:tcW w:w="3150" w:type="dxa"/>
          </w:tcPr>
          <w:p w14:paraId="29EA772E" w14:textId="77777777" w:rsidR="00431828" w:rsidRPr="00B95DD7" w:rsidRDefault="00431828" w:rsidP="00984985">
            <w:pPr>
              <w:rPr>
                <w:rFonts w:cs="Arial"/>
                <w:sz w:val="16"/>
              </w:rPr>
            </w:pPr>
            <w:r w:rsidRPr="00B95DD7">
              <w:rPr>
                <w:rFonts w:cs="Arial"/>
                <w:color w:val="000000"/>
                <w:sz w:val="16"/>
                <w:szCs w:val="20"/>
              </w:rPr>
              <w:t>Geographic Area Information, Nested Hierarchy, Bad example</w:t>
            </w:r>
          </w:p>
        </w:tc>
        <w:tc>
          <w:tcPr>
            <w:tcW w:w="6300" w:type="dxa"/>
          </w:tcPr>
          <w:p w14:paraId="22EAE83E" w14:textId="77777777" w:rsidR="00431828" w:rsidRPr="00B95DD7" w:rsidRDefault="00431828" w:rsidP="00984985">
            <w:pPr>
              <w:rPr>
                <w:rFonts w:cs="Arial"/>
                <w:sz w:val="16"/>
              </w:rPr>
            </w:pPr>
            <w:r w:rsidRPr="00B95DD7">
              <w:rPr>
                <w:rFonts w:cs="Arial"/>
                <w:color w:val="000000"/>
                <w:sz w:val="16"/>
                <w:szCs w:val="20"/>
              </w:rPr>
              <w:t>BAD EXAMPLE: This is a contra-example of how NOT to model geographic areas. (1) Use the existing countries taxonomy rather th</w:t>
            </w:r>
            <w:r>
              <w:rPr>
                <w:rFonts w:cs="Arial"/>
                <w:color w:val="000000"/>
                <w:sz w:val="16"/>
                <w:szCs w:val="20"/>
              </w:rPr>
              <w:t>a</w:t>
            </w:r>
            <w:r w:rsidRPr="00B95DD7">
              <w:rPr>
                <w:rFonts w:cs="Arial"/>
                <w:color w:val="000000"/>
                <w:sz w:val="16"/>
                <w:szCs w:val="20"/>
              </w:rPr>
              <w:t>n create extensions. (2) Create a nested hierarchy within the geographic area [Axis] rather than creating a Countries [Axis].</w:t>
            </w:r>
          </w:p>
        </w:tc>
      </w:tr>
      <w:tr w:rsidR="00431828" w:rsidRPr="00B95DD7" w14:paraId="618F6F92" w14:textId="77777777" w:rsidTr="00984985">
        <w:trPr>
          <w:cantSplit/>
        </w:trPr>
        <w:tc>
          <w:tcPr>
            <w:tcW w:w="3150" w:type="dxa"/>
          </w:tcPr>
          <w:p w14:paraId="2A3908D7" w14:textId="77777777" w:rsidR="00431828" w:rsidRPr="00B95DD7" w:rsidRDefault="00431828" w:rsidP="00984985">
            <w:pPr>
              <w:rPr>
                <w:rFonts w:cs="Arial"/>
                <w:sz w:val="16"/>
              </w:rPr>
            </w:pPr>
            <w:r w:rsidRPr="00B95DD7">
              <w:rPr>
                <w:rFonts w:cs="Arial"/>
                <w:color w:val="000000"/>
                <w:sz w:val="16"/>
                <w:szCs w:val="20"/>
              </w:rPr>
              <w:t>Hedging Instrument Balance Sheet Location of Gains and Losses Reported</w:t>
            </w:r>
          </w:p>
        </w:tc>
        <w:tc>
          <w:tcPr>
            <w:tcW w:w="6300" w:type="dxa"/>
          </w:tcPr>
          <w:p w14:paraId="6914E483" w14:textId="77777777" w:rsidR="00431828" w:rsidRPr="00B95DD7" w:rsidRDefault="00431828" w:rsidP="00984985">
            <w:pPr>
              <w:rPr>
                <w:rFonts w:cs="Arial"/>
                <w:sz w:val="16"/>
              </w:rPr>
            </w:pPr>
            <w:r w:rsidRPr="00B95DD7">
              <w:rPr>
                <w:rFonts w:cs="Arial"/>
                <w:color w:val="000000"/>
                <w:sz w:val="16"/>
                <w:szCs w:val="20"/>
              </w:rPr>
              <w:t xml:space="preserve">Schedule that discloses the location and fair value amounts of derivative instruments (and nonderivative instruments that are designated and qualify as hedging instruments) reported in the statement of financial position. </w:t>
            </w:r>
            <w:r w:rsidRPr="00B95DD7">
              <w:rPr>
                <w:rFonts w:cs="Arial"/>
                <w:color w:val="000000"/>
                <w:sz w:val="16"/>
                <w:szCs w:val="20"/>
              </w:rPr>
              <w:br/>
              <w:t xml:space="preserve">Schedule of the location and amount of gains and losses reported in the statement of financial performance (or when applicable, the statement of financial position, for example, gains and losses initially recognized in other comprehensive income) on derivative instruments designated and qualifying as hedging instruments in fair value hedges and related hedged items designated and qualifying in fair value hedges. </w:t>
            </w:r>
            <w:r w:rsidRPr="00B95DD7">
              <w:rPr>
                <w:rFonts w:cs="Arial"/>
                <w:color w:val="000000"/>
                <w:sz w:val="16"/>
                <w:szCs w:val="20"/>
              </w:rPr>
              <w:br/>
              <w:t xml:space="preserve">Schedule of the location and amount of gains and losses reported in the statement of financial performance (or when applicable, the statement of financial position, for example, gains and losses initially recognized in other comprehensive income) on derivative instruments designated and qualifying as hedging instruments in cash flow hedges. </w:t>
            </w:r>
            <w:r w:rsidRPr="00B95DD7">
              <w:rPr>
                <w:rFonts w:cs="Arial"/>
                <w:color w:val="000000"/>
                <w:sz w:val="16"/>
                <w:szCs w:val="20"/>
              </w:rPr>
              <w:br/>
              <w:t>Schedule of the location and amount of gains and losses reported in the statement of financial performance (or when applicable, the statement of financial position, for example, gains and losses initially recognized in other comprehensive income) on derivative instruments not designated as hedging instruments.</w:t>
            </w:r>
          </w:p>
        </w:tc>
      </w:tr>
      <w:tr w:rsidR="00431828" w:rsidRPr="00B95DD7" w14:paraId="5A941FBC" w14:textId="77777777" w:rsidTr="00984985">
        <w:trPr>
          <w:cantSplit/>
        </w:trPr>
        <w:tc>
          <w:tcPr>
            <w:tcW w:w="3150" w:type="dxa"/>
          </w:tcPr>
          <w:p w14:paraId="56B82927" w14:textId="77777777" w:rsidR="00431828" w:rsidRPr="00B95DD7" w:rsidRDefault="00431828" w:rsidP="00984985">
            <w:pPr>
              <w:rPr>
                <w:rFonts w:cs="Arial"/>
                <w:sz w:val="16"/>
              </w:rPr>
            </w:pPr>
            <w:r w:rsidRPr="00B95DD7">
              <w:rPr>
                <w:rFonts w:cs="Arial"/>
                <w:color w:val="000000"/>
                <w:sz w:val="16"/>
                <w:szCs w:val="20"/>
              </w:rPr>
              <w:t>Income Statement, Multi-step, Basic</w:t>
            </w:r>
          </w:p>
        </w:tc>
        <w:tc>
          <w:tcPr>
            <w:tcW w:w="6300" w:type="dxa"/>
          </w:tcPr>
          <w:p w14:paraId="720F9355" w14:textId="77777777" w:rsidR="00431828" w:rsidRPr="00B95DD7" w:rsidRDefault="00431828" w:rsidP="00984985">
            <w:pPr>
              <w:rPr>
                <w:rFonts w:cs="Arial"/>
                <w:sz w:val="16"/>
              </w:rPr>
            </w:pPr>
            <w:r w:rsidRPr="00B95DD7">
              <w:rPr>
                <w:rFonts w:cs="Arial"/>
                <w:color w:val="000000"/>
                <w:sz w:val="16"/>
                <w:szCs w:val="20"/>
              </w:rPr>
              <w:t>Basic multi-step income statement</w:t>
            </w:r>
          </w:p>
        </w:tc>
      </w:tr>
      <w:tr w:rsidR="00431828" w:rsidRPr="00B95DD7" w14:paraId="3F8D9624" w14:textId="77777777" w:rsidTr="00984985">
        <w:trPr>
          <w:cantSplit/>
        </w:trPr>
        <w:tc>
          <w:tcPr>
            <w:tcW w:w="3150" w:type="dxa"/>
          </w:tcPr>
          <w:p w14:paraId="7F9252DF" w14:textId="77777777" w:rsidR="00431828" w:rsidRPr="00B95DD7" w:rsidRDefault="00431828" w:rsidP="00984985">
            <w:pPr>
              <w:rPr>
                <w:rFonts w:cs="Arial"/>
                <w:sz w:val="16"/>
              </w:rPr>
            </w:pPr>
            <w:r w:rsidRPr="00B95DD7">
              <w:rPr>
                <w:rFonts w:cs="Arial"/>
                <w:color w:val="000000"/>
                <w:sz w:val="16"/>
                <w:szCs w:val="20"/>
              </w:rPr>
              <w:t>Income Statement, Single-Step</w:t>
            </w:r>
          </w:p>
        </w:tc>
        <w:tc>
          <w:tcPr>
            <w:tcW w:w="6300" w:type="dxa"/>
          </w:tcPr>
          <w:p w14:paraId="2B824493" w14:textId="77777777" w:rsidR="00431828" w:rsidRPr="00B95DD7" w:rsidRDefault="00431828" w:rsidP="00984985">
            <w:pPr>
              <w:rPr>
                <w:rFonts w:cs="Arial"/>
                <w:sz w:val="16"/>
              </w:rPr>
            </w:pPr>
            <w:r w:rsidRPr="00B95DD7">
              <w:rPr>
                <w:rFonts w:cs="Arial"/>
                <w:color w:val="000000"/>
                <w:sz w:val="16"/>
                <w:szCs w:val="20"/>
              </w:rPr>
              <w:t>Income statement with a flat organization</w:t>
            </w:r>
          </w:p>
        </w:tc>
      </w:tr>
      <w:tr w:rsidR="00431828" w:rsidRPr="00B95DD7" w14:paraId="4237583F" w14:textId="77777777" w:rsidTr="00984985">
        <w:trPr>
          <w:cantSplit/>
        </w:trPr>
        <w:tc>
          <w:tcPr>
            <w:tcW w:w="3150" w:type="dxa"/>
          </w:tcPr>
          <w:p w14:paraId="35C5BBA5" w14:textId="77777777" w:rsidR="00431828" w:rsidRPr="00B95DD7" w:rsidRDefault="00431828" w:rsidP="00984985">
            <w:pPr>
              <w:rPr>
                <w:rFonts w:cs="Arial"/>
                <w:sz w:val="16"/>
              </w:rPr>
            </w:pPr>
            <w:r w:rsidRPr="00B95DD7">
              <w:rPr>
                <w:rFonts w:cs="Arial"/>
                <w:color w:val="000000"/>
                <w:sz w:val="16"/>
                <w:szCs w:val="20"/>
              </w:rPr>
              <w:t>Income Statement, With Discontinued Operations</w:t>
            </w:r>
          </w:p>
        </w:tc>
        <w:tc>
          <w:tcPr>
            <w:tcW w:w="6300" w:type="dxa"/>
          </w:tcPr>
          <w:p w14:paraId="7DBC773D" w14:textId="77777777" w:rsidR="00431828" w:rsidRPr="00B95DD7" w:rsidRDefault="00431828" w:rsidP="00984985">
            <w:pPr>
              <w:rPr>
                <w:rFonts w:cs="Arial"/>
                <w:sz w:val="16"/>
              </w:rPr>
            </w:pPr>
            <w:r w:rsidRPr="00B95DD7">
              <w:rPr>
                <w:rFonts w:cs="Arial"/>
                <w:color w:val="000000"/>
                <w:sz w:val="16"/>
                <w:szCs w:val="20"/>
              </w:rPr>
              <w:t>Income statement with noncontrolling interest</w:t>
            </w:r>
          </w:p>
        </w:tc>
      </w:tr>
      <w:tr w:rsidR="00431828" w:rsidRPr="00B95DD7" w14:paraId="2017FD28" w14:textId="77777777" w:rsidTr="00984985">
        <w:trPr>
          <w:cantSplit/>
        </w:trPr>
        <w:tc>
          <w:tcPr>
            <w:tcW w:w="3150" w:type="dxa"/>
          </w:tcPr>
          <w:p w14:paraId="604130BE" w14:textId="77777777" w:rsidR="00431828" w:rsidRPr="00B95DD7" w:rsidRDefault="00431828" w:rsidP="00984985">
            <w:pPr>
              <w:rPr>
                <w:rFonts w:cs="Arial"/>
                <w:sz w:val="16"/>
              </w:rPr>
            </w:pPr>
            <w:r w:rsidRPr="00B95DD7">
              <w:rPr>
                <w:rFonts w:cs="Arial"/>
                <w:color w:val="000000"/>
                <w:sz w:val="16"/>
                <w:szCs w:val="20"/>
              </w:rPr>
              <w:t>Income Statement, With Noncontrolling Interest</w:t>
            </w:r>
          </w:p>
        </w:tc>
        <w:tc>
          <w:tcPr>
            <w:tcW w:w="6300" w:type="dxa"/>
          </w:tcPr>
          <w:p w14:paraId="3FF7CA48" w14:textId="77777777" w:rsidR="00431828" w:rsidRPr="00B95DD7" w:rsidRDefault="00431828" w:rsidP="00984985">
            <w:pPr>
              <w:rPr>
                <w:rFonts w:cs="Arial"/>
                <w:sz w:val="16"/>
              </w:rPr>
            </w:pPr>
            <w:r w:rsidRPr="00B95DD7">
              <w:rPr>
                <w:rFonts w:cs="Arial"/>
                <w:color w:val="000000"/>
                <w:sz w:val="16"/>
                <w:szCs w:val="20"/>
              </w:rPr>
              <w:t>Minimum income statement</w:t>
            </w:r>
          </w:p>
        </w:tc>
      </w:tr>
      <w:tr w:rsidR="00431828" w:rsidRPr="00B95DD7" w14:paraId="1B5499A8" w14:textId="77777777" w:rsidTr="00984985">
        <w:trPr>
          <w:cantSplit/>
        </w:trPr>
        <w:tc>
          <w:tcPr>
            <w:tcW w:w="3150" w:type="dxa"/>
          </w:tcPr>
          <w:p w14:paraId="5357A891" w14:textId="77777777" w:rsidR="00431828" w:rsidRPr="00B95DD7" w:rsidRDefault="00431828" w:rsidP="00984985">
            <w:pPr>
              <w:rPr>
                <w:rFonts w:cs="Arial"/>
                <w:sz w:val="16"/>
              </w:rPr>
            </w:pPr>
            <w:r w:rsidRPr="00B95DD7">
              <w:rPr>
                <w:rFonts w:cs="Arial"/>
                <w:color w:val="000000"/>
                <w:sz w:val="16"/>
                <w:szCs w:val="20"/>
              </w:rPr>
              <w:t>Income Statement, With Preferred Dividends</w:t>
            </w:r>
          </w:p>
        </w:tc>
        <w:tc>
          <w:tcPr>
            <w:tcW w:w="6300" w:type="dxa"/>
          </w:tcPr>
          <w:p w14:paraId="64EAB5FD" w14:textId="77777777" w:rsidR="00431828" w:rsidRPr="00B95DD7" w:rsidRDefault="00431828" w:rsidP="00984985">
            <w:pPr>
              <w:rPr>
                <w:rFonts w:cs="Arial"/>
                <w:sz w:val="16"/>
              </w:rPr>
            </w:pPr>
            <w:r w:rsidRPr="00B95DD7">
              <w:rPr>
                <w:rFonts w:cs="Arial"/>
                <w:color w:val="000000"/>
                <w:sz w:val="16"/>
                <w:szCs w:val="20"/>
              </w:rPr>
              <w:t>Income statement with preferred dividends.</w:t>
            </w:r>
          </w:p>
        </w:tc>
      </w:tr>
      <w:tr w:rsidR="00431828" w:rsidRPr="00B95DD7" w14:paraId="68F53BEB" w14:textId="77777777" w:rsidTr="00984985">
        <w:trPr>
          <w:cantSplit/>
        </w:trPr>
        <w:tc>
          <w:tcPr>
            <w:tcW w:w="3150" w:type="dxa"/>
          </w:tcPr>
          <w:p w14:paraId="17978758" w14:textId="77777777" w:rsidR="00431828" w:rsidRPr="00B95DD7" w:rsidRDefault="00431828" w:rsidP="00984985">
            <w:pPr>
              <w:rPr>
                <w:rFonts w:cs="Arial"/>
                <w:sz w:val="16"/>
              </w:rPr>
            </w:pPr>
            <w:r w:rsidRPr="00B95DD7">
              <w:rPr>
                <w:rFonts w:cs="Arial"/>
                <w:color w:val="000000"/>
                <w:sz w:val="16"/>
                <w:szCs w:val="20"/>
              </w:rPr>
              <w:t>Income Tax Provision Components</w:t>
            </w:r>
          </w:p>
        </w:tc>
        <w:tc>
          <w:tcPr>
            <w:tcW w:w="6300" w:type="dxa"/>
          </w:tcPr>
          <w:p w14:paraId="2B2FEF1F" w14:textId="77777777" w:rsidR="00431828" w:rsidRPr="00B95DD7" w:rsidRDefault="00431828" w:rsidP="00984985">
            <w:pPr>
              <w:rPr>
                <w:rFonts w:cs="Arial"/>
                <w:sz w:val="16"/>
              </w:rPr>
            </w:pPr>
            <w:r w:rsidRPr="00B95DD7">
              <w:rPr>
                <w:rFonts w:cs="Arial"/>
                <w:color w:val="000000"/>
                <w:sz w:val="16"/>
                <w:szCs w:val="20"/>
              </w:rPr>
              <w:t>Income tax provision (benefit) components broken out by jurisdiction and then by current/deferred</w:t>
            </w:r>
          </w:p>
        </w:tc>
      </w:tr>
      <w:tr w:rsidR="00431828" w:rsidRPr="00B95DD7" w14:paraId="1E4D6A17" w14:textId="77777777" w:rsidTr="00984985">
        <w:trPr>
          <w:cantSplit/>
        </w:trPr>
        <w:tc>
          <w:tcPr>
            <w:tcW w:w="3150" w:type="dxa"/>
          </w:tcPr>
          <w:p w14:paraId="2308A766" w14:textId="77777777" w:rsidR="00431828" w:rsidRPr="00B95DD7" w:rsidRDefault="00431828" w:rsidP="00984985">
            <w:pPr>
              <w:rPr>
                <w:rFonts w:cs="Arial"/>
                <w:sz w:val="16"/>
              </w:rPr>
            </w:pPr>
            <w:r w:rsidRPr="00B95DD7">
              <w:rPr>
                <w:rFonts w:cs="Arial"/>
                <w:color w:val="000000"/>
                <w:sz w:val="16"/>
                <w:szCs w:val="20"/>
              </w:rPr>
              <w:t>Income Tax Provision Components Alternative</w:t>
            </w:r>
          </w:p>
        </w:tc>
        <w:tc>
          <w:tcPr>
            <w:tcW w:w="6300" w:type="dxa"/>
          </w:tcPr>
          <w:p w14:paraId="1E0AC5A7" w14:textId="77777777" w:rsidR="00431828" w:rsidRPr="00B95DD7" w:rsidRDefault="00431828" w:rsidP="00984985">
            <w:pPr>
              <w:rPr>
                <w:rFonts w:cs="Arial"/>
                <w:sz w:val="16"/>
              </w:rPr>
            </w:pPr>
            <w:r w:rsidRPr="00B95DD7">
              <w:rPr>
                <w:rFonts w:cs="Arial"/>
                <w:color w:val="000000"/>
                <w:sz w:val="16"/>
                <w:szCs w:val="20"/>
              </w:rPr>
              <w:t>Income tax provision (benefit) components broken out by current/deferred and then by jurisdiction</w:t>
            </w:r>
          </w:p>
        </w:tc>
      </w:tr>
      <w:tr w:rsidR="00431828" w:rsidRPr="00B95DD7" w14:paraId="4E00FF11" w14:textId="77777777" w:rsidTr="00984985">
        <w:trPr>
          <w:cantSplit/>
        </w:trPr>
        <w:tc>
          <w:tcPr>
            <w:tcW w:w="3150" w:type="dxa"/>
          </w:tcPr>
          <w:p w14:paraId="1AEBC6B4" w14:textId="77777777" w:rsidR="00431828" w:rsidRPr="00B95DD7" w:rsidRDefault="00431828" w:rsidP="00984985">
            <w:pPr>
              <w:rPr>
                <w:rFonts w:cs="Arial"/>
                <w:sz w:val="16"/>
              </w:rPr>
            </w:pPr>
            <w:r w:rsidRPr="00B95DD7">
              <w:rPr>
                <w:rFonts w:cs="Arial"/>
                <w:color w:val="000000"/>
                <w:sz w:val="16"/>
                <w:szCs w:val="20"/>
              </w:rPr>
              <w:t>Inventory Components</w:t>
            </w:r>
          </w:p>
        </w:tc>
        <w:tc>
          <w:tcPr>
            <w:tcW w:w="6300" w:type="dxa"/>
          </w:tcPr>
          <w:p w14:paraId="6232B2C4" w14:textId="77777777" w:rsidR="00431828" w:rsidRPr="00B95DD7" w:rsidRDefault="00431828" w:rsidP="00984985">
            <w:pPr>
              <w:rPr>
                <w:rFonts w:cs="Arial"/>
                <w:sz w:val="16"/>
              </w:rPr>
            </w:pPr>
            <w:r w:rsidRPr="00B95DD7">
              <w:rPr>
                <w:rFonts w:cs="Arial"/>
                <w:color w:val="000000"/>
                <w:sz w:val="16"/>
                <w:szCs w:val="20"/>
              </w:rPr>
              <w:t>Basic disclosure for the breakdown of components of inventory</w:t>
            </w:r>
          </w:p>
        </w:tc>
      </w:tr>
      <w:tr w:rsidR="00431828" w:rsidRPr="00B95DD7" w14:paraId="05206EA7" w14:textId="77777777" w:rsidTr="00984985">
        <w:trPr>
          <w:cantSplit/>
        </w:trPr>
        <w:tc>
          <w:tcPr>
            <w:tcW w:w="3150" w:type="dxa"/>
          </w:tcPr>
          <w:p w14:paraId="1745FE4E" w14:textId="77777777" w:rsidR="00431828" w:rsidRPr="00B95DD7" w:rsidRDefault="00431828" w:rsidP="00984985">
            <w:pPr>
              <w:rPr>
                <w:rFonts w:cs="Arial"/>
                <w:sz w:val="16"/>
              </w:rPr>
            </w:pPr>
            <w:r w:rsidRPr="00B95DD7">
              <w:rPr>
                <w:rFonts w:cs="Arial"/>
                <w:color w:val="000000"/>
                <w:sz w:val="16"/>
                <w:szCs w:val="20"/>
              </w:rPr>
              <w:t>Line of Credit Facility</w:t>
            </w:r>
          </w:p>
        </w:tc>
        <w:tc>
          <w:tcPr>
            <w:tcW w:w="6300" w:type="dxa"/>
          </w:tcPr>
          <w:p w14:paraId="7339A29E" w14:textId="77777777" w:rsidR="00431828" w:rsidRPr="00B95DD7" w:rsidRDefault="00431828" w:rsidP="00984985">
            <w:pPr>
              <w:rPr>
                <w:rFonts w:cs="Arial"/>
                <w:sz w:val="16"/>
              </w:rPr>
            </w:pPr>
            <w:r w:rsidRPr="00B95DD7">
              <w:rPr>
                <w:rFonts w:cs="Arial"/>
                <w:color w:val="000000"/>
                <w:sz w:val="16"/>
                <w:szCs w:val="20"/>
              </w:rPr>
              <w:t>Disclosure for line of credit facilities</w:t>
            </w:r>
          </w:p>
        </w:tc>
      </w:tr>
      <w:tr w:rsidR="00431828" w:rsidRPr="00B95DD7" w14:paraId="67F6B1DE" w14:textId="77777777" w:rsidTr="00984985">
        <w:trPr>
          <w:cantSplit/>
        </w:trPr>
        <w:tc>
          <w:tcPr>
            <w:tcW w:w="3150" w:type="dxa"/>
          </w:tcPr>
          <w:p w14:paraId="4841BBD5" w14:textId="77777777" w:rsidR="00431828" w:rsidRPr="00B95DD7" w:rsidRDefault="00431828" w:rsidP="00984985">
            <w:pPr>
              <w:rPr>
                <w:rFonts w:cs="Arial"/>
                <w:sz w:val="16"/>
              </w:rPr>
            </w:pPr>
            <w:r w:rsidRPr="00B95DD7">
              <w:rPr>
                <w:rFonts w:cs="Arial"/>
                <w:color w:val="000000"/>
                <w:sz w:val="16"/>
                <w:szCs w:val="20"/>
              </w:rPr>
              <w:lastRenderedPageBreak/>
              <w:t>Long-Term Debt Maturities</w:t>
            </w:r>
          </w:p>
        </w:tc>
        <w:tc>
          <w:tcPr>
            <w:tcW w:w="6300" w:type="dxa"/>
          </w:tcPr>
          <w:p w14:paraId="1CCFB8F1" w14:textId="77777777" w:rsidR="00431828" w:rsidRPr="00B95DD7" w:rsidRDefault="00431828" w:rsidP="00984985">
            <w:pPr>
              <w:rPr>
                <w:rFonts w:cs="Arial"/>
                <w:sz w:val="16"/>
              </w:rPr>
            </w:pPr>
            <w:r w:rsidRPr="00B95DD7">
              <w:rPr>
                <w:rFonts w:cs="Arial"/>
                <w:color w:val="000000"/>
                <w:sz w:val="16"/>
                <w:szCs w:val="20"/>
              </w:rPr>
              <w:t>Basic disclosure for long-term debt maturities</w:t>
            </w:r>
          </w:p>
        </w:tc>
      </w:tr>
      <w:tr w:rsidR="00431828" w:rsidRPr="00B95DD7" w14:paraId="3BFDF8BD" w14:textId="77777777" w:rsidTr="00984985">
        <w:trPr>
          <w:cantSplit/>
        </w:trPr>
        <w:tc>
          <w:tcPr>
            <w:tcW w:w="3150" w:type="dxa"/>
          </w:tcPr>
          <w:p w14:paraId="7E1273F3" w14:textId="77777777" w:rsidR="00431828" w:rsidRPr="00B95DD7" w:rsidRDefault="00431828" w:rsidP="00984985">
            <w:pPr>
              <w:rPr>
                <w:rFonts w:cs="Arial"/>
                <w:sz w:val="16"/>
              </w:rPr>
            </w:pPr>
            <w:r w:rsidRPr="00B95DD7">
              <w:rPr>
                <w:rFonts w:cs="Arial"/>
                <w:color w:val="000000"/>
                <w:sz w:val="16"/>
                <w:szCs w:val="20"/>
              </w:rPr>
              <w:t>Long-term Purchase Commitments</w:t>
            </w:r>
          </w:p>
        </w:tc>
        <w:tc>
          <w:tcPr>
            <w:tcW w:w="6300" w:type="dxa"/>
          </w:tcPr>
          <w:p w14:paraId="24F73D78" w14:textId="77777777" w:rsidR="00431828" w:rsidRPr="00B95DD7" w:rsidRDefault="00431828" w:rsidP="00984985">
            <w:pPr>
              <w:rPr>
                <w:rFonts w:cs="Arial"/>
                <w:sz w:val="16"/>
              </w:rPr>
            </w:pPr>
            <w:r w:rsidRPr="00B95DD7">
              <w:rPr>
                <w:rFonts w:cs="Arial"/>
                <w:color w:val="000000"/>
                <w:sz w:val="16"/>
                <w:szCs w:val="20"/>
              </w:rPr>
              <w:t>Basic disclosure of long-term purchase commitments of a reporting entity</w:t>
            </w:r>
          </w:p>
        </w:tc>
      </w:tr>
      <w:tr w:rsidR="00431828" w:rsidRPr="00B95DD7" w14:paraId="5FBF1C5B" w14:textId="77777777" w:rsidTr="00984985">
        <w:trPr>
          <w:cantSplit/>
        </w:trPr>
        <w:tc>
          <w:tcPr>
            <w:tcW w:w="3150" w:type="dxa"/>
          </w:tcPr>
          <w:p w14:paraId="193C43D4" w14:textId="77777777" w:rsidR="00431828" w:rsidRPr="00B95DD7" w:rsidRDefault="00431828" w:rsidP="00984985">
            <w:pPr>
              <w:rPr>
                <w:rFonts w:cs="Arial"/>
                <w:sz w:val="16"/>
              </w:rPr>
            </w:pPr>
            <w:r w:rsidRPr="00B95DD7">
              <w:rPr>
                <w:rFonts w:cs="Arial"/>
                <w:color w:val="000000"/>
                <w:sz w:val="16"/>
                <w:szCs w:val="20"/>
              </w:rPr>
              <w:t>Loss Contingency Accrual</w:t>
            </w:r>
          </w:p>
        </w:tc>
        <w:tc>
          <w:tcPr>
            <w:tcW w:w="6300" w:type="dxa"/>
          </w:tcPr>
          <w:p w14:paraId="3802D556" w14:textId="77777777" w:rsidR="00431828" w:rsidRPr="00B95DD7" w:rsidRDefault="00431828" w:rsidP="00984985">
            <w:pPr>
              <w:rPr>
                <w:rFonts w:cs="Arial"/>
                <w:sz w:val="16"/>
              </w:rPr>
            </w:pPr>
            <w:r w:rsidRPr="00B95DD7">
              <w:rPr>
                <w:rFonts w:cs="Arial"/>
                <w:color w:val="000000"/>
                <w:sz w:val="16"/>
                <w:szCs w:val="20"/>
              </w:rPr>
              <w:t xml:space="preserve">Basic loss contingency accrual </w:t>
            </w:r>
            <w:proofErr w:type="gramStart"/>
            <w:r w:rsidRPr="00B95DD7">
              <w:rPr>
                <w:rFonts w:cs="Arial"/>
                <w:color w:val="000000"/>
                <w:sz w:val="16"/>
                <w:szCs w:val="20"/>
              </w:rPr>
              <w:t>roll</w:t>
            </w:r>
            <w:proofErr w:type="gramEnd"/>
            <w:r w:rsidRPr="00B95DD7">
              <w:rPr>
                <w:rFonts w:cs="Arial"/>
                <w:color w:val="000000"/>
                <w:sz w:val="16"/>
                <w:szCs w:val="20"/>
              </w:rPr>
              <w:t xml:space="preserve"> forward</w:t>
            </w:r>
          </w:p>
        </w:tc>
      </w:tr>
      <w:tr w:rsidR="00431828" w:rsidRPr="00B95DD7" w14:paraId="7FDD0558" w14:textId="77777777" w:rsidTr="00984985">
        <w:trPr>
          <w:cantSplit/>
        </w:trPr>
        <w:tc>
          <w:tcPr>
            <w:tcW w:w="3150" w:type="dxa"/>
          </w:tcPr>
          <w:p w14:paraId="41AFC047" w14:textId="77777777" w:rsidR="00431828" w:rsidRPr="00B95DD7" w:rsidRDefault="00431828" w:rsidP="00984985">
            <w:pPr>
              <w:rPr>
                <w:rFonts w:cs="Arial"/>
                <w:sz w:val="16"/>
              </w:rPr>
            </w:pPr>
            <w:r w:rsidRPr="00B95DD7">
              <w:rPr>
                <w:rFonts w:cs="Arial"/>
                <w:color w:val="000000"/>
                <w:sz w:val="16"/>
                <w:szCs w:val="20"/>
              </w:rPr>
              <w:t xml:space="preserve">Marketable Debt Securities </w:t>
            </w:r>
            <w:proofErr w:type="gramStart"/>
            <w:r w:rsidRPr="00B95DD7">
              <w:rPr>
                <w:rFonts w:cs="Arial"/>
                <w:color w:val="000000"/>
                <w:sz w:val="16"/>
                <w:szCs w:val="20"/>
              </w:rPr>
              <w:t>By</w:t>
            </w:r>
            <w:proofErr w:type="gramEnd"/>
            <w:r w:rsidRPr="00B95DD7">
              <w:rPr>
                <w:rFonts w:cs="Arial"/>
                <w:color w:val="000000"/>
                <w:sz w:val="16"/>
                <w:szCs w:val="20"/>
              </w:rPr>
              <w:t xml:space="preserve"> Contractual Maturity</w:t>
            </w:r>
          </w:p>
        </w:tc>
        <w:tc>
          <w:tcPr>
            <w:tcW w:w="6300" w:type="dxa"/>
          </w:tcPr>
          <w:p w14:paraId="0E7028E1" w14:textId="77777777" w:rsidR="00431828" w:rsidRPr="00B95DD7" w:rsidRDefault="00431828" w:rsidP="00984985">
            <w:pPr>
              <w:rPr>
                <w:rFonts w:cs="Arial"/>
                <w:sz w:val="16"/>
              </w:rPr>
            </w:pPr>
            <w:r w:rsidRPr="00B95DD7">
              <w:rPr>
                <w:rFonts w:cs="Arial"/>
                <w:color w:val="000000"/>
                <w:sz w:val="16"/>
                <w:szCs w:val="20"/>
              </w:rPr>
              <w:t xml:space="preserve">Marketable Debt Securities </w:t>
            </w:r>
            <w:proofErr w:type="gramStart"/>
            <w:r w:rsidRPr="00B95DD7">
              <w:rPr>
                <w:rFonts w:cs="Arial"/>
                <w:color w:val="000000"/>
                <w:sz w:val="16"/>
                <w:szCs w:val="20"/>
              </w:rPr>
              <w:t>By</w:t>
            </w:r>
            <w:proofErr w:type="gramEnd"/>
            <w:r w:rsidRPr="00B95DD7">
              <w:rPr>
                <w:rFonts w:cs="Arial"/>
                <w:color w:val="000000"/>
                <w:sz w:val="16"/>
                <w:szCs w:val="20"/>
              </w:rPr>
              <w:t xml:space="preserve"> Contractual Maturity, amortized cost and fair value</w:t>
            </w:r>
          </w:p>
        </w:tc>
      </w:tr>
      <w:tr w:rsidR="00431828" w:rsidRPr="00B95DD7" w14:paraId="1BF9C4BF" w14:textId="77777777" w:rsidTr="00984985">
        <w:trPr>
          <w:cantSplit/>
        </w:trPr>
        <w:tc>
          <w:tcPr>
            <w:tcW w:w="3150" w:type="dxa"/>
          </w:tcPr>
          <w:p w14:paraId="5D22F75B" w14:textId="77777777" w:rsidR="00431828" w:rsidRPr="00B95DD7" w:rsidRDefault="00431828" w:rsidP="00984985">
            <w:pPr>
              <w:rPr>
                <w:rFonts w:cs="Arial"/>
                <w:sz w:val="16"/>
              </w:rPr>
            </w:pPr>
            <w:r w:rsidRPr="00B95DD7">
              <w:rPr>
                <w:rFonts w:cs="Arial"/>
                <w:color w:val="000000"/>
                <w:sz w:val="16"/>
                <w:szCs w:val="20"/>
              </w:rPr>
              <w:t>Marketable Securities Components</w:t>
            </w:r>
          </w:p>
        </w:tc>
        <w:tc>
          <w:tcPr>
            <w:tcW w:w="6300" w:type="dxa"/>
          </w:tcPr>
          <w:p w14:paraId="2178379A" w14:textId="77777777" w:rsidR="00431828" w:rsidRPr="00B95DD7" w:rsidRDefault="00431828" w:rsidP="00984985">
            <w:pPr>
              <w:rPr>
                <w:rFonts w:cs="Arial"/>
                <w:sz w:val="16"/>
              </w:rPr>
            </w:pPr>
            <w:r w:rsidRPr="00B95DD7">
              <w:rPr>
                <w:rFonts w:cs="Arial"/>
                <w:color w:val="000000"/>
                <w:sz w:val="16"/>
                <w:szCs w:val="20"/>
              </w:rPr>
              <w:t>Marketable securities components including reconciliation from cost to estimated fair value</w:t>
            </w:r>
          </w:p>
        </w:tc>
      </w:tr>
      <w:tr w:rsidR="00431828" w:rsidRPr="00B95DD7" w14:paraId="37341DFF" w14:textId="77777777" w:rsidTr="00984985">
        <w:trPr>
          <w:cantSplit/>
        </w:trPr>
        <w:tc>
          <w:tcPr>
            <w:tcW w:w="3150" w:type="dxa"/>
          </w:tcPr>
          <w:p w14:paraId="57FD96E5" w14:textId="77777777" w:rsidR="00431828" w:rsidRPr="00B95DD7" w:rsidRDefault="00431828" w:rsidP="00984985">
            <w:pPr>
              <w:rPr>
                <w:rFonts w:cs="Arial"/>
                <w:sz w:val="16"/>
              </w:rPr>
            </w:pPr>
            <w:r w:rsidRPr="00B95DD7">
              <w:rPr>
                <w:rFonts w:cs="Arial"/>
                <w:color w:val="000000"/>
                <w:sz w:val="16"/>
                <w:szCs w:val="20"/>
              </w:rPr>
              <w:t xml:space="preserve">Nonmonetary Transaction </w:t>
            </w:r>
            <w:proofErr w:type="gramStart"/>
            <w:r w:rsidRPr="00B95DD7">
              <w:rPr>
                <w:rFonts w:cs="Arial"/>
                <w:color w:val="000000"/>
                <w:sz w:val="16"/>
                <w:szCs w:val="20"/>
              </w:rPr>
              <w:t>By</w:t>
            </w:r>
            <w:proofErr w:type="gramEnd"/>
            <w:r w:rsidRPr="00B95DD7">
              <w:rPr>
                <w:rFonts w:cs="Arial"/>
                <w:color w:val="000000"/>
                <w:sz w:val="16"/>
                <w:szCs w:val="20"/>
              </w:rPr>
              <w:t xml:space="preserve"> Type</w:t>
            </w:r>
          </w:p>
        </w:tc>
        <w:tc>
          <w:tcPr>
            <w:tcW w:w="6300" w:type="dxa"/>
          </w:tcPr>
          <w:p w14:paraId="3692C248" w14:textId="77777777" w:rsidR="00431828" w:rsidRPr="00B95DD7" w:rsidRDefault="00431828" w:rsidP="00984985">
            <w:pPr>
              <w:rPr>
                <w:rFonts w:cs="Arial"/>
                <w:sz w:val="16"/>
              </w:rPr>
            </w:pPr>
            <w:r w:rsidRPr="00B95DD7">
              <w:rPr>
                <w:rFonts w:cs="Arial"/>
                <w:color w:val="000000"/>
                <w:sz w:val="16"/>
                <w:szCs w:val="20"/>
              </w:rPr>
              <w:t>Basic disclosure of the details of nonmonetary transactions classified by the type of transaction</w:t>
            </w:r>
          </w:p>
        </w:tc>
      </w:tr>
      <w:tr w:rsidR="00431828" w:rsidRPr="00B95DD7" w14:paraId="4ECE0994" w14:textId="77777777" w:rsidTr="00984985">
        <w:trPr>
          <w:cantSplit/>
        </w:trPr>
        <w:tc>
          <w:tcPr>
            <w:tcW w:w="3150" w:type="dxa"/>
          </w:tcPr>
          <w:p w14:paraId="656F914E" w14:textId="77777777" w:rsidR="00431828" w:rsidRPr="00B95DD7" w:rsidRDefault="00431828" w:rsidP="00984985">
            <w:pPr>
              <w:rPr>
                <w:rFonts w:cs="Arial"/>
                <w:sz w:val="16"/>
              </w:rPr>
            </w:pPr>
            <w:r w:rsidRPr="00B95DD7">
              <w:rPr>
                <w:rFonts w:cs="Arial"/>
                <w:color w:val="000000"/>
                <w:sz w:val="16"/>
                <w:szCs w:val="20"/>
              </w:rPr>
              <w:t>Nonoperating Income (Expense) Components</w:t>
            </w:r>
          </w:p>
        </w:tc>
        <w:tc>
          <w:tcPr>
            <w:tcW w:w="6300" w:type="dxa"/>
          </w:tcPr>
          <w:p w14:paraId="04265D18" w14:textId="77777777" w:rsidR="00431828" w:rsidRPr="00B95DD7" w:rsidRDefault="00431828" w:rsidP="00984985">
            <w:pPr>
              <w:rPr>
                <w:rFonts w:cs="Arial"/>
                <w:sz w:val="16"/>
              </w:rPr>
            </w:pPr>
            <w:r w:rsidRPr="00B95DD7">
              <w:rPr>
                <w:rFonts w:cs="Arial"/>
                <w:color w:val="000000"/>
                <w:sz w:val="16"/>
                <w:szCs w:val="20"/>
              </w:rPr>
              <w:t>Other nonoperating income (expense)</w:t>
            </w:r>
          </w:p>
        </w:tc>
      </w:tr>
      <w:tr w:rsidR="00431828" w:rsidRPr="00B95DD7" w14:paraId="31C42626" w14:textId="77777777" w:rsidTr="00984985">
        <w:trPr>
          <w:cantSplit/>
        </w:trPr>
        <w:tc>
          <w:tcPr>
            <w:tcW w:w="3150" w:type="dxa"/>
          </w:tcPr>
          <w:p w14:paraId="515264E1" w14:textId="77777777" w:rsidR="00431828" w:rsidRPr="00B95DD7" w:rsidRDefault="00431828" w:rsidP="00984985">
            <w:pPr>
              <w:rPr>
                <w:rFonts w:cs="Arial"/>
                <w:sz w:val="16"/>
              </w:rPr>
            </w:pPr>
            <w:r w:rsidRPr="00B95DD7">
              <w:rPr>
                <w:rFonts w:cs="Arial"/>
                <w:color w:val="000000"/>
                <w:sz w:val="16"/>
                <w:szCs w:val="20"/>
              </w:rPr>
              <w:t>Operating Leases Future Minimum Payments Due</w:t>
            </w:r>
          </w:p>
        </w:tc>
        <w:tc>
          <w:tcPr>
            <w:tcW w:w="6300" w:type="dxa"/>
          </w:tcPr>
          <w:p w14:paraId="60F4FE14" w14:textId="77777777" w:rsidR="00431828" w:rsidRPr="00B95DD7" w:rsidRDefault="00431828" w:rsidP="00984985">
            <w:pPr>
              <w:rPr>
                <w:rFonts w:cs="Arial"/>
                <w:sz w:val="16"/>
              </w:rPr>
            </w:pPr>
            <w:r w:rsidRPr="00B95DD7">
              <w:rPr>
                <w:rFonts w:cs="Arial"/>
                <w:color w:val="000000"/>
                <w:sz w:val="16"/>
                <w:szCs w:val="20"/>
              </w:rPr>
              <w:t>Future minimum payments due under operating leases</w:t>
            </w:r>
          </w:p>
        </w:tc>
      </w:tr>
      <w:tr w:rsidR="00431828" w:rsidRPr="00B95DD7" w14:paraId="24956231" w14:textId="77777777" w:rsidTr="00984985">
        <w:trPr>
          <w:cantSplit/>
        </w:trPr>
        <w:tc>
          <w:tcPr>
            <w:tcW w:w="3150" w:type="dxa"/>
          </w:tcPr>
          <w:p w14:paraId="4CF85453" w14:textId="77777777" w:rsidR="00431828" w:rsidRPr="00B95DD7" w:rsidRDefault="00431828" w:rsidP="00984985">
            <w:pPr>
              <w:rPr>
                <w:rFonts w:cs="Arial"/>
                <w:sz w:val="16"/>
              </w:rPr>
            </w:pPr>
            <w:r w:rsidRPr="00B95DD7">
              <w:rPr>
                <w:rFonts w:cs="Arial"/>
                <w:color w:val="000000"/>
                <w:sz w:val="16"/>
                <w:szCs w:val="20"/>
              </w:rPr>
              <w:t>Organization, Consolidation, Basis of Presentation</w:t>
            </w:r>
          </w:p>
        </w:tc>
        <w:tc>
          <w:tcPr>
            <w:tcW w:w="6300" w:type="dxa"/>
          </w:tcPr>
          <w:p w14:paraId="6DC7C9CB" w14:textId="77777777" w:rsidR="00431828" w:rsidRPr="00B95DD7" w:rsidRDefault="00431828" w:rsidP="00984985">
            <w:pPr>
              <w:rPr>
                <w:rFonts w:cs="Arial"/>
                <w:sz w:val="16"/>
              </w:rPr>
            </w:pPr>
            <w:r w:rsidRPr="00B95DD7">
              <w:rPr>
                <w:rFonts w:cs="Arial"/>
                <w:color w:val="000000"/>
                <w:sz w:val="16"/>
                <w:szCs w:val="20"/>
              </w:rPr>
              <w:t>Basic disclosures for nature of operations, consolidation of financial statements and basis of presentation of financial statements</w:t>
            </w:r>
          </w:p>
        </w:tc>
      </w:tr>
      <w:tr w:rsidR="00431828" w:rsidRPr="00B95DD7" w14:paraId="1C72642F" w14:textId="77777777" w:rsidTr="00984985">
        <w:trPr>
          <w:cantSplit/>
        </w:trPr>
        <w:tc>
          <w:tcPr>
            <w:tcW w:w="3150" w:type="dxa"/>
          </w:tcPr>
          <w:p w14:paraId="11E4A594" w14:textId="77777777" w:rsidR="00431828" w:rsidRPr="00B95DD7" w:rsidRDefault="00431828" w:rsidP="00984985">
            <w:pPr>
              <w:rPr>
                <w:rFonts w:cs="Arial"/>
                <w:sz w:val="16"/>
              </w:rPr>
            </w:pPr>
            <w:r w:rsidRPr="00B95DD7">
              <w:rPr>
                <w:rFonts w:cs="Arial"/>
                <w:color w:val="000000"/>
                <w:sz w:val="16"/>
                <w:szCs w:val="20"/>
              </w:rPr>
              <w:t>Other Assets Components</w:t>
            </w:r>
          </w:p>
        </w:tc>
        <w:tc>
          <w:tcPr>
            <w:tcW w:w="6300" w:type="dxa"/>
          </w:tcPr>
          <w:p w14:paraId="0BB0E5F3" w14:textId="77777777" w:rsidR="00431828" w:rsidRPr="00B95DD7" w:rsidRDefault="00431828" w:rsidP="00984985">
            <w:pPr>
              <w:rPr>
                <w:rFonts w:cs="Arial"/>
                <w:sz w:val="16"/>
              </w:rPr>
            </w:pPr>
            <w:r w:rsidRPr="00B95DD7">
              <w:rPr>
                <w:rFonts w:cs="Arial"/>
                <w:color w:val="000000"/>
                <w:sz w:val="16"/>
                <w:szCs w:val="20"/>
              </w:rPr>
              <w:t>Other assets</w:t>
            </w:r>
          </w:p>
        </w:tc>
      </w:tr>
      <w:tr w:rsidR="00431828" w:rsidRPr="00B95DD7" w14:paraId="5644276F" w14:textId="77777777" w:rsidTr="00984985">
        <w:trPr>
          <w:cantSplit/>
        </w:trPr>
        <w:tc>
          <w:tcPr>
            <w:tcW w:w="3150" w:type="dxa"/>
          </w:tcPr>
          <w:p w14:paraId="6B7A2ECC" w14:textId="77777777" w:rsidR="00431828" w:rsidRPr="00B95DD7" w:rsidRDefault="00431828" w:rsidP="00984985">
            <w:pPr>
              <w:rPr>
                <w:rFonts w:cs="Arial"/>
                <w:sz w:val="16"/>
              </w:rPr>
            </w:pPr>
            <w:r w:rsidRPr="00B95DD7">
              <w:rPr>
                <w:rFonts w:cs="Arial"/>
                <w:color w:val="000000"/>
                <w:sz w:val="16"/>
                <w:szCs w:val="20"/>
              </w:rPr>
              <w:t>Other Liabilities, Noncurrent, Components</w:t>
            </w:r>
          </w:p>
        </w:tc>
        <w:tc>
          <w:tcPr>
            <w:tcW w:w="6300" w:type="dxa"/>
          </w:tcPr>
          <w:p w14:paraId="49622C23" w14:textId="77777777" w:rsidR="00431828" w:rsidRPr="00B95DD7" w:rsidRDefault="00431828" w:rsidP="00984985">
            <w:pPr>
              <w:rPr>
                <w:rFonts w:cs="Arial"/>
                <w:sz w:val="16"/>
              </w:rPr>
            </w:pPr>
            <w:r w:rsidRPr="00B95DD7">
              <w:rPr>
                <w:rFonts w:cs="Arial"/>
                <w:color w:val="000000"/>
                <w:sz w:val="16"/>
                <w:szCs w:val="20"/>
              </w:rPr>
              <w:t>Components of other noncurrent liabilities</w:t>
            </w:r>
          </w:p>
        </w:tc>
      </w:tr>
      <w:tr w:rsidR="00431828" w:rsidRPr="00B95DD7" w14:paraId="0DB98579" w14:textId="77777777" w:rsidTr="00984985">
        <w:trPr>
          <w:cantSplit/>
        </w:trPr>
        <w:tc>
          <w:tcPr>
            <w:tcW w:w="3150" w:type="dxa"/>
          </w:tcPr>
          <w:p w14:paraId="0FA9BCAC" w14:textId="77777777" w:rsidR="00431828" w:rsidRPr="00B95DD7" w:rsidRDefault="00431828" w:rsidP="00984985">
            <w:pPr>
              <w:rPr>
                <w:rFonts w:cs="Arial"/>
                <w:sz w:val="16"/>
              </w:rPr>
            </w:pPr>
            <w:r w:rsidRPr="00B95DD7">
              <w:rPr>
                <w:rFonts w:cs="Arial"/>
                <w:color w:val="000000"/>
                <w:sz w:val="16"/>
                <w:szCs w:val="20"/>
              </w:rPr>
              <w:t>Prior Period Adjustment</w:t>
            </w:r>
          </w:p>
        </w:tc>
        <w:tc>
          <w:tcPr>
            <w:tcW w:w="6300" w:type="dxa"/>
          </w:tcPr>
          <w:p w14:paraId="7DB7C2CF" w14:textId="77777777" w:rsidR="00431828" w:rsidRPr="00B95DD7" w:rsidRDefault="00431828" w:rsidP="00984985">
            <w:pPr>
              <w:rPr>
                <w:rFonts w:cs="Arial"/>
                <w:sz w:val="16"/>
              </w:rPr>
            </w:pPr>
            <w:r w:rsidRPr="00B95DD7">
              <w:rPr>
                <w:rFonts w:cs="Arial"/>
                <w:color w:val="000000"/>
                <w:sz w:val="16"/>
                <w:szCs w:val="20"/>
              </w:rPr>
              <w:t>Prior period adjustment</w:t>
            </w:r>
          </w:p>
        </w:tc>
      </w:tr>
      <w:tr w:rsidR="00431828" w:rsidRPr="00B95DD7" w14:paraId="675F9109" w14:textId="77777777" w:rsidTr="00984985">
        <w:trPr>
          <w:cantSplit/>
        </w:trPr>
        <w:tc>
          <w:tcPr>
            <w:tcW w:w="3150" w:type="dxa"/>
          </w:tcPr>
          <w:p w14:paraId="2142399E" w14:textId="77777777" w:rsidR="00431828" w:rsidRPr="00B95DD7" w:rsidRDefault="00431828" w:rsidP="00984985">
            <w:pPr>
              <w:rPr>
                <w:rFonts w:cs="Arial"/>
                <w:sz w:val="16"/>
              </w:rPr>
            </w:pPr>
            <w:r w:rsidRPr="00B95DD7">
              <w:rPr>
                <w:rFonts w:cs="Arial"/>
                <w:color w:val="000000"/>
                <w:sz w:val="16"/>
                <w:szCs w:val="20"/>
              </w:rPr>
              <w:t>Product Warranty Accrual Roll Forward</w:t>
            </w:r>
          </w:p>
        </w:tc>
        <w:tc>
          <w:tcPr>
            <w:tcW w:w="6300" w:type="dxa"/>
          </w:tcPr>
          <w:p w14:paraId="04A920E5" w14:textId="77777777" w:rsidR="00431828" w:rsidRPr="00B95DD7" w:rsidRDefault="00431828" w:rsidP="00984985">
            <w:pPr>
              <w:rPr>
                <w:rFonts w:cs="Arial"/>
                <w:sz w:val="16"/>
              </w:rPr>
            </w:pPr>
            <w:r w:rsidRPr="00B95DD7">
              <w:rPr>
                <w:rFonts w:cs="Arial"/>
                <w:color w:val="000000"/>
                <w:sz w:val="16"/>
                <w:szCs w:val="20"/>
              </w:rPr>
              <w:t>Change in the product warranty accrual balance sheet account</w:t>
            </w:r>
          </w:p>
        </w:tc>
      </w:tr>
      <w:tr w:rsidR="00431828" w:rsidRPr="00B95DD7" w14:paraId="7087F5D0" w14:textId="77777777" w:rsidTr="00984985">
        <w:trPr>
          <w:cantSplit/>
        </w:trPr>
        <w:tc>
          <w:tcPr>
            <w:tcW w:w="3150" w:type="dxa"/>
          </w:tcPr>
          <w:p w14:paraId="584BE7AD" w14:textId="77777777" w:rsidR="00431828" w:rsidRPr="00B95DD7" w:rsidRDefault="00431828" w:rsidP="00984985">
            <w:pPr>
              <w:rPr>
                <w:rFonts w:cs="Arial"/>
                <w:sz w:val="16"/>
              </w:rPr>
            </w:pPr>
            <w:r w:rsidRPr="00B95DD7">
              <w:rPr>
                <w:rFonts w:cs="Arial"/>
                <w:color w:val="000000"/>
                <w:sz w:val="16"/>
                <w:szCs w:val="20"/>
              </w:rPr>
              <w:t>Property, Plant and Equipment Policy</w:t>
            </w:r>
          </w:p>
        </w:tc>
        <w:tc>
          <w:tcPr>
            <w:tcW w:w="6300" w:type="dxa"/>
          </w:tcPr>
          <w:p w14:paraId="7303B6C7" w14:textId="77777777" w:rsidR="00431828" w:rsidRPr="00B95DD7" w:rsidRDefault="00431828" w:rsidP="00984985">
            <w:pPr>
              <w:rPr>
                <w:rFonts w:cs="Arial"/>
                <w:sz w:val="16"/>
              </w:rPr>
            </w:pPr>
            <w:r w:rsidRPr="00B95DD7">
              <w:rPr>
                <w:rFonts w:cs="Arial"/>
                <w:color w:val="000000"/>
                <w:sz w:val="16"/>
                <w:szCs w:val="20"/>
              </w:rPr>
              <w:t>Basic summary of property, plant, and equipment related accounting policies broken down by type of PPE; each type modeled as a [Member] of an [Axis]</w:t>
            </w:r>
          </w:p>
        </w:tc>
      </w:tr>
      <w:tr w:rsidR="00431828" w:rsidRPr="00B95DD7" w14:paraId="301F1821" w14:textId="77777777" w:rsidTr="00984985">
        <w:trPr>
          <w:cantSplit/>
        </w:trPr>
        <w:tc>
          <w:tcPr>
            <w:tcW w:w="3150" w:type="dxa"/>
          </w:tcPr>
          <w:p w14:paraId="2AEE20C7" w14:textId="77777777" w:rsidR="00431828" w:rsidRPr="00B95DD7" w:rsidRDefault="00431828" w:rsidP="00984985">
            <w:pPr>
              <w:rPr>
                <w:rFonts w:cs="Arial"/>
                <w:sz w:val="16"/>
              </w:rPr>
            </w:pPr>
            <w:r w:rsidRPr="00B95DD7">
              <w:rPr>
                <w:rFonts w:cs="Arial"/>
                <w:color w:val="000000"/>
                <w:sz w:val="16"/>
                <w:szCs w:val="20"/>
              </w:rPr>
              <w:t>Property, Plant, and Equipment Components</w:t>
            </w:r>
          </w:p>
        </w:tc>
        <w:tc>
          <w:tcPr>
            <w:tcW w:w="6300" w:type="dxa"/>
          </w:tcPr>
          <w:p w14:paraId="0C6C41A5" w14:textId="77777777" w:rsidR="00431828" w:rsidRPr="00B95DD7" w:rsidRDefault="00431828" w:rsidP="00984985">
            <w:pPr>
              <w:rPr>
                <w:rFonts w:cs="Arial"/>
                <w:sz w:val="16"/>
              </w:rPr>
            </w:pPr>
            <w:r w:rsidRPr="00B95DD7">
              <w:rPr>
                <w:rFonts w:cs="Arial"/>
                <w:color w:val="000000"/>
                <w:sz w:val="16"/>
                <w:szCs w:val="20"/>
              </w:rPr>
              <w:t>Basic disclosure for the breakdown of the components of property, plant and equipment categorized by type; models each type of property, plant and equipment using an [Axis]</w:t>
            </w:r>
          </w:p>
        </w:tc>
      </w:tr>
      <w:tr w:rsidR="00431828" w:rsidRPr="00B95DD7" w14:paraId="7CAA5CCB" w14:textId="77777777" w:rsidTr="00984985">
        <w:trPr>
          <w:cantSplit/>
        </w:trPr>
        <w:tc>
          <w:tcPr>
            <w:tcW w:w="3150" w:type="dxa"/>
          </w:tcPr>
          <w:p w14:paraId="33ED84E1" w14:textId="77777777" w:rsidR="00431828" w:rsidRPr="00B95DD7" w:rsidRDefault="00431828" w:rsidP="00984985">
            <w:pPr>
              <w:rPr>
                <w:rFonts w:cs="Arial"/>
                <w:sz w:val="16"/>
              </w:rPr>
            </w:pPr>
            <w:r w:rsidRPr="00B95DD7">
              <w:rPr>
                <w:rFonts w:cs="Arial"/>
                <w:color w:val="000000"/>
                <w:sz w:val="16"/>
                <w:szCs w:val="20"/>
              </w:rPr>
              <w:t>Property, Plant, and Equipment Components Alternative</w:t>
            </w:r>
          </w:p>
        </w:tc>
        <w:tc>
          <w:tcPr>
            <w:tcW w:w="6300" w:type="dxa"/>
          </w:tcPr>
          <w:p w14:paraId="3A0F6BE1" w14:textId="77777777" w:rsidR="00431828" w:rsidRPr="00B95DD7" w:rsidRDefault="00431828" w:rsidP="00984985">
            <w:pPr>
              <w:rPr>
                <w:rFonts w:cs="Arial"/>
                <w:sz w:val="16"/>
              </w:rPr>
            </w:pPr>
            <w:r w:rsidRPr="00B95DD7">
              <w:rPr>
                <w:rFonts w:cs="Arial"/>
                <w:color w:val="000000"/>
                <w:sz w:val="16"/>
                <w:szCs w:val="20"/>
              </w:rPr>
              <w:t>Basic disclosure for the breakdown of the components of property, plant and equipment categorized by type; models each type of property, plant and equipment using a [Concept]</w:t>
            </w:r>
          </w:p>
        </w:tc>
      </w:tr>
      <w:tr w:rsidR="00431828" w:rsidRPr="00B95DD7" w14:paraId="40C418B4" w14:textId="77777777" w:rsidTr="00984985">
        <w:trPr>
          <w:cantSplit/>
        </w:trPr>
        <w:tc>
          <w:tcPr>
            <w:tcW w:w="3150" w:type="dxa"/>
          </w:tcPr>
          <w:p w14:paraId="2EB6D195" w14:textId="77777777" w:rsidR="00431828" w:rsidRPr="00B95DD7" w:rsidRDefault="00431828" w:rsidP="00984985">
            <w:pPr>
              <w:rPr>
                <w:rFonts w:cs="Arial"/>
                <w:sz w:val="16"/>
              </w:rPr>
            </w:pPr>
            <w:r w:rsidRPr="00B95DD7">
              <w:rPr>
                <w:rFonts w:cs="Arial"/>
                <w:color w:val="000000"/>
                <w:sz w:val="16"/>
                <w:szCs w:val="20"/>
              </w:rPr>
              <w:t>Receivables Components</w:t>
            </w:r>
          </w:p>
        </w:tc>
        <w:tc>
          <w:tcPr>
            <w:tcW w:w="6300" w:type="dxa"/>
          </w:tcPr>
          <w:p w14:paraId="36930218" w14:textId="77777777" w:rsidR="00431828" w:rsidRPr="00B95DD7" w:rsidRDefault="00431828" w:rsidP="00984985">
            <w:pPr>
              <w:rPr>
                <w:rFonts w:cs="Arial"/>
                <w:sz w:val="16"/>
              </w:rPr>
            </w:pPr>
            <w:r w:rsidRPr="00B95DD7">
              <w:rPr>
                <w:rFonts w:cs="Arial"/>
                <w:color w:val="000000"/>
                <w:sz w:val="16"/>
                <w:szCs w:val="20"/>
              </w:rPr>
              <w:t>Components of receivables</w:t>
            </w:r>
          </w:p>
        </w:tc>
      </w:tr>
      <w:tr w:rsidR="00431828" w:rsidRPr="00B95DD7" w14:paraId="60AFCCA9" w14:textId="77777777" w:rsidTr="00984985">
        <w:trPr>
          <w:cantSplit/>
        </w:trPr>
        <w:tc>
          <w:tcPr>
            <w:tcW w:w="3150" w:type="dxa"/>
          </w:tcPr>
          <w:p w14:paraId="3DF47DE5" w14:textId="77777777" w:rsidR="00431828" w:rsidRPr="00B95DD7" w:rsidRDefault="00431828" w:rsidP="00984985">
            <w:pPr>
              <w:rPr>
                <w:rFonts w:cs="Arial"/>
                <w:sz w:val="16"/>
              </w:rPr>
            </w:pPr>
            <w:r w:rsidRPr="00B95DD7">
              <w:rPr>
                <w:rFonts w:cs="Arial"/>
                <w:color w:val="000000"/>
                <w:sz w:val="16"/>
                <w:szCs w:val="20"/>
              </w:rPr>
              <w:t>Reconciliation of Unrecognized Tax Benefits</w:t>
            </w:r>
          </w:p>
        </w:tc>
        <w:tc>
          <w:tcPr>
            <w:tcW w:w="6300" w:type="dxa"/>
          </w:tcPr>
          <w:p w14:paraId="678E7F20" w14:textId="77777777" w:rsidR="00431828" w:rsidRPr="00B95DD7" w:rsidRDefault="00431828" w:rsidP="00984985">
            <w:pPr>
              <w:rPr>
                <w:rFonts w:cs="Arial"/>
                <w:sz w:val="16"/>
              </w:rPr>
            </w:pPr>
            <w:r w:rsidRPr="00B95DD7">
              <w:rPr>
                <w:rFonts w:cs="Arial"/>
                <w:color w:val="000000"/>
                <w:sz w:val="16"/>
                <w:szCs w:val="20"/>
              </w:rPr>
              <w:t>Reconciliation of unrecognized tax benefits</w:t>
            </w:r>
          </w:p>
        </w:tc>
      </w:tr>
      <w:tr w:rsidR="00431828" w:rsidRPr="00B95DD7" w14:paraId="14FFA948" w14:textId="77777777" w:rsidTr="00984985">
        <w:trPr>
          <w:cantSplit/>
        </w:trPr>
        <w:tc>
          <w:tcPr>
            <w:tcW w:w="3150" w:type="dxa"/>
          </w:tcPr>
          <w:p w14:paraId="534B47A9" w14:textId="77777777" w:rsidR="00431828" w:rsidRPr="00B95DD7" w:rsidRDefault="00431828" w:rsidP="00984985">
            <w:pPr>
              <w:rPr>
                <w:rFonts w:cs="Arial"/>
                <w:sz w:val="16"/>
              </w:rPr>
            </w:pPr>
            <w:r w:rsidRPr="00B95DD7">
              <w:rPr>
                <w:rFonts w:cs="Arial"/>
                <w:color w:val="000000"/>
                <w:sz w:val="16"/>
                <w:szCs w:val="20"/>
              </w:rPr>
              <w:t>Related Party Transactions</w:t>
            </w:r>
          </w:p>
        </w:tc>
        <w:tc>
          <w:tcPr>
            <w:tcW w:w="6300" w:type="dxa"/>
          </w:tcPr>
          <w:p w14:paraId="0A08F730" w14:textId="77777777" w:rsidR="00431828" w:rsidRPr="00B95DD7" w:rsidRDefault="00431828" w:rsidP="00984985">
            <w:pPr>
              <w:rPr>
                <w:rFonts w:cs="Arial"/>
                <w:sz w:val="16"/>
              </w:rPr>
            </w:pPr>
            <w:r w:rsidRPr="00B95DD7">
              <w:rPr>
                <w:rFonts w:cs="Arial"/>
                <w:color w:val="000000"/>
                <w:sz w:val="16"/>
                <w:szCs w:val="20"/>
              </w:rPr>
              <w:t>Related party transactions</w:t>
            </w:r>
          </w:p>
        </w:tc>
      </w:tr>
      <w:tr w:rsidR="00431828" w:rsidRPr="00B95DD7" w14:paraId="563B5484" w14:textId="77777777" w:rsidTr="00984985">
        <w:trPr>
          <w:cantSplit/>
        </w:trPr>
        <w:tc>
          <w:tcPr>
            <w:tcW w:w="3150" w:type="dxa"/>
          </w:tcPr>
          <w:p w14:paraId="2F0DF584" w14:textId="77777777" w:rsidR="00431828" w:rsidRPr="00B95DD7" w:rsidRDefault="00431828" w:rsidP="00984985">
            <w:pPr>
              <w:rPr>
                <w:rFonts w:cs="Arial"/>
                <w:sz w:val="16"/>
              </w:rPr>
            </w:pPr>
            <w:r w:rsidRPr="00B95DD7">
              <w:rPr>
                <w:rFonts w:cs="Arial"/>
                <w:color w:val="000000"/>
                <w:sz w:val="16"/>
                <w:szCs w:val="20"/>
              </w:rPr>
              <w:t>Restructuring Reserve Roll Forward</w:t>
            </w:r>
          </w:p>
        </w:tc>
        <w:tc>
          <w:tcPr>
            <w:tcW w:w="6300" w:type="dxa"/>
          </w:tcPr>
          <w:p w14:paraId="459091EF" w14:textId="77777777" w:rsidR="00431828" w:rsidRPr="00B95DD7" w:rsidRDefault="00431828" w:rsidP="00984985">
            <w:pPr>
              <w:rPr>
                <w:rFonts w:cs="Arial"/>
                <w:sz w:val="16"/>
              </w:rPr>
            </w:pPr>
            <w:r w:rsidRPr="00B95DD7">
              <w:rPr>
                <w:rFonts w:cs="Arial"/>
                <w:color w:val="000000"/>
                <w:sz w:val="16"/>
                <w:szCs w:val="20"/>
              </w:rPr>
              <w:t>Restructuring reserve roll forward</w:t>
            </w:r>
          </w:p>
        </w:tc>
      </w:tr>
      <w:tr w:rsidR="00431828" w:rsidRPr="00B95DD7" w14:paraId="106B9968" w14:textId="77777777" w:rsidTr="00984985">
        <w:trPr>
          <w:cantSplit/>
        </w:trPr>
        <w:tc>
          <w:tcPr>
            <w:tcW w:w="3150" w:type="dxa"/>
          </w:tcPr>
          <w:p w14:paraId="3D262BDD" w14:textId="77777777" w:rsidR="00431828" w:rsidRPr="00B95DD7" w:rsidRDefault="00431828" w:rsidP="00984985">
            <w:pPr>
              <w:rPr>
                <w:rFonts w:cs="Arial"/>
                <w:sz w:val="16"/>
              </w:rPr>
            </w:pPr>
            <w:r w:rsidRPr="00B95DD7">
              <w:rPr>
                <w:rFonts w:cs="Arial"/>
                <w:color w:val="000000"/>
                <w:sz w:val="16"/>
                <w:szCs w:val="20"/>
              </w:rPr>
              <w:t>Segment Information</w:t>
            </w:r>
          </w:p>
        </w:tc>
        <w:tc>
          <w:tcPr>
            <w:tcW w:w="6300" w:type="dxa"/>
          </w:tcPr>
          <w:p w14:paraId="7C6D83F0" w14:textId="77777777" w:rsidR="00431828" w:rsidRPr="00B95DD7" w:rsidRDefault="00431828" w:rsidP="00984985">
            <w:pPr>
              <w:rPr>
                <w:rFonts w:cs="Arial"/>
                <w:sz w:val="16"/>
              </w:rPr>
            </w:pPr>
            <w:r w:rsidRPr="00B95DD7">
              <w:rPr>
                <w:rFonts w:cs="Arial"/>
                <w:color w:val="000000"/>
                <w:sz w:val="16"/>
                <w:szCs w:val="20"/>
              </w:rPr>
              <w:t>Basic disclosure of the details of net income (loss), assets, and other common disclosures for each reportable segment of a reporting entity</w:t>
            </w:r>
          </w:p>
        </w:tc>
      </w:tr>
      <w:tr w:rsidR="00431828" w:rsidRPr="00B95DD7" w14:paraId="7D500523" w14:textId="77777777" w:rsidTr="00984985">
        <w:trPr>
          <w:cantSplit/>
        </w:trPr>
        <w:tc>
          <w:tcPr>
            <w:tcW w:w="3150" w:type="dxa"/>
          </w:tcPr>
          <w:p w14:paraId="0AE8F124" w14:textId="77777777" w:rsidR="00431828" w:rsidRPr="00B95DD7" w:rsidRDefault="00431828" w:rsidP="00984985">
            <w:pPr>
              <w:rPr>
                <w:rFonts w:cs="Arial"/>
                <w:sz w:val="16"/>
              </w:rPr>
            </w:pPr>
            <w:r w:rsidRPr="00B95DD7">
              <w:rPr>
                <w:rFonts w:cs="Arial"/>
                <w:color w:val="000000"/>
                <w:sz w:val="16"/>
                <w:szCs w:val="20"/>
              </w:rPr>
              <w:t>Select Financial Information</w:t>
            </w:r>
          </w:p>
        </w:tc>
        <w:tc>
          <w:tcPr>
            <w:tcW w:w="6300" w:type="dxa"/>
          </w:tcPr>
          <w:p w14:paraId="2577BB0F" w14:textId="77777777" w:rsidR="00431828" w:rsidRPr="00B95DD7" w:rsidRDefault="00431828" w:rsidP="00984985">
            <w:pPr>
              <w:rPr>
                <w:rFonts w:cs="Arial"/>
                <w:sz w:val="16"/>
              </w:rPr>
            </w:pPr>
            <w:r w:rsidRPr="00B95DD7">
              <w:rPr>
                <w:rFonts w:cs="Arial"/>
                <w:color w:val="000000"/>
                <w:sz w:val="16"/>
                <w:szCs w:val="20"/>
              </w:rPr>
              <w:t>Select financial information, shows the variance information model</w:t>
            </w:r>
          </w:p>
        </w:tc>
      </w:tr>
      <w:tr w:rsidR="00431828" w:rsidRPr="00B95DD7" w14:paraId="11B00C89" w14:textId="77777777" w:rsidTr="00984985">
        <w:trPr>
          <w:cantSplit/>
        </w:trPr>
        <w:tc>
          <w:tcPr>
            <w:tcW w:w="3150" w:type="dxa"/>
          </w:tcPr>
          <w:p w14:paraId="01E215FE" w14:textId="77777777" w:rsidR="00431828" w:rsidRPr="00B95DD7" w:rsidRDefault="00431828" w:rsidP="00984985">
            <w:pPr>
              <w:rPr>
                <w:rFonts w:cs="Arial"/>
                <w:sz w:val="16"/>
              </w:rPr>
            </w:pPr>
            <w:r w:rsidRPr="00B95DD7">
              <w:rPr>
                <w:rFonts w:cs="Arial"/>
                <w:color w:val="000000"/>
                <w:sz w:val="16"/>
                <w:szCs w:val="20"/>
              </w:rPr>
              <w:t xml:space="preserve">Share-based Compensation Arrangement </w:t>
            </w:r>
            <w:proofErr w:type="gramStart"/>
            <w:r w:rsidRPr="00B95DD7">
              <w:rPr>
                <w:rFonts w:cs="Arial"/>
                <w:color w:val="000000"/>
                <w:sz w:val="16"/>
                <w:szCs w:val="20"/>
              </w:rPr>
              <w:t>By</w:t>
            </w:r>
            <w:proofErr w:type="gramEnd"/>
            <w:r w:rsidRPr="00B95DD7">
              <w:rPr>
                <w:rFonts w:cs="Arial"/>
                <w:color w:val="000000"/>
                <w:sz w:val="16"/>
                <w:szCs w:val="20"/>
              </w:rPr>
              <w:t xml:space="preserve"> Award</w:t>
            </w:r>
          </w:p>
        </w:tc>
        <w:tc>
          <w:tcPr>
            <w:tcW w:w="6300" w:type="dxa"/>
          </w:tcPr>
          <w:p w14:paraId="59725191" w14:textId="77777777" w:rsidR="00431828" w:rsidRPr="00B95DD7" w:rsidRDefault="00431828" w:rsidP="00984985">
            <w:pPr>
              <w:rPr>
                <w:rFonts w:cs="Arial"/>
                <w:sz w:val="16"/>
              </w:rPr>
            </w:pPr>
            <w:r w:rsidRPr="00B95DD7">
              <w:rPr>
                <w:rFonts w:cs="Arial"/>
                <w:color w:val="000000"/>
                <w:sz w:val="16"/>
                <w:szCs w:val="20"/>
              </w:rPr>
              <w:t>Share-based Compensation Arrangement by Share-based Payment Award, Options, Outstanding Roll Forward and Share-based Compensation Arrangement by Share-based Payment Award, Options, Outstanding, Weighted Average Exercise Price Roll Forward</w:t>
            </w:r>
          </w:p>
        </w:tc>
      </w:tr>
      <w:tr w:rsidR="00431828" w:rsidRPr="00B95DD7" w14:paraId="42DB6D6B" w14:textId="77777777" w:rsidTr="00984985">
        <w:trPr>
          <w:cantSplit/>
        </w:trPr>
        <w:tc>
          <w:tcPr>
            <w:tcW w:w="3150" w:type="dxa"/>
          </w:tcPr>
          <w:p w14:paraId="29DD9A9E" w14:textId="77777777" w:rsidR="00431828" w:rsidRPr="00B95DD7" w:rsidRDefault="00431828" w:rsidP="00984985">
            <w:pPr>
              <w:rPr>
                <w:rFonts w:cs="Arial"/>
                <w:sz w:val="16"/>
              </w:rPr>
            </w:pPr>
            <w:r w:rsidRPr="00B95DD7">
              <w:rPr>
                <w:rFonts w:cs="Arial"/>
                <w:color w:val="000000"/>
                <w:sz w:val="16"/>
                <w:szCs w:val="20"/>
              </w:rPr>
              <w:t>Statement of Changes in Equity</w:t>
            </w:r>
          </w:p>
        </w:tc>
        <w:tc>
          <w:tcPr>
            <w:tcW w:w="6300" w:type="dxa"/>
          </w:tcPr>
          <w:p w14:paraId="358177BD" w14:textId="77777777" w:rsidR="00431828" w:rsidRPr="00B95DD7" w:rsidRDefault="00431828" w:rsidP="00984985">
            <w:pPr>
              <w:rPr>
                <w:rFonts w:cs="Arial"/>
                <w:sz w:val="16"/>
              </w:rPr>
            </w:pPr>
            <w:r w:rsidRPr="00B95DD7">
              <w:rPr>
                <w:rFonts w:cs="Arial"/>
                <w:color w:val="000000"/>
                <w:sz w:val="16"/>
                <w:szCs w:val="20"/>
              </w:rPr>
              <w:t>Statement of changes in equity</w:t>
            </w:r>
          </w:p>
        </w:tc>
      </w:tr>
      <w:tr w:rsidR="00431828" w:rsidRPr="00B95DD7" w14:paraId="605F011E" w14:textId="77777777" w:rsidTr="00984985">
        <w:trPr>
          <w:cantSplit/>
        </w:trPr>
        <w:tc>
          <w:tcPr>
            <w:tcW w:w="3150" w:type="dxa"/>
          </w:tcPr>
          <w:p w14:paraId="770180F4" w14:textId="77777777" w:rsidR="00431828" w:rsidRPr="00B95DD7" w:rsidRDefault="00431828" w:rsidP="00984985">
            <w:pPr>
              <w:rPr>
                <w:rFonts w:cs="Arial"/>
                <w:sz w:val="16"/>
              </w:rPr>
            </w:pPr>
            <w:r w:rsidRPr="00B95DD7">
              <w:rPr>
                <w:rFonts w:cs="Arial"/>
                <w:color w:val="000000"/>
                <w:sz w:val="16"/>
                <w:szCs w:val="20"/>
              </w:rPr>
              <w:t>Statement of Changes in Equity, using Grid Approach</w:t>
            </w:r>
          </w:p>
        </w:tc>
        <w:tc>
          <w:tcPr>
            <w:tcW w:w="6300" w:type="dxa"/>
          </w:tcPr>
          <w:p w14:paraId="0FBCFDBD" w14:textId="77777777" w:rsidR="00431828" w:rsidRPr="00B95DD7" w:rsidRDefault="00431828" w:rsidP="00984985">
            <w:pPr>
              <w:rPr>
                <w:rFonts w:cs="Arial"/>
                <w:sz w:val="16"/>
              </w:rPr>
            </w:pPr>
            <w:r w:rsidRPr="00B95DD7">
              <w:rPr>
                <w:rFonts w:cs="Arial"/>
                <w:color w:val="000000"/>
                <w:sz w:val="16"/>
                <w:szCs w:val="20"/>
              </w:rPr>
              <w:t>Statement of changes in equity using the common [Grid] approach as done in the US GAAP Taxonomy</w:t>
            </w:r>
          </w:p>
        </w:tc>
      </w:tr>
      <w:tr w:rsidR="00431828" w:rsidRPr="00B95DD7" w14:paraId="383F6FF3" w14:textId="77777777" w:rsidTr="00984985">
        <w:trPr>
          <w:cantSplit/>
        </w:trPr>
        <w:tc>
          <w:tcPr>
            <w:tcW w:w="3150" w:type="dxa"/>
          </w:tcPr>
          <w:p w14:paraId="37BAC459" w14:textId="77777777" w:rsidR="00431828" w:rsidRPr="00B95DD7" w:rsidRDefault="00431828" w:rsidP="00984985">
            <w:pPr>
              <w:rPr>
                <w:rFonts w:cs="Arial"/>
                <w:sz w:val="16"/>
              </w:rPr>
            </w:pPr>
            <w:r w:rsidRPr="00B95DD7">
              <w:rPr>
                <w:rFonts w:cs="Arial"/>
                <w:color w:val="000000"/>
                <w:sz w:val="16"/>
                <w:szCs w:val="20"/>
              </w:rPr>
              <w:t>Statement of Comprehensive Income, Basic</w:t>
            </w:r>
          </w:p>
        </w:tc>
        <w:tc>
          <w:tcPr>
            <w:tcW w:w="6300" w:type="dxa"/>
          </w:tcPr>
          <w:p w14:paraId="130B6C1E" w14:textId="77777777" w:rsidR="00431828" w:rsidRPr="00B95DD7" w:rsidRDefault="00431828" w:rsidP="00984985">
            <w:pPr>
              <w:rPr>
                <w:rFonts w:cs="Arial"/>
                <w:sz w:val="16"/>
              </w:rPr>
            </w:pPr>
            <w:r w:rsidRPr="00B95DD7">
              <w:rPr>
                <w:rFonts w:cs="Arial"/>
                <w:color w:val="000000"/>
                <w:sz w:val="16"/>
                <w:szCs w:val="20"/>
              </w:rPr>
              <w:t>Very basic Statement of Comprehensive income (WARNING!!! Not totally sure I have these calculations/XBRL formulas correct; need to double check these)</w:t>
            </w:r>
          </w:p>
        </w:tc>
      </w:tr>
      <w:tr w:rsidR="00431828" w:rsidRPr="00B95DD7" w14:paraId="3C07F7E2" w14:textId="77777777" w:rsidTr="00984985">
        <w:trPr>
          <w:cantSplit/>
        </w:trPr>
        <w:tc>
          <w:tcPr>
            <w:tcW w:w="3150" w:type="dxa"/>
          </w:tcPr>
          <w:p w14:paraId="74B687D4" w14:textId="77777777" w:rsidR="00431828" w:rsidRPr="00B95DD7" w:rsidRDefault="00431828" w:rsidP="00984985">
            <w:pPr>
              <w:rPr>
                <w:rFonts w:cs="Arial"/>
                <w:sz w:val="16"/>
              </w:rPr>
            </w:pPr>
            <w:r w:rsidRPr="00B95DD7">
              <w:rPr>
                <w:rFonts w:cs="Arial"/>
                <w:color w:val="000000"/>
                <w:sz w:val="16"/>
                <w:szCs w:val="20"/>
              </w:rPr>
              <w:t>Stock by Class</w:t>
            </w:r>
          </w:p>
        </w:tc>
        <w:tc>
          <w:tcPr>
            <w:tcW w:w="6300" w:type="dxa"/>
          </w:tcPr>
          <w:p w14:paraId="1985C5F5" w14:textId="77777777" w:rsidR="00431828" w:rsidRPr="00B95DD7" w:rsidRDefault="00431828" w:rsidP="00984985">
            <w:pPr>
              <w:rPr>
                <w:rFonts w:cs="Arial"/>
                <w:sz w:val="16"/>
              </w:rPr>
            </w:pPr>
            <w:r w:rsidRPr="00B95DD7">
              <w:rPr>
                <w:rFonts w:cs="Arial"/>
                <w:color w:val="000000"/>
                <w:sz w:val="16"/>
                <w:szCs w:val="20"/>
              </w:rPr>
              <w:t>Stock by class, preferred and common</w:t>
            </w:r>
          </w:p>
        </w:tc>
      </w:tr>
      <w:tr w:rsidR="00431828" w:rsidRPr="00B95DD7" w14:paraId="2ADF3345" w14:textId="77777777" w:rsidTr="00984985">
        <w:trPr>
          <w:cantSplit/>
        </w:trPr>
        <w:tc>
          <w:tcPr>
            <w:tcW w:w="3150" w:type="dxa"/>
          </w:tcPr>
          <w:p w14:paraId="18BD7591" w14:textId="77777777" w:rsidR="00431828" w:rsidRPr="00B95DD7" w:rsidRDefault="00431828" w:rsidP="00984985">
            <w:pPr>
              <w:rPr>
                <w:rFonts w:cs="Arial"/>
                <w:sz w:val="16"/>
              </w:rPr>
            </w:pPr>
            <w:r w:rsidRPr="00B95DD7">
              <w:rPr>
                <w:rFonts w:cs="Arial"/>
                <w:color w:val="000000"/>
                <w:sz w:val="16"/>
                <w:szCs w:val="20"/>
              </w:rPr>
              <w:t>Subsequent Events</w:t>
            </w:r>
          </w:p>
        </w:tc>
        <w:tc>
          <w:tcPr>
            <w:tcW w:w="6300" w:type="dxa"/>
          </w:tcPr>
          <w:p w14:paraId="3753F4B2" w14:textId="77777777" w:rsidR="00431828" w:rsidRPr="00B95DD7" w:rsidRDefault="00431828" w:rsidP="00984985">
            <w:pPr>
              <w:rPr>
                <w:rFonts w:cs="Arial"/>
                <w:sz w:val="16"/>
              </w:rPr>
            </w:pPr>
            <w:r w:rsidRPr="00B95DD7">
              <w:rPr>
                <w:rFonts w:cs="Arial"/>
                <w:color w:val="000000"/>
                <w:sz w:val="16"/>
                <w:szCs w:val="20"/>
              </w:rPr>
              <w:t>Basic subsequent events disclosure</w:t>
            </w:r>
          </w:p>
        </w:tc>
      </w:tr>
      <w:tr w:rsidR="00431828" w:rsidRPr="00B95DD7" w14:paraId="1BF17FD9" w14:textId="77777777" w:rsidTr="00984985">
        <w:trPr>
          <w:cantSplit/>
        </w:trPr>
        <w:tc>
          <w:tcPr>
            <w:tcW w:w="3150" w:type="dxa"/>
          </w:tcPr>
          <w:p w14:paraId="4FBEB967" w14:textId="77777777" w:rsidR="00431828" w:rsidRPr="00B95DD7" w:rsidRDefault="00431828" w:rsidP="00984985">
            <w:pPr>
              <w:rPr>
                <w:rFonts w:cs="Arial"/>
                <w:sz w:val="16"/>
              </w:rPr>
            </w:pPr>
            <w:r w:rsidRPr="00B95DD7">
              <w:rPr>
                <w:rFonts w:cs="Arial"/>
                <w:color w:val="000000"/>
                <w:sz w:val="16"/>
                <w:szCs w:val="20"/>
              </w:rPr>
              <w:t>Unusual or Infrequent Item</w:t>
            </w:r>
          </w:p>
        </w:tc>
        <w:tc>
          <w:tcPr>
            <w:tcW w:w="6300" w:type="dxa"/>
          </w:tcPr>
          <w:p w14:paraId="62DB8E5D" w14:textId="77777777" w:rsidR="00431828" w:rsidRPr="00B95DD7" w:rsidRDefault="00431828" w:rsidP="00984985">
            <w:pPr>
              <w:rPr>
                <w:rFonts w:cs="Arial"/>
                <w:sz w:val="16"/>
              </w:rPr>
            </w:pPr>
            <w:r w:rsidRPr="00B95DD7">
              <w:rPr>
                <w:rFonts w:cs="Arial"/>
                <w:color w:val="000000"/>
                <w:sz w:val="16"/>
                <w:szCs w:val="20"/>
              </w:rPr>
              <w:t>Unusual or infrequent financial statement item</w:t>
            </w:r>
          </w:p>
        </w:tc>
      </w:tr>
      <w:tr w:rsidR="00431828" w:rsidRPr="00B95DD7" w14:paraId="4FA7D0EA" w14:textId="77777777" w:rsidTr="00984985">
        <w:trPr>
          <w:cantSplit/>
        </w:trPr>
        <w:tc>
          <w:tcPr>
            <w:tcW w:w="3150" w:type="dxa"/>
          </w:tcPr>
          <w:p w14:paraId="1AC25730" w14:textId="77777777" w:rsidR="00431828" w:rsidRPr="00B95DD7" w:rsidRDefault="00431828" w:rsidP="00984985">
            <w:pPr>
              <w:rPr>
                <w:rFonts w:cs="Arial"/>
                <w:sz w:val="16"/>
              </w:rPr>
            </w:pPr>
            <w:r w:rsidRPr="00B95DD7">
              <w:rPr>
                <w:rFonts w:cs="Arial"/>
                <w:color w:val="000000"/>
                <w:sz w:val="16"/>
                <w:szCs w:val="20"/>
              </w:rPr>
              <w:t>Variable Interest Entities, Carrying Amounts of Assets and Liabilities</w:t>
            </w:r>
          </w:p>
        </w:tc>
        <w:tc>
          <w:tcPr>
            <w:tcW w:w="6300" w:type="dxa"/>
          </w:tcPr>
          <w:p w14:paraId="2C979E7C" w14:textId="77777777" w:rsidR="00431828" w:rsidRPr="00B95DD7" w:rsidRDefault="00431828" w:rsidP="00984985">
            <w:pPr>
              <w:rPr>
                <w:rFonts w:cs="Arial"/>
                <w:sz w:val="16"/>
              </w:rPr>
            </w:pPr>
            <w:r w:rsidRPr="00B95DD7">
              <w:rPr>
                <w:rFonts w:cs="Arial"/>
                <w:color w:val="000000"/>
                <w:sz w:val="16"/>
                <w:szCs w:val="20"/>
              </w:rPr>
              <w:t>Disclosure of carrying amounts of assets and liabilities in the statement of financial position of each VIE for the reporting entity.</w:t>
            </w:r>
          </w:p>
        </w:tc>
      </w:tr>
    </w:tbl>
    <w:p w14:paraId="740680FD" w14:textId="77777777" w:rsidR="00431828" w:rsidRDefault="00431828" w:rsidP="00B054D0">
      <w:pPr>
        <w:pStyle w:val="Heading2"/>
        <w:rPr>
          <w:lang w:val="en-GB"/>
        </w:rPr>
      </w:pPr>
      <w:bookmarkStart w:id="3" w:name="_Toc418920280"/>
      <w:r>
        <w:rPr>
          <w:lang w:val="en-GB"/>
        </w:rPr>
        <w:t>Information available for each disclosure template</w:t>
      </w:r>
      <w:bookmarkEnd w:id="3"/>
    </w:p>
    <w:p w14:paraId="388F5DE6" w14:textId="77777777" w:rsidR="00431828" w:rsidRDefault="00431828" w:rsidP="00B054D0">
      <w:pPr>
        <w:pStyle w:val="BodyText"/>
        <w:rPr>
          <w:lang w:val="en-GB"/>
        </w:rPr>
      </w:pPr>
      <w:r>
        <w:rPr>
          <w:lang w:val="en-GB"/>
        </w:rPr>
        <w:t>Each disclosure template has the following information available: (the screen shots below provide an example of the information available using the document information template)</w:t>
      </w:r>
    </w:p>
    <w:p w14:paraId="6F122149" w14:textId="77777777" w:rsidR="00431828" w:rsidRDefault="00431828" w:rsidP="00EC07F8">
      <w:pPr>
        <w:pStyle w:val="Heading3"/>
      </w:pPr>
      <w:r>
        <w:lastRenderedPageBreak/>
        <w:t>Template descriptive information</w:t>
      </w:r>
    </w:p>
    <w:p w14:paraId="2593DA78" w14:textId="77777777" w:rsidR="00431828" w:rsidRDefault="00431828" w:rsidP="00B054D0">
      <w:pPr>
        <w:pStyle w:val="BodyText"/>
        <w:rPr>
          <w:lang w:val="en-GB"/>
        </w:rPr>
      </w:pPr>
      <w:r>
        <w:rPr>
          <w:noProof/>
        </w:rPr>
        <w:drawing>
          <wp:inline distT="0" distB="0" distL="0" distR="0" wp14:anchorId="5BE0453E" wp14:editId="45CD4F36">
            <wp:extent cx="5486400" cy="3437206"/>
            <wp:effectExtent l="0" t="0" r="0" b="0"/>
            <wp:docPr id="1073741974" name="Picture 1073741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5486400" cy="3437206"/>
                    </a:xfrm>
                    <a:prstGeom prst="rect">
                      <a:avLst/>
                    </a:prstGeom>
                  </pic:spPr>
                </pic:pic>
              </a:graphicData>
            </a:graphic>
          </wp:inline>
        </w:drawing>
      </w:r>
    </w:p>
    <w:p w14:paraId="3430E544" w14:textId="77777777" w:rsidR="00431828" w:rsidRDefault="00431828" w:rsidP="00EC07F8">
      <w:pPr>
        <w:pStyle w:val="Heading3"/>
      </w:pPr>
      <w:r>
        <w:t>Visual image</w:t>
      </w:r>
    </w:p>
    <w:p w14:paraId="52D839F8" w14:textId="77777777" w:rsidR="00431828" w:rsidRDefault="00431828" w:rsidP="00B054D0">
      <w:pPr>
        <w:pStyle w:val="BodyText"/>
        <w:rPr>
          <w:lang w:val="en-GB"/>
        </w:rPr>
      </w:pPr>
      <w:r>
        <w:rPr>
          <w:noProof/>
        </w:rPr>
        <w:drawing>
          <wp:inline distT="0" distB="0" distL="0" distR="0" wp14:anchorId="7064B5D6" wp14:editId="62A0D02C">
            <wp:extent cx="4990477" cy="2009524"/>
            <wp:effectExtent l="0" t="0" r="635" b="0"/>
            <wp:docPr id="1073741975" name="Picture 1073741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4990477" cy="2009524"/>
                    </a:xfrm>
                    <a:prstGeom prst="rect">
                      <a:avLst/>
                    </a:prstGeom>
                  </pic:spPr>
                </pic:pic>
              </a:graphicData>
            </a:graphic>
          </wp:inline>
        </w:drawing>
      </w:r>
    </w:p>
    <w:p w14:paraId="4C34B7E2" w14:textId="77777777" w:rsidR="00431828" w:rsidRDefault="00431828" w:rsidP="00EC07F8">
      <w:pPr>
        <w:pStyle w:val="Heading3"/>
      </w:pPr>
      <w:r>
        <w:lastRenderedPageBreak/>
        <w:t>Model structure</w:t>
      </w:r>
    </w:p>
    <w:p w14:paraId="1D7F3C4F" w14:textId="77777777" w:rsidR="00431828" w:rsidRDefault="00431828" w:rsidP="00B054D0">
      <w:pPr>
        <w:pStyle w:val="BodyText"/>
        <w:rPr>
          <w:lang w:val="en-GB"/>
        </w:rPr>
      </w:pPr>
      <w:r>
        <w:rPr>
          <w:noProof/>
        </w:rPr>
        <w:drawing>
          <wp:inline distT="0" distB="0" distL="0" distR="0" wp14:anchorId="4E5F0485" wp14:editId="2E3D48AB">
            <wp:extent cx="5486400" cy="1751428"/>
            <wp:effectExtent l="0" t="0" r="0" b="1270"/>
            <wp:docPr id="1073741976" name="Picture 10737419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5486400" cy="1751428"/>
                    </a:xfrm>
                    <a:prstGeom prst="rect">
                      <a:avLst/>
                    </a:prstGeom>
                  </pic:spPr>
                </pic:pic>
              </a:graphicData>
            </a:graphic>
          </wp:inline>
        </w:drawing>
      </w:r>
    </w:p>
    <w:p w14:paraId="3539690F" w14:textId="77777777" w:rsidR="00431828" w:rsidRDefault="00431828" w:rsidP="00B054D0">
      <w:pPr>
        <w:pStyle w:val="BodyText"/>
        <w:rPr>
          <w:lang w:val="en-GB"/>
        </w:rPr>
      </w:pPr>
    </w:p>
    <w:p w14:paraId="76802D6D" w14:textId="77777777" w:rsidR="00431828" w:rsidRDefault="00431828" w:rsidP="00EC07F8">
      <w:pPr>
        <w:pStyle w:val="Heading3"/>
      </w:pPr>
      <w:r>
        <w:t>Exemplars from public company filings</w:t>
      </w:r>
    </w:p>
    <w:p w14:paraId="2E5BABA8" w14:textId="77777777" w:rsidR="00431828" w:rsidRPr="00EC07F8" w:rsidRDefault="00431828" w:rsidP="00EC07F8">
      <w:pPr>
        <w:pStyle w:val="BodyText"/>
        <w:rPr>
          <w:lang w:val="en-GB"/>
        </w:rPr>
      </w:pPr>
      <w:r>
        <w:rPr>
          <w:noProof/>
        </w:rPr>
        <w:drawing>
          <wp:inline distT="0" distB="0" distL="0" distR="0" wp14:anchorId="0019A69C" wp14:editId="73196405">
            <wp:extent cx="5486400" cy="401515"/>
            <wp:effectExtent l="0" t="0" r="0" b="0"/>
            <wp:docPr id="1073741977" name="Picture 10737419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5486400" cy="401515"/>
                    </a:xfrm>
                    <a:prstGeom prst="rect">
                      <a:avLst/>
                    </a:prstGeom>
                  </pic:spPr>
                </pic:pic>
              </a:graphicData>
            </a:graphic>
          </wp:inline>
        </w:drawing>
      </w:r>
    </w:p>
    <w:p w14:paraId="0DD505A8" w14:textId="77777777" w:rsidR="00431828" w:rsidRDefault="00431828" w:rsidP="00B054D0">
      <w:pPr>
        <w:pStyle w:val="BodyText"/>
        <w:rPr>
          <w:lang w:val="en-GB"/>
        </w:rPr>
      </w:pPr>
    </w:p>
    <w:p w14:paraId="4046A54B" w14:textId="77777777" w:rsidR="00431828" w:rsidRDefault="00431828" w:rsidP="00EC07F8">
      <w:pPr>
        <w:pStyle w:val="Heading3"/>
      </w:pPr>
      <w:r>
        <w:t>Summary of template files</w:t>
      </w:r>
    </w:p>
    <w:p w14:paraId="71400EFA" w14:textId="77777777" w:rsidR="00431828" w:rsidRDefault="00431828" w:rsidP="00B054D0">
      <w:pPr>
        <w:pStyle w:val="BodyText"/>
        <w:rPr>
          <w:lang w:val="en-GB"/>
        </w:rPr>
      </w:pPr>
      <w:r>
        <w:rPr>
          <w:noProof/>
        </w:rPr>
        <w:drawing>
          <wp:inline distT="0" distB="0" distL="0" distR="0" wp14:anchorId="301EFA3F" wp14:editId="2F730FB1">
            <wp:extent cx="5486400" cy="1045698"/>
            <wp:effectExtent l="0" t="0" r="0" b="2540"/>
            <wp:docPr id="1073741978" name="Picture 10737419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5486400" cy="1045698"/>
                    </a:xfrm>
                    <a:prstGeom prst="rect">
                      <a:avLst/>
                    </a:prstGeom>
                  </pic:spPr>
                </pic:pic>
              </a:graphicData>
            </a:graphic>
          </wp:inline>
        </w:drawing>
      </w:r>
    </w:p>
    <w:p w14:paraId="61A6917E" w14:textId="77777777" w:rsidR="00431828" w:rsidRDefault="00431828" w:rsidP="00B054D0">
      <w:pPr>
        <w:pStyle w:val="BodyText"/>
        <w:rPr>
          <w:lang w:val="en-GB"/>
        </w:rPr>
      </w:pPr>
    </w:p>
    <w:p w14:paraId="0FF2E51E" w14:textId="77777777" w:rsidR="005A7E57" w:rsidRDefault="005A7E57" w:rsidP="00B054D0">
      <w:pPr>
        <w:pStyle w:val="BodyText"/>
        <w:rPr>
          <w:lang w:val="en-GB"/>
        </w:rPr>
      </w:pPr>
    </w:p>
    <w:sectPr w:rsidR="005A7E57" w:rsidSect="00D5119C">
      <w:headerReference w:type="default" r:id="rId15"/>
      <w:footerReference w:type="default" r:id="rId16"/>
      <w:endnotePr>
        <w:numFmt w:val="decimal"/>
      </w:endnotePr>
      <w:pgSz w:w="12240" w:h="15840" w:code="1"/>
      <w:pgMar w:top="1440" w:right="1800" w:bottom="1714"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EA2DAD" w14:textId="77777777" w:rsidR="00472C90" w:rsidRDefault="00472C90">
      <w:r>
        <w:separator/>
      </w:r>
    </w:p>
  </w:endnote>
  <w:endnote w:type="continuationSeparator" w:id="0">
    <w:p w14:paraId="5D6CB7F8" w14:textId="77777777" w:rsidR="00472C90" w:rsidRDefault="00472C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vantGarde">
    <w:altName w:val="Century Gothic"/>
    <w:charset w:val="00"/>
    <w:family w:val="auto"/>
    <w:pitch w:val="default"/>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F10B79" w14:textId="77777777" w:rsidR="00E3449C" w:rsidRDefault="00117FCB">
    <w:pPr>
      <w:pStyle w:val="Footer"/>
      <w:rPr>
        <w:rFonts w:cs="Lucida Sans Unicode"/>
        <w:sz w:val="16"/>
      </w:rPr>
    </w:pPr>
    <w:r>
      <w:rPr>
        <w:noProof/>
      </w:rPr>
      <w:drawing>
        <wp:inline distT="0" distB="0" distL="0" distR="0" wp14:anchorId="407603A0" wp14:editId="0A75DBAF">
          <wp:extent cx="1302385" cy="241300"/>
          <wp:effectExtent l="0" t="0" r="0" b="6350"/>
          <wp:docPr id="2" name="Picture 2">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a:hlinkClick r:id="rId1"/>
                  </pic:cNvP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02385" cy="241300"/>
                  </a:xfrm>
                  <a:prstGeom prst="rect">
                    <a:avLst/>
                  </a:prstGeom>
                  <a:noFill/>
                  <a:ln>
                    <a:noFill/>
                  </a:ln>
                </pic:spPr>
              </pic:pic>
            </a:graphicData>
          </a:graphic>
        </wp:inline>
      </w:drawing>
    </w:r>
    <w:r>
      <w:rPr>
        <w:color w:val="000000"/>
        <w:sz w:val="16"/>
        <w:szCs w:val="16"/>
      </w:rPr>
      <w:br/>
    </w:r>
    <w:r>
      <w:rPr>
        <w:color w:val="000000"/>
        <w:sz w:val="12"/>
        <w:szCs w:val="16"/>
      </w:rPr>
      <w:t>CC0 1.0 Universal (CC0 1.0) Public Domain Dedication</w:t>
    </w:r>
    <w:r>
      <w:t xml:space="preserve"> </w:t>
    </w:r>
    <w:hyperlink r:id="rId3" w:history="1">
      <w:r>
        <w:rPr>
          <w:rStyle w:val="Hyperlink"/>
          <w:sz w:val="12"/>
          <w:szCs w:val="16"/>
        </w:rPr>
        <w:t>https://creativecommons.org/publicdomain/zero/1.0/</w:t>
      </w:r>
    </w:hyperlink>
    <w:r w:rsidR="00E3449C">
      <w:rPr>
        <w:sz w:val="12"/>
        <w:szCs w:val="16"/>
      </w:rPr>
      <w:t xml:space="preserve"> </w:t>
    </w:r>
    <w:r w:rsidR="00E3449C">
      <w:rPr>
        <w:rFonts w:cs="Lucida Sans Unicode"/>
        <w:sz w:val="16"/>
      </w:rPr>
      <w:tab/>
    </w:r>
    <w:r w:rsidR="00E3449C">
      <w:rPr>
        <w:rFonts w:cs="Lucida Sans Unicode"/>
        <w:sz w:val="16"/>
      </w:rPr>
      <w:tab/>
    </w:r>
    <w:r w:rsidR="00E3449C">
      <w:rPr>
        <w:rFonts w:cs="Lucida Sans Unicode"/>
        <w:sz w:val="16"/>
      </w:rPr>
      <w:fldChar w:fldCharType="begin"/>
    </w:r>
    <w:r w:rsidR="00E3449C">
      <w:rPr>
        <w:rFonts w:cs="Lucida Sans Unicode"/>
        <w:sz w:val="16"/>
      </w:rPr>
      <w:instrText xml:space="preserve"> PAGE </w:instrText>
    </w:r>
    <w:r w:rsidR="00E3449C">
      <w:rPr>
        <w:rFonts w:cs="Lucida Sans Unicode"/>
        <w:sz w:val="16"/>
      </w:rPr>
      <w:fldChar w:fldCharType="separate"/>
    </w:r>
    <w:r w:rsidR="004F5FCD">
      <w:rPr>
        <w:rFonts w:cs="Lucida Sans Unicode"/>
        <w:sz w:val="16"/>
      </w:rPr>
      <w:t>1</w:t>
    </w:r>
    <w:r w:rsidR="00E3449C">
      <w:rPr>
        <w:rFonts w:cs="Lucida Sans Unicode"/>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FB4F90" w14:textId="77777777" w:rsidR="00472C90" w:rsidRDefault="00472C90">
      <w:r>
        <w:separator/>
      </w:r>
    </w:p>
  </w:footnote>
  <w:footnote w:type="continuationSeparator" w:id="0">
    <w:p w14:paraId="5D724579" w14:textId="77777777" w:rsidR="00472C90" w:rsidRDefault="00472C90">
      <w:r>
        <w:continuationSeparator/>
      </w:r>
    </w:p>
  </w:footnote>
  <w:footnote w:id="1">
    <w:p w14:paraId="667971C8" w14:textId="77777777" w:rsidR="00431828" w:rsidRDefault="00431828" w:rsidP="00CB5E48">
      <w:pPr>
        <w:pStyle w:val="FootnoteText"/>
        <w:jc w:val="left"/>
      </w:pPr>
      <w:r>
        <w:rPr>
          <w:rStyle w:val="FootnoteReference"/>
        </w:rPr>
        <w:footnoteRef/>
      </w:r>
      <w:r>
        <w:t xml:space="preserve"> </w:t>
      </w:r>
      <w:r w:rsidRPr="00CB5E48">
        <w:rPr>
          <w:sz w:val="16"/>
        </w:rPr>
        <w:t>Note that a handful of templates/exemplars still use the 2013 US GAAP XBRL Taxonomy; these will eventually be updated to the 2017 taxonomy.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814560" w14:textId="14CFF133" w:rsidR="00E3449C" w:rsidRPr="00D76917" w:rsidRDefault="005A7E57" w:rsidP="007A44CD">
    <w:pPr>
      <w:pStyle w:val="Header"/>
      <w:jc w:val="center"/>
      <w:rPr>
        <w:szCs w:val="18"/>
      </w:rPr>
    </w:pPr>
    <w:r>
      <w:rPr>
        <w:smallCaps/>
        <w:sz w:val="16"/>
        <w:szCs w:val="18"/>
      </w:rPr>
      <w:t xml:space="preserve">Mastering XBRL-based </w:t>
    </w:r>
    <w:r w:rsidR="007A44CD" w:rsidRPr="00B96B67">
      <w:rPr>
        <w:smallCaps/>
        <w:sz w:val="16"/>
        <w:szCs w:val="18"/>
      </w:rPr>
      <w:t>Digital Financial Reporting – Part 4: Examples and Samples – Template Examples – Charles Hoffman, CPA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0B10AC0"/>
    <w:multiLevelType w:val="multilevel"/>
    <w:tmpl w:val="82661BBC"/>
    <w:lvl w:ilvl="0">
      <w:start w:val="1"/>
      <w:numFmt w:val="decimal"/>
      <w:pStyle w:val="Heading1"/>
      <w:lvlText w:val="%1."/>
      <w:lvlJc w:val="left"/>
      <w:pPr>
        <w:tabs>
          <w:tab w:val="num" w:pos="-360"/>
        </w:tabs>
        <w:ind w:left="-360" w:firstLine="360"/>
      </w:pPr>
      <w:rPr>
        <w:rFonts w:hint="default"/>
      </w:rPr>
    </w:lvl>
    <w:lvl w:ilvl="1">
      <w:start w:val="1"/>
      <w:numFmt w:val="decimal"/>
      <w:pStyle w:val="Heading2"/>
      <w:lvlText w:val="%1.%2."/>
      <w:lvlJc w:val="left"/>
      <w:pPr>
        <w:tabs>
          <w:tab w:val="num" w:pos="-360"/>
        </w:tabs>
        <w:ind w:left="0" w:firstLine="0"/>
      </w:pPr>
      <w:rPr>
        <w:rFonts w:hint="default"/>
      </w:rPr>
    </w:lvl>
    <w:lvl w:ilvl="2">
      <w:start w:val="1"/>
      <w:numFmt w:val="decimal"/>
      <w:pStyle w:val="Heading3"/>
      <w:lvlText w:val="%1.%2.%3."/>
      <w:lvlJc w:val="left"/>
      <w:pPr>
        <w:tabs>
          <w:tab w:val="num" w:pos="360"/>
        </w:tabs>
        <w:ind w:left="504" w:hanging="504"/>
      </w:pPr>
      <w:rPr>
        <w:rFonts w:hint="default"/>
      </w:rPr>
    </w:lvl>
    <w:lvl w:ilvl="3">
      <w:start w:val="1"/>
      <w:numFmt w:val="decimal"/>
      <w:pStyle w:val="Heading4"/>
      <w:lvlText w:val="%1.%2.%3.%4."/>
      <w:lvlJc w:val="left"/>
      <w:pPr>
        <w:tabs>
          <w:tab w:val="num" w:pos="1080"/>
        </w:tabs>
        <w:ind w:left="1008" w:hanging="648"/>
      </w:pPr>
      <w:rPr>
        <w:rFonts w:hint="default"/>
      </w:rPr>
    </w:lvl>
    <w:lvl w:ilvl="4">
      <w:start w:val="1"/>
      <w:numFmt w:val="decimal"/>
      <w:pStyle w:val="Heading5"/>
      <w:lvlText w:val="%1.%2.%3.%4.%5."/>
      <w:lvlJc w:val="left"/>
      <w:pPr>
        <w:tabs>
          <w:tab w:val="num" w:pos="1800"/>
        </w:tabs>
        <w:ind w:left="1512" w:hanging="792"/>
      </w:pPr>
      <w:rPr>
        <w:rFonts w:hint="default"/>
      </w:rPr>
    </w:lvl>
    <w:lvl w:ilvl="5">
      <w:start w:val="1"/>
      <w:numFmt w:val="decimal"/>
      <w:pStyle w:val="Heading6"/>
      <w:lvlText w:val="%1.%2.%3.%4.%5.%6."/>
      <w:lvlJc w:val="left"/>
      <w:pPr>
        <w:tabs>
          <w:tab w:val="num" w:pos="2160"/>
        </w:tabs>
        <w:ind w:left="2016" w:hanging="936"/>
      </w:pPr>
      <w:rPr>
        <w:rFonts w:hint="default"/>
      </w:rPr>
    </w:lvl>
    <w:lvl w:ilvl="6">
      <w:start w:val="1"/>
      <w:numFmt w:val="decimal"/>
      <w:lvlText w:val="%1.%2.%3.%4.%5.%6.%7."/>
      <w:lvlJc w:val="left"/>
      <w:pPr>
        <w:tabs>
          <w:tab w:val="num" w:pos="2880"/>
        </w:tabs>
        <w:ind w:left="2520" w:hanging="1080"/>
      </w:pPr>
      <w:rPr>
        <w:rFonts w:hint="default"/>
      </w:rPr>
    </w:lvl>
    <w:lvl w:ilvl="7">
      <w:start w:val="1"/>
      <w:numFmt w:val="decimal"/>
      <w:lvlText w:val="%1.%2.%3.%4.%5.%6.%7.%8."/>
      <w:lvlJc w:val="left"/>
      <w:pPr>
        <w:tabs>
          <w:tab w:val="num" w:pos="3240"/>
        </w:tabs>
        <w:ind w:left="3024" w:hanging="1224"/>
      </w:pPr>
      <w:rPr>
        <w:rFonts w:hint="default"/>
      </w:rPr>
    </w:lvl>
    <w:lvl w:ilvl="8">
      <w:start w:val="1"/>
      <w:numFmt w:val="decimal"/>
      <w:lvlText w:val="%1.%2.%3.%4.%5.%6.%7.%8.%9."/>
      <w:lvlJc w:val="left"/>
      <w:pPr>
        <w:tabs>
          <w:tab w:val="num" w:pos="3960"/>
        </w:tabs>
        <w:ind w:left="3600" w:hanging="1440"/>
      </w:pPr>
      <w:rPr>
        <w:rFonts w:hint="default"/>
      </w:r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C65EA"/>
    <w:rsid w:val="000016E6"/>
    <w:rsid w:val="00001EE5"/>
    <w:rsid w:val="000032A9"/>
    <w:rsid w:val="00005A76"/>
    <w:rsid w:val="00006482"/>
    <w:rsid w:val="00006D58"/>
    <w:rsid w:val="00007240"/>
    <w:rsid w:val="00010D7E"/>
    <w:rsid w:val="000122A0"/>
    <w:rsid w:val="000148C1"/>
    <w:rsid w:val="000155DC"/>
    <w:rsid w:val="00015684"/>
    <w:rsid w:val="000161D2"/>
    <w:rsid w:val="00016253"/>
    <w:rsid w:val="000164DB"/>
    <w:rsid w:val="00016B82"/>
    <w:rsid w:val="000177CF"/>
    <w:rsid w:val="00017BBA"/>
    <w:rsid w:val="0002109F"/>
    <w:rsid w:val="00021DCD"/>
    <w:rsid w:val="000228D3"/>
    <w:rsid w:val="00023724"/>
    <w:rsid w:val="000237CC"/>
    <w:rsid w:val="000237EB"/>
    <w:rsid w:val="00025FD5"/>
    <w:rsid w:val="00030B6D"/>
    <w:rsid w:val="00032644"/>
    <w:rsid w:val="00035771"/>
    <w:rsid w:val="000358B0"/>
    <w:rsid w:val="00035C81"/>
    <w:rsid w:val="0003759F"/>
    <w:rsid w:val="00043122"/>
    <w:rsid w:val="000434D4"/>
    <w:rsid w:val="00043E99"/>
    <w:rsid w:val="00044165"/>
    <w:rsid w:val="000443D5"/>
    <w:rsid w:val="00045251"/>
    <w:rsid w:val="0004574A"/>
    <w:rsid w:val="00045D0D"/>
    <w:rsid w:val="0004620D"/>
    <w:rsid w:val="00046CEA"/>
    <w:rsid w:val="000472AF"/>
    <w:rsid w:val="000509B7"/>
    <w:rsid w:val="00051469"/>
    <w:rsid w:val="00051908"/>
    <w:rsid w:val="0005192B"/>
    <w:rsid w:val="00051A74"/>
    <w:rsid w:val="00052000"/>
    <w:rsid w:val="000526FF"/>
    <w:rsid w:val="000528AC"/>
    <w:rsid w:val="00053768"/>
    <w:rsid w:val="00053C14"/>
    <w:rsid w:val="000546A6"/>
    <w:rsid w:val="0005514B"/>
    <w:rsid w:val="00055240"/>
    <w:rsid w:val="0005563E"/>
    <w:rsid w:val="00055F80"/>
    <w:rsid w:val="00056607"/>
    <w:rsid w:val="000570AE"/>
    <w:rsid w:val="00060120"/>
    <w:rsid w:val="000609B0"/>
    <w:rsid w:val="00061B60"/>
    <w:rsid w:val="000637EB"/>
    <w:rsid w:val="00063DBD"/>
    <w:rsid w:val="00063F84"/>
    <w:rsid w:val="000653B6"/>
    <w:rsid w:val="000659DD"/>
    <w:rsid w:val="000659E8"/>
    <w:rsid w:val="00065BD3"/>
    <w:rsid w:val="000715DD"/>
    <w:rsid w:val="00072ABF"/>
    <w:rsid w:val="00073599"/>
    <w:rsid w:val="00074E20"/>
    <w:rsid w:val="00074E5B"/>
    <w:rsid w:val="000770E7"/>
    <w:rsid w:val="00077496"/>
    <w:rsid w:val="000803CD"/>
    <w:rsid w:val="00080C5A"/>
    <w:rsid w:val="00082761"/>
    <w:rsid w:val="00084349"/>
    <w:rsid w:val="00084367"/>
    <w:rsid w:val="00084532"/>
    <w:rsid w:val="0008471D"/>
    <w:rsid w:val="00085A93"/>
    <w:rsid w:val="00086CD7"/>
    <w:rsid w:val="000902B5"/>
    <w:rsid w:val="00090664"/>
    <w:rsid w:val="000915E4"/>
    <w:rsid w:val="00096E5C"/>
    <w:rsid w:val="000A03AF"/>
    <w:rsid w:val="000A08F0"/>
    <w:rsid w:val="000A135D"/>
    <w:rsid w:val="000A2463"/>
    <w:rsid w:val="000A3DAF"/>
    <w:rsid w:val="000A408C"/>
    <w:rsid w:val="000A4F2F"/>
    <w:rsid w:val="000A6B47"/>
    <w:rsid w:val="000A7166"/>
    <w:rsid w:val="000A76D3"/>
    <w:rsid w:val="000A778C"/>
    <w:rsid w:val="000A7F97"/>
    <w:rsid w:val="000B0384"/>
    <w:rsid w:val="000B1561"/>
    <w:rsid w:val="000B1811"/>
    <w:rsid w:val="000B1A7F"/>
    <w:rsid w:val="000B1EDD"/>
    <w:rsid w:val="000B319F"/>
    <w:rsid w:val="000B320F"/>
    <w:rsid w:val="000B5569"/>
    <w:rsid w:val="000B6043"/>
    <w:rsid w:val="000B6F4E"/>
    <w:rsid w:val="000C0251"/>
    <w:rsid w:val="000C06DE"/>
    <w:rsid w:val="000C2D28"/>
    <w:rsid w:val="000C2E51"/>
    <w:rsid w:val="000C31BA"/>
    <w:rsid w:val="000C38E4"/>
    <w:rsid w:val="000C3A71"/>
    <w:rsid w:val="000C3AA2"/>
    <w:rsid w:val="000C3D77"/>
    <w:rsid w:val="000C5221"/>
    <w:rsid w:val="000C56E9"/>
    <w:rsid w:val="000C58F2"/>
    <w:rsid w:val="000C65F1"/>
    <w:rsid w:val="000C6B12"/>
    <w:rsid w:val="000C6CBB"/>
    <w:rsid w:val="000C7A92"/>
    <w:rsid w:val="000C7D1A"/>
    <w:rsid w:val="000D05F6"/>
    <w:rsid w:val="000D1438"/>
    <w:rsid w:val="000D17A6"/>
    <w:rsid w:val="000D1F0B"/>
    <w:rsid w:val="000D25AD"/>
    <w:rsid w:val="000D27AC"/>
    <w:rsid w:val="000D3601"/>
    <w:rsid w:val="000D37D0"/>
    <w:rsid w:val="000D3A04"/>
    <w:rsid w:val="000D4CF5"/>
    <w:rsid w:val="000D5414"/>
    <w:rsid w:val="000D6234"/>
    <w:rsid w:val="000D63DA"/>
    <w:rsid w:val="000D75CC"/>
    <w:rsid w:val="000E000E"/>
    <w:rsid w:val="000E0BB4"/>
    <w:rsid w:val="000E280A"/>
    <w:rsid w:val="000E2A8A"/>
    <w:rsid w:val="000E2F58"/>
    <w:rsid w:val="000E33F2"/>
    <w:rsid w:val="000E39DD"/>
    <w:rsid w:val="000E4816"/>
    <w:rsid w:val="000E5885"/>
    <w:rsid w:val="000E5A13"/>
    <w:rsid w:val="000E6454"/>
    <w:rsid w:val="000E6563"/>
    <w:rsid w:val="000E69DE"/>
    <w:rsid w:val="000E725C"/>
    <w:rsid w:val="000E760D"/>
    <w:rsid w:val="000E79D4"/>
    <w:rsid w:val="000E7EDB"/>
    <w:rsid w:val="000F0420"/>
    <w:rsid w:val="000F0570"/>
    <w:rsid w:val="000F0DD9"/>
    <w:rsid w:val="000F0EAD"/>
    <w:rsid w:val="000F249C"/>
    <w:rsid w:val="000F25BF"/>
    <w:rsid w:val="000F3253"/>
    <w:rsid w:val="000F3B30"/>
    <w:rsid w:val="000F41FF"/>
    <w:rsid w:val="000F5154"/>
    <w:rsid w:val="000F5B01"/>
    <w:rsid w:val="000F5DFD"/>
    <w:rsid w:val="000F6AF8"/>
    <w:rsid w:val="000F6D28"/>
    <w:rsid w:val="00101989"/>
    <w:rsid w:val="00101C2E"/>
    <w:rsid w:val="00102144"/>
    <w:rsid w:val="00102446"/>
    <w:rsid w:val="00102474"/>
    <w:rsid w:val="00102A68"/>
    <w:rsid w:val="00102BD9"/>
    <w:rsid w:val="001048F2"/>
    <w:rsid w:val="00104DF5"/>
    <w:rsid w:val="00104E4F"/>
    <w:rsid w:val="00104E90"/>
    <w:rsid w:val="00105961"/>
    <w:rsid w:val="0010607A"/>
    <w:rsid w:val="00106332"/>
    <w:rsid w:val="00106A41"/>
    <w:rsid w:val="00106D07"/>
    <w:rsid w:val="00106D73"/>
    <w:rsid w:val="00107C14"/>
    <w:rsid w:val="00107D24"/>
    <w:rsid w:val="0011076A"/>
    <w:rsid w:val="00111839"/>
    <w:rsid w:val="001118C7"/>
    <w:rsid w:val="001127B1"/>
    <w:rsid w:val="001146A6"/>
    <w:rsid w:val="00114B66"/>
    <w:rsid w:val="001156D1"/>
    <w:rsid w:val="00116990"/>
    <w:rsid w:val="00117313"/>
    <w:rsid w:val="00117FCB"/>
    <w:rsid w:val="001202E3"/>
    <w:rsid w:val="00120D76"/>
    <w:rsid w:val="00121AB0"/>
    <w:rsid w:val="00123CEA"/>
    <w:rsid w:val="00123F69"/>
    <w:rsid w:val="001245CE"/>
    <w:rsid w:val="0012470B"/>
    <w:rsid w:val="0012632D"/>
    <w:rsid w:val="001266F3"/>
    <w:rsid w:val="00126DD7"/>
    <w:rsid w:val="00131753"/>
    <w:rsid w:val="0013252B"/>
    <w:rsid w:val="00132B78"/>
    <w:rsid w:val="001339F4"/>
    <w:rsid w:val="00134182"/>
    <w:rsid w:val="001342E2"/>
    <w:rsid w:val="001348ED"/>
    <w:rsid w:val="00134A9C"/>
    <w:rsid w:val="0013547C"/>
    <w:rsid w:val="00135578"/>
    <w:rsid w:val="00135BA3"/>
    <w:rsid w:val="00136A53"/>
    <w:rsid w:val="00137EF0"/>
    <w:rsid w:val="001408B3"/>
    <w:rsid w:val="001418D9"/>
    <w:rsid w:val="0014285D"/>
    <w:rsid w:val="0014406C"/>
    <w:rsid w:val="001444BB"/>
    <w:rsid w:val="001446FF"/>
    <w:rsid w:val="0014473F"/>
    <w:rsid w:val="001448A2"/>
    <w:rsid w:val="00144EE2"/>
    <w:rsid w:val="00146772"/>
    <w:rsid w:val="00146ACE"/>
    <w:rsid w:val="00147103"/>
    <w:rsid w:val="001474C9"/>
    <w:rsid w:val="0014758A"/>
    <w:rsid w:val="0014770F"/>
    <w:rsid w:val="001501AA"/>
    <w:rsid w:val="0015030E"/>
    <w:rsid w:val="00150830"/>
    <w:rsid w:val="00150B2F"/>
    <w:rsid w:val="001514F1"/>
    <w:rsid w:val="00151B96"/>
    <w:rsid w:val="00152139"/>
    <w:rsid w:val="00153124"/>
    <w:rsid w:val="0015353E"/>
    <w:rsid w:val="00153F7E"/>
    <w:rsid w:val="001541E4"/>
    <w:rsid w:val="00155C8F"/>
    <w:rsid w:val="00157842"/>
    <w:rsid w:val="00160098"/>
    <w:rsid w:val="00160642"/>
    <w:rsid w:val="00160CB6"/>
    <w:rsid w:val="001613DC"/>
    <w:rsid w:val="001617B5"/>
    <w:rsid w:val="0016208B"/>
    <w:rsid w:val="0016397B"/>
    <w:rsid w:val="001646D3"/>
    <w:rsid w:val="00165318"/>
    <w:rsid w:val="0016531B"/>
    <w:rsid w:val="00166D45"/>
    <w:rsid w:val="00166F28"/>
    <w:rsid w:val="00167D35"/>
    <w:rsid w:val="0017091F"/>
    <w:rsid w:val="00170BB2"/>
    <w:rsid w:val="00171742"/>
    <w:rsid w:val="001729F1"/>
    <w:rsid w:val="00173D01"/>
    <w:rsid w:val="0017612D"/>
    <w:rsid w:val="00180AE0"/>
    <w:rsid w:val="00180CA1"/>
    <w:rsid w:val="00181043"/>
    <w:rsid w:val="00181353"/>
    <w:rsid w:val="00182624"/>
    <w:rsid w:val="001826AA"/>
    <w:rsid w:val="00183629"/>
    <w:rsid w:val="0018452F"/>
    <w:rsid w:val="00184AB8"/>
    <w:rsid w:val="001850BF"/>
    <w:rsid w:val="0018759B"/>
    <w:rsid w:val="001875E1"/>
    <w:rsid w:val="0018789E"/>
    <w:rsid w:val="00192D59"/>
    <w:rsid w:val="0019309F"/>
    <w:rsid w:val="001935CE"/>
    <w:rsid w:val="00193E70"/>
    <w:rsid w:val="00194758"/>
    <w:rsid w:val="00195144"/>
    <w:rsid w:val="001967A5"/>
    <w:rsid w:val="001968E6"/>
    <w:rsid w:val="001972EC"/>
    <w:rsid w:val="0019783E"/>
    <w:rsid w:val="0019789F"/>
    <w:rsid w:val="001979E8"/>
    <w:rsid w:val="001A00DB"/>
    <w:rsid w:val="001A017E"/>
    <w:rsid w:val="001A0462"/>
    <w:rsid w:val="001A04D7"/>
    <w:rsid w:val="001A12AC"/>
    <w:rsid w:val="001A1A39"/>
    <w:rsid w:val="001A2EB5"/>
    <w:rsid w:val="001A42FD"/>
    <w:rsid w:val="001A4EF0"/>
    <w:rsid w:val="001A5A43"/>
    <w:rsid w:val="001A743F"/>
    <w:rsid w:val="001A7FEB"/>
    <w:rsid w:val="001B0194"/>
    <w:rsid w:val="001B039A"/>
    <w:rsid w:val="001B03B1"/>
    <w:rsid w:val="001B0607"/>
    <w:rsid w:val="001B0642"/>
    <w:rsid w:val="001B070F"/>
    <w:rsid w:val="001B127A"/>
    <w:rsid w:val="001B1F81"/>
    <w:rsid w:val="001B23AD"/>
    <w:rsid w:val="001B261D"/>
    <w:rsid w:val="001B4CC0"/>
    <w:rsid w:val="001B5253"/>
    <w:rsid w:val="001B5AF7"/>
    <w:rsid w:val="001B6F98"/>
    <w:rsid w:val="001B7B73"/>
    <w:rsid w:val="001C1847"/>
    <w:rsid w:val="001C1F76"/>
    <w:rsid w:val="001C26FD"/>
    <w:rsid w:val="001C28B5"/>
    <w:rsid w:val="001C2C2F"/>
    <w:rsid w:val="001C3B82"/>
    <w:rsid w:val="001C3CDE"/>
    <w:rsid w:val="001C3FD9"/>
    <w:rsid w:val="001C55CA"/>
    <w:rsid w:val="001C5C16"/>
    <w:rsid w:val="001C683B"/>
    <w:rsid w:val="001C78A5"/>
    <w:rsid w:val="001C7B83"/>
    <w:rsid w:val="001C7E67"/>
    <w:rsid w:val="001D0CF5"/>
    <w:rsid w:val="001D12C5"/>
    <w:rsid w:val="001D18C0"/>
    <w:rsid w:val="001D1C6B"/>
    <w:rsid w:val="001D215A"/>
    <w:rsid w:val="001D3E6C"/>
    <w:rsid w:val="001D4A45"/>
    <w:rsid w:val="001D56FC"/>
    <w:rsid w:val="001D5AE5"/>
    <w:rsid w:val="001D6E0C"/>
    <w:rsid w:val="001D778C"/>
    <w:rsid w:val="001E00E3"/>
    <w:rsid w:val="001E02A4"/>
    <w:rsid w:val="001E0946"/>
    <w:rsid w:val="001E289C"/>
    <w:rsid w:val="001E33AD"/>
    <w:rsid w:val="001E3728"/>
    <w:rsid w:val="001E3B18"/>
    <w:rsid w:val="001E3FF3"/>
    <w:rsid w:val="001E4CAB"/>
    <w:rsid w:val="001E65C3"/>
    <w:rsid w:val="001E6D6A"/>
    <w:rsid w:val="001E7225"/>
    <w:rsid w:val="001E7D7D"/>
    <w:rsid w:val="001F0088"/>
    <w:rsid w:val="001F1654"/>
    <w:rsid w:val="001F1DC5"/>
    <w:rsid w:val="001F5F20"/>
    <w:rsid w:val="001F70AB"/>
    <w:rsid w:val="001F71BB"/>
    <w:rsid w:val="001F7223"/>
    <w:rsid w:val="001F725F"/>
    <w:rsid w:val="001F7538"/>
    <w:rsid w:val="001F77AC"/>
    <w:rsid w:val="001F7CBF"/>
    <w:rsid w:val="00200D5A"/>
    <w:rsid w:val="00201438"/>
    <w:rsid w:val="0020177A"/>
    <w:rsid w:val="00201BED"/>
    <w:rsid w:val="0020332C"/>
    <w:rsid w:val="002039E0"/>
    <w:rsid w:val="00203FFF"/>
    <w:rsid w:val="0020439B"/>
    <w:rsid w:val="002047F4"/>
    <w:rsid w:val="002048EF"/>
    <w:rsid w:val="00205A4A"/>
    <w:rsid w:val="00206186"/>
    <w:rsid w:val="002063A7"/>
    <w:rsid w:val="00207321"/>
    <w:rsid w:val="00207FCA"/>
    <w:rsid w:val="00211BAF"/>
    <w:rsid w:val="00211D4D"/>
    <w:rsid w:val="00212028"/>
    <w:rsid w:val="002120C0"/>
    <w:rsid w:val="0021234D"/>
    <w:rsid w:val="00212AB2"/>
    <w:rsid w:val="00212B48"/>
    <w:rsid w:val="00213647"/>
    <w:rsid w:val="00213A35"/>
    <w:rsid w:val="002140EE"/>
    <w:rsid w:val="00214CEE"/>
    <w:rsid w:val="00214EE0"/>
    <w:rsid w:val="00216137"/>
    <w:rsid w:val="002165D8"/>
    <w:rsid w:val="002172E2"/>
    <w:rsid w:val="00217664"/>
    <w:rsid w:val="00217B38"/>
    <w:rsid w:val="00217FDA"/>
    <w:rsid w:val="00220A1A"/>
    <w:rsid w:val="00220D88"/>
    <w:rsid w:val="00222661"/>
    <w:rsid w:val="00222D5C"/>
    <w:rsid w:val="0022341C"/>
    <w:rsid w:val="0022341F"/>
    <w:rsid w:val="00223708"/>
    <w:rsid w:val="00223BAE"/>
    <w:rsid w:val="0022543F"/>
    <w:rsid w:val="002254FB"/>
    <w:rsid w:val="002268C6"/>
    <w:rsid w:val="00226B4C"/>
    <w:rsid w:val="00227501"/>
    <w:rsid w:val="00230B99"/>
    <w:rsid w:val="00231E24"/>
    <w:rsid w:val="00231EC4"/>
    <w:rsid w:val="00231FD0"/>
    <w:rsid w:val="0023200D"/>
    <w:rsid w:val="00232868"/>
    <w:rsid w:val="00232F1A"/>
    <w:rsid w:val="00233B37"/>
    <w:rsid w:val="00233F3C"/>
    <w:rsid w:val="0023604C"/>
    <w:rsid w:val="00236541"/>
    <w:rsid w:val="00237F73"/>
    <w:rsid w:val="002401AA"/>
    <w:rsid w:val="00240961"/>
    <w:rsid w:val="00240C65"/>
    <w:rsid w:val="00241485"/>
    <w:rsid w:val="00241637"/>
    <w:rsid w:val="00242029"/>
    <w:rsid w:val="002423E9"/>
    <w:rsid w:val="002427D3"/>
    <w:rsid w:val="002435C0"/>
    <w:rsid w:val="00243CC7"/>
    <w:rsid w:val="002473B6"/>
    <w:rsid w:val="00247A70"/>
    <w:rsid w:val="00250A74"/>
    <w:rsid w:val="002513A8"/>
    <w:rsid w:val="00252745"/>
    <w:rsid w:val="00252781"/>
    <w:rsid w:val="00252A99"/>
    <w:rsid w:val="00252EC9"/>
    <w:rsid w:val="002532C6"/>
    <w:rsid w:val="00253EAC"/>
    <w:rsid w:val="00254B13"/>
    <w:rsid w:val="00254E06"/>
    <w:rsid w:val="00256677"/>
    <w:rsid w:val="00257142"/>
    <w:rsid w:val="00260B48"/>
    <w:rsid w:val="00260B4F"/>
    <w:rsid w:val="00260F61"/>
    <w:rsid w:val="00261416"/>
    <w:rsid w:val="00261FC2"/>
    <w:rsid w:val="002622EF"/>
    <w:rsid w:val="002623DC"/>
    <w:rsid w:val="002624B9"/>
    <w:rsid w:val="00262590"/>
    <w:rsid w:val="002633B3"/>
    <w:rsid w:val="002663E0"/>
    <w:rsid w:val="00266920"/>
    <w:rsid w:val="00266EB7"/>
    <w:rsid w:val="00267127"/>
    <w:rsid w:val="00271937"/>
    <w:rsid w:val="00272DCD"/>
    <w:rsid w:val="00272EB8"/>
    <w:rsid w:val="002732C5"/>
    <w:rsid w:val="002732FC"/>
    <w:rsid w:val="00273E52"/>
    <w:rsid w:val="002743B9"/>
    <w:rsid w:val="00274953"/>
    <w:rsid w:val="00275B1D"/>
    <w:rsid w:val="00275DD8"/>
    <w:rsid w:val="00275F2D"/>
    <w:rsid w:val="002774AB"/>
    <w:rsid w:val="002800B3"/>
    <w:rsid w:val="002817D2"/>
    <w:rsid w:val="00281C32"/>
    <w:rsid w:val="002821E6"/>
    <w:rsid w:val="00282296"/>
    <w:rsid w:val="002827AC"/>
    <w:rsid w:val="00282A89"/>
    <w:rsid w:val="002858A2"/>
    <w:rsid w:val="00285FE4"/>
    <w:rsid w:val="00287743"/>
    <w:rsid w:val="00287B9D"/>
    <w:rsid w:val="00290E4B"/>
    <w:rsid w:val="002910DA"/>
    <w:rsid w:val="002920B0"/>
    <w:rsid w:val="00293F8A"/>
    <w:rsid w:val="00294EB5"/>
    <w:rsid w:val="002953B4"/>
    <w:rsid w:val="00297554"/>
    <w:rsid w:val="002A039F"/>
    <w:rsid w:val="002A1407"/>
    <w:rsid w:val="002A23E1"/>
    <w:rsid w:val="002A2A90"/>
    <w:rsid w:val="002A338D"/>
    <w:rsid w:val="002A3FF3"/>
    <w:rsid w:val="002A438E"/>
    <w:rsid w:val="002A476C"/>
    <w:rsid w:val="002A4AFA"/>
    <w:rsid w:val="002A65F6"/>
    <w:rsid w:val="002A68B7"/>
    <w:rsid w:val="002A735D"/>
    <w:rsid w:val="002B0111"/>
    <w:rsid w:val="002B07A3"/>
    <w:rsid w:val="002B128A"/>
    <w:rsid w:val="002B1611"/>
    <w:rsid w:val="002B24EB"/>
    <w:rsid w:val="002B27B4"/>
    <w:rsid w:val="002B2B45"/>
    <w:rsid w:val="002B2E2D"/>
    <w:rsid w:val="002B31E6"/>
    <w:rsid w:val="002B3262"/>
    <w:rsid w:val="002B378A"/>
    <w:rsid w:val="002B43F6"/>
    <w:rsid w:val="002B49C8"/>
    <w:rsid w:val="002B56C2"/>
    <w:rsid w:val="002B5729"/>
    <w:rsid w:val="002B5D05"/>
    <w:rsid w:val="002B641C"/>
    <w:rsid w:val="002B673F"/>
    <w:rsid w:val="002B69F3"/>
    <w:rsid w:val="002B6FC2"/>
    <w:rsid w:val="002B70C4"/>
    <w:rsid w:val="002B72A6"/>
    <w:rsid w:val="002B7370"/>
    <w:rsid w:val="002B7576"/>
    <w:rsid w:val="002B781C"/>
    <w:rsid w:val="002B7BA8"/>
    <w:rsid w:val="002C01FA"/>
    <w:rsid w:val="002C556A"/>
    <w:rsid w:val="002C5CC9"/>
    <w:rsid w:val="002C689C"/>
    <w:rsid w:val="002C6D02"/>
    <w:rsid w:val="002C730C"/>
    <w:rsid w:val="002D0954"/>
    <w:rsid w:val="002D0A4F"/>
    <w:rsid w:val="002D1431"/>
    <w:rsid w:val="002D1AE4"/>
    <w:rsid w:val="002D1D9A"/>
    <w:rsid w:val="002D2081"/>
    <w:rsid w:val="002D224B"/>
    <w:rsid w:val="002D23FF"/>
    <w:rsid w:val="002D2A6E"/>
    <w:rsid w:val="002D2CA5"/>
    <w:rsid w:val="002D3449"/>
    <w:rsid w:val="002D369E"/>
    <w:rsid w:val="002D377B"/>
    <w:rsid w:val="002D3806"/>
    <w:rsid w:val="002D7667"/>
    <w:rsid w:val="002D79A3"/>
    <w:rsid w:val="002D7D6D"/>
    <w:rsid w:val="002E219A"/>
    <w:rsid w:val="002E2566"/>
    <w:rsid w:val="002E3BCB"/>
    <w:rsid w:val="002E415E"/>
    <w:rsid w:val="002E439D"/>
    <w:rsid w:val="002E55A9"/>
    <w:rsid w:val="002E5C91"/>
    <w:rsid w:val="002E5CE1"/>
    <w:rsid w:val="002E65F8"/>
    <w:rsid w:val="002E6CA9"/>
    <w:rsid w:val="002F04C1"/>
    <w:rsid w:val="002F04DD"/>
    <w:rsid w:val="002F1B0B"/>
    <w:rsid w:val="002F3C0E"/>
    <w:rsid w:val="002F7580"/>
    <w:rsid w:val="002F7668"/>
    <w:rsid w:val="0030085C"/>
    <w:rsid w:val="00301BEB"/>
    <w:rsid w:val="003023BC"/>
    <w:rsid w:val="00303C53"/>
    <w:rsid w:val="00304C3B"/>
    <w:rsid w:val="00305E80"/>
    <w:rsid w:val="00306109"/>
    <w:rsid w:val="003063F6"/>
    <w:rsid w:val="0030708B"/>
    <w:rsid w:val="003071DC"/>
    <w:rsid w:val="00307CD1"/>
    <w:rsid w:val="00310E5A"/>
    <w:rsid w:val="003112C0"/>
    <w:rsid w:val="00312076"/>
    <w:rsid w:val="00312858"/>
    <w:rsid w:val="00312865"/>
    <w:rsid w:val="003129E7"/>
    <w:rsid w:val="00313244"/>
    <w:rsid w:val="00313410"/>
    <w:rsid w:val="0031425E"/>
    <w:rsid w:val="003147FF"/>
    <w:rsid w:val="003148BA"/>
    <w:rsid w:val="00315366"/>
    <w:rsid w:val="003165AE"/>
    <w:rsid w:val="00316705"/>
    <w:rsid w:val="00317161"/>
    <w:rsid w:val="00317A66"/>
    <w:rsid w:val="00317CDD"/>
    <w:rsid w:val="00317D0F"/>
    <w:rsid w:val="0032009C"/>
    <w:rsid w:val="00320140"/>
    <w:rsid w:val="0032076B"/>
    <w:rsid w:val="003210D6"/>
    <w:rsid w:val="003222D6"/>
    <w:rsid w:val="00322899"/>
    <w:rsid w:val="003253A2"/>
    <w:rsid w:val="00325F6D"/>
    <w:rsid w:val="00326864"/>
    <w:rsid w:val="003271B2"/>
    <w:rsid w:val="003303B8"/>
    <w:rsid w:val="003304A5"/>
    <w:rsid w:val="003307DC"/>
    <w:rsid w:val="003316BB"/>
    <w:rsid w:val="00331FD6"/>
    <w:rsid w:val="003322FB"/>
    <w:rsid w:val="0033460F"/>
    <w:rsid w:val="003350AD"/>
    <w:rsid w:val="00335DC2"/>
    <w:rsid w:val="0033698F"/>
    <w:rsid w:val="00336AFA"/>
    <w:rsid w:val="00336BBE"/>
    <w:rsid w:val="00336F98"/>
    <w:rsid w:val="00337F7F"/>
    <w:rsid w:val="0034007F"/>
    <w:rsid w:val="00341617"/>
    <w:rsid w:val="00341882"/>
    <w:rsid w:val="00342534"/>
    <w:rsid w:val="00342813"/>
    <w:rsid w:val="00343786"/>
    <w:rsid w:val="00343A03"/>
    <w:rsid w:val="00343C95"/>
    <w:rsid w:val="0034576A"/>
    <w:rsid w:val="003461A9"/>
    <w:rsid w:val="0034688C"/>
    <w:rsid w:val="00347B58"/>
    <w:rsid w:val="00347D5A"/>
    <w:rsid w:val="003510F8"/>
    <w:rsid w:val="0035237F"/>
    <w:rsid w:val="00352814"/>
    <w:rsid w:val="003530E0"/>
    <w:rsid w:val="003537D9"/>
    <w:rsid w:val="0035389D"/>
    <w:rsid w:val="0035416D"/>
    <w:rsid w:val="00354E31"/>
    <w:rsid w:val="003558C4"/>
    <w:rsid w:val="00356EFB"/>
    <w:rsid w:val="00360618"/>
    <w:rsid w:val="003606A3"/>
    <w:rsid w:val="00360702"/>
    <w:rsid w:val="00361C80"/>
    <w:rsid w:val="00361F69"/>
    <w:rsid w:val="003627F7"/>
    <w:rsid w:val="00362B10"/>
    <w:rsid w:val="00364979"/>
    <w:rsid w:val="003650D3"/>
    <w:rsid w:val="00366FC6"/>
    <w:rsid w:val="003674C4"/>
    <w:rsid w:val="00367911"/>
    <w:rsid w:val="00370DB3"/>
    <w:rsid w:val="003728A5"/>
    <w:rsid w:val="00372B29"/>
    <w:rsid w:val="00373F73"/>
    <w:rsid w:val="00374273"/>
    <w:rsid w:val="00376989"/>
    <w:rsid w:val="003772C5"/>
    <w:rsid w:val="00380546"/>
    <w:rsid w:val="0038110F"/>
    <w:rsid w:val="00381499"/>
    <w:rsid w:val="00382BCF"/>
    <w:rsid w:val="00382F24"/>
    <w:rsid w:val="00383938"/>
    <w:rsid w:val="00383AB6"/>
    <w:rsid w:val="00383ACA"/>
    <w:rsid w:val="00385162"/>
    <w:rsid w:val="00385AFE"/>
    <w:rsid w:val="003862B3"/>
    <w:rsid w:val="003876E1"/>
    <w:rsid w:val="00387A35"/>
    <w:rsid w:val="00390128"/>
    <w:rsid w:val="00393B7D"/>
    <w:rsid w:val="003951FC"/>
    <w:rsid w:val="0039544B"/>
    <w:rsid w:val="00395ED4"/>
    <w:rsid w:val="00396C0C"/>
    <w:rsid w:val="003A1B5C"/>
    <w:rsid w:val="003A1F82"/>
    <w:rsid w:val="003A20C0"/>
    <w:rsid w:val="003A2E5F"/>
    <w:rsid w:val="003A313C"/>
    <w:rsid w:val="003A45B9"/>
    <w:rsid w:val="003A6D77"/>
    <w:rsid w:val="003B0237"/>
    <w:rsid w:val="003B059E"/>
    <w:rsid w:val="003B1518"/>
    <w:rsid w:val="003B1D68"/>
    <w:rsid w:val="003B1F7A"/>
    <w:rsid w:val="003B2899"/>
    <w:rsid w:val="003B29F5"/>
    <w:rsid w:val="003B3219"/>
    <w:rsid w:val="003B3812"/>
    <w:rsid w:val="003B4170"/>
    <w:rsid w:val="003B41E8"/>
    <w:rsid w:val="003B466F"/>
    <w:rsid w:val="003B5961"/>
    <w:rsid w:val="003B72E2"/>
    <w:rsid w:val="003C08EB"/>
    <w:rsid w:val="003C0A8D"/>
    <w:rsid w:val="003C1AC1"/>
    <w:rsid w:val="003C251D"/>
    <w:rsid w:val="003C2F6F"/>
    <w:rsid w:val="003C3260"/>
    <w:rsid w:val="003C466C"/>
    <w:rsid w:val="003C46C0"/>
    <w:rsid w:val="003C5816"/>
    <w:rsid w:val="003C6792"/>
    <w:rsid w:val="003D1918"/>
    <w:rsid w:val="003D1AF3"/>
    <w:rsid w:val="003D29B9"/>
    <w:rsid w:val="003D2FB1"/>
    <w:rsid w:val="003D446C"/>
    <w:rsid w:val="003D5470"/>
    <w:rsid w:val="003D55B1"/>
    <w:rsid w:val="003D5780"/>
    <w:rsid w:val="003D66D2"/>
    <w:rsid w:val="003D753B"/>
    <w:rsid w:val="003E01E7"/>
    <w:rsid w:val="003E0479"/>
    <w:rsid w:val="003E2BFB"/>
    <w:rsid w:val="003E3038"/>
    <w:rsid w:val="003E305D"/>
    <w:rsid w:val="003E3BE0"/>
    <w:rsid w:val="003E4110"/>
    <w:rsid w:val="003E4C31"/>
    <w:rsid w:val="003E6B4D"/>
    <w:rsid w:val="003E6D92"/>
    <w:rsid w:val="003E7AAF"/>
    <w:rsid w:val="003E7AF9"/>
    <w:rsid w:val="003E7D16"/>
    <w:rsid w:val="003F0138"/>
    <w:rsid w:val="003F27C5"/>
    <w:rsid w:val="003F2908"/>
    <w:rsid w:val="003F33C9"/>
    <w:rsid w:val="003F595B"/>
    <w:rsid w:val="003F5F4B"/>
    <w:rsid w:val="0040052D"/>
    <w:rsid w:val="004009B7"/>
    <w:rsid w:val="004011F7"/>
    <w:rsid w:val="00401C47"/>
    <w:rsid w:val="00402F09"/>
    <w:rsid w:val="00403D69"/>
    <w:rsid w:val="00403DD9"/>
    <w:rsid w:val="00404236"/>
    <w:rsid w:val="00404586"/>
    <w:rsid w:val="0040500A"/>
    <w:rsid w:val="00410188"/>
    <w:rsid w:val="00412805"/>
    <w:rsid w:val="00413500"/>
    <w:rsid w:val="00413AAB"/>
    <w:rsid w:val="004142DF"/>
    <w:rsid w:val="004147EF"/>
    <w:rsid w:val="00415667"/>
    <w:rsid w:val="00415D84"/>
    <w:rsid w:val="00416606"/>
    <w:rsid w:val="004168AC"/>
    <w:rsid w:val="00416EFC"/>
    <w:rsid w:val="00417313"/>
    <w:rsid w:val="0041739F"/>
    <w:rsid w:val="0042128B"/>
    <w:rsid w:val="00421A4E"/>
    <w:rsid w:val="00422130"/>
    <w:rsid w:val="0042274D"/>
    <w:rsid w:val="00422E9A"/>
    <w:rsid w:val="00422F82"/>
    <w:rsid w:val="00423220"/>
    <w:rsid w:val="004240FA"/>
    <w:rsid w:val="004251B6"/>
    <w:rsid w:val="004253DE"/>
    <w:rsid w:val="00426F9E"/>
    <w:rsid w:val="0042729C"/>
    <w:rsid w:val="00427719"/>
    <w:rsid w:val="00430B8A"/>
    <w:rsid w:val="00431828"/>
    <w:rsid w:val="004334FC"/>
    <w:rsid w:val="004345FE"/>
    <w:rsid w:val="004354DB"/>
    <w:rsid w:val="004357A0"/>
    <w:rsid w:val="0043581C"/>
    <w:rsid w:val="00437172"/>
    <w:rsid w:val="004371DF"/>
    <w:rsid w:val="00437239"/>
    <w:rsid w:val="00437941"/>
    <w:rsid w:val="00437DEE"/>
    <w:rsid w:val="00441B72"/>
    <w:rsid w:val="00443008"/>
    <w:rsid w:val="004433D9"/>
    <w:rsid w:val="004445B7"/>
    <w:rsid w:val="004455A0"/>
    <w:rsid w:val="0044669C"/>
    <w:rsid w:val="00447A27"/>
    <w:rsid w:val="004507CD"/>
    <w:rsid w:val="00451C32"/>
    <w:rsid w:val="00451C53"/>
    <w:rsid w:val="00452D90"/>
    <w:rsid w:val="00452F30"/>
    <w:rsid w:val="00452F72"/>
    <w:rsid w:val="0045363B"/>
    <w:rsid w:val="00453FC0"/>
    <w:rsid w:val="004548FA"/>
    <w:rsid w:val="00454A73"/>
    <w:rsid w:val="00454DC5"/>
    <w:rsid w:val="0045565A"/>
    <w:rsid w:val="00456212"/>
    <w:rsid w:val="00457634"/>
    <w:rsid w:val="00460FF9"/>
    <w:rsid w:val="0046199A"/>
    <w:rsid w:val="00461AAA"/>
    <w:rsid w:val="00462BA7"/>
    <w:rsid w:val="00464893"/>
    <w:rsid w:val="00465102"/>
    <w:rsid w:val="00466104"/>
    <w:rsid w:val="004664A8"/>
    <w:rsid w:val="00466CC3"/>
    <w:rsid w:val="0047006B"/>
    <w:rsid w:val="0047079E"/>
    <w:rsid w:val="00470D83"/>
    <w:rsid w:val="00470EB2"/>
    <w:rsid w:val="0047205B"/>
    <w:rsid w:val="00472C90"/>
    <w:rsid w:val="0047322D"/>
    <w:rsid w:val="0047373B"/>
    <w:rsid w:val="00473ECD"/>
    <w:rsid w:val="0047758E"/>
    <w:rsid w:val="004777E5"/>
    <w:rsid w:val="00477C9D"/>
    <w:rsid w:val="00477E29"/>
    <w:rsid w:val="00480BC6"/>
    <w:rsid w:val="00480D86"/>
    <w:rsid w:val="004820D7"/>
    <w:rsid w:val="0048240E"/>
    <w:rsid w:val="004827A6"/>
    <w:rsid w:val="00482A74"/>
    <w:rsid w:val="00482E23"/>
    <w:rsid w:val="00483011"/>
    <w:rsid w:val="004832EF"/>
    <w:rsid w:val="00483827"/>
    <w:rsid w:val="00484CA5"/>
    <w:rsid w:val="00485129"/>
    <w:rsid w:val="00485776"/>
    <w:rsid w:val="00485B87"/>
    <w:rsid w:val="0048631B"/>
    <w:rsid w:val="00486E95"/>
    <w:rsid w:val="00487B7D"/>
    <w:rsid w:val="00487F13"/>
    <w:rsid w:val="00490A07"/>
    <w:rsid w:val="00490ECB"/>
    <w:rsid w:val="004917F9"/>
    <w:rsid w:val="00491A02"/>
    <w:rsid w:val="004923CD"/>
    <w:rsid w:val="00494040"/>
    <w:rsid w:val="004949B3"/>
    <w:rsid w:val="00495EB7"/>
    <w:rsid w:val="00495FE1"/>
    <w:rsid w:val="004961E7"/>
    <w:rsid w:val="00496570"/>
    <w:rsid w:val="0049671E"/>
    <w:rsid w:val="004973EA"/>
    <w:rsid w:val="00497CB6"/>
    <w:rsid w:val="004A0446"/>
    <w:rsid w:val="004A1168"/>
    <w:rsid w:val="004A1697"/>
    <w:rsid w:val="004A1928"/>
    <w:rsid w:val="004A1A39"/>
    <w:rsid w:val="004A1FB7"/>
    <w:rsid w:val="004A246A"/>
    <w:rsid w:val="004A24F1"/>
    <w:rsid w:val="004A38E9"/>
    <w:rsid w:val="004A3A2F"/>
    <w:rsid w:val="004A3EC7"/>
    <w:rsid w:val="004A44EB"/>
    <w:rsid w:val="004A5601"/>
    <w:rsid w:val="004A5CFE"/>
    <w:rsid w:val="004A5DBF"/>
    <w:rsid w:val="004A6DC4"/>
    <w:rsid w:val="004A6DDE"/>
    <w:rsid w:val="004B12B4"/>
    <w:rsid w:val="004B140D"/>
    <w:rsid w:val="004B3820"/>
    <w:rsid w:val="004B3979"/>
    <w:rsid w:val="004B51D5"/>
    <w:rsid w:val="004B6B40"/>
    <w:rsid w:val="004B76C3"/>
    <w:rsid w:val="004C0909"/>
    <w:rsid w:val="004C0B19"/>
    <w:rsid w:val="004C1607"/>
    <w:rsid w:val="004C1928"/>
    <w:rsid w:val="004C234F"/>
    <w:rsid w:val="004C34D9"/>
    <w:rsid w:val="004C34E4"/>
    <w:rsid w:val="004C3CE8"/>
    <w:rsid w:val="004C3D7A"/>
    <w:rsid w:val="004C3E6C"/>
    <w:rsid w:val="004C440A"/>
    <w:rsid w:val="004C4672"/>
    <w:rsid w:val="004C5280"/>
    <w:rsid w:val="004C5616"/>
    <w:rsid w:val="004C5961"/>
    <w:rsid w:val="004C5B85"/>
    <w:rsid w:val="004C5EC3"/>
    <w:rsid w:val="004C6BDA"/>
    <w:rsid w:val="004C75F6"/>
    <w:rsid w:val="004C77D6"/>
    <w:rsid w:val="004D06F4"/>
    <w:rsid w:val="004D083D"/>
    <w:rsid w:val="004D091B"/>
    <w:rsid w:val="004D16BD"/>
    <w:rsid w:val="004D1C87"/>
    <w:rsid w:val="004D2116"/>
    <w:rsid w:val="004D315A"/>
    <w:rsid w:val="004D37F6"/>
    <w:rsid w:val="004D3B10"/>
    <w:rsid w:val="004D47A2"/>
    <w:rsid w:val="004D498B"/>
    <w:rsid w:val="004D499F"/>
    <w:rsid w:val="004D54F6"/>
    <w:rsid w:val="004D5992"/>
    <w:rsid w:val="004D7760"/>
    <w:rsid w:val="004D79CB"/>
    <w:rsid w:val="004E13C7"/>
    <w:rsid w:val="004E18EF"/>
    <w:rsid w:val="004E1AB5"/>
    <w:rsid w:val="004E2623"/>
    <w:rsid w:val="004E406C"/>
    <w:rsid w:val="004E6A16"/>
    <w:rsid w:val="004E6A6A"/>
    <w:rsid w:val="004E6AB9"/>
    <w:rsid w:val="004E7041"/>
    <w:rsid w:val="004E766F"/>
    <w:rsid w:val="004F2131"/>
    <w:rsid w:val="004F2ED4"/>
    <w:rsid w:val="004F3B83"/>
    <w:rsid w:val="004F4AD0"/>
    <w:rsid w:val="004F4B53"/>
    <w:rsid w:val="004F4FDC"/>
    <w:rsid w:val="004F57C9"/>
    <w:rsid w:val="004F5A9E"/>
    <w:rsid w:val="004F5E6B"/>
    <w:rsid w:val="004F5FCD"/>
    <w:rsid w:val="004F624A"/>
    <w:rsid w:val="004F6432"/>
    <w:rsid w:val="004F75F9"/>
    <w:rsid w:val="0050045A"/>
    <w:rsid w:val="00500DA1"/>
    <w:rsid w:val="005037B2"/>
    <w:rsid w:val="0050407F"/>
    <w:rsid w:val="00504C3E"/>
    <w:rsid w:val="00505226"/>
    <w:rsid w:val="00505C72"/>
    <w:rsid w:val="0050731C"/>
    <w:rsid w:val="00507655"/>
    <w:rsid w:val="0051035E"/>
    <w:rsid w:val="00510B8A"/>
    <w:rsid w:val="00510DA0"/>
    <w:rsid w:val="00511E51"/>
    <w:rsid w:val="00512DA3"/>
    <w:rsid w:val="005137C3"/>
    <w:rsid w:val="005138C1"/>
    <w:rsid w:val="0051468A"/>
    <w:rsid w:val="00514690"/>
    <w:rsid w:val="005149FC"/>
    <w:rsid w:val="00515CE6"/>
    <w:rsid w:val="00515E01"/>
    <w:rsid w:val="00516152"/>
    <w:rsid w:val="00517428"/>
    <w:rsid w:val="005202A9"/>
    <w:rsid w:val="00521E2E"/>
    <w:rsid w:val="00522A69"/>
    <w:rsid w:val="005235EF"/>
    <w:rsid w:val="00524785"/>
    <w:rsid w:val="00525679"/>
    <w:rsid w:val="005258A2"/>
    <w:rsid w:val="0052601A"/>
    <w:rsid w:val="0052635F"/>
    <w:rsid w:val="00527A64"/>
    <w:rsid w:val="00527E30"/>
    <w:rsid w:val="005305E3"/>
    <w:rsid w:val="00530A6A"/>
    <w:rsid w:val="00531627"/>
    <w:rsid w:val="00531AA6"/>
    <w:rsid w:val="00531DFB"/>
    <w:rsid w:val="00532E6D"/>
    <w:rsid w:val="00533616"/>
    <w:rsid w:val="005338AB"/>
    <w:rsid w:val="005346B3"/>
    <w:rsid w:val="005346DC"/>
    <w:rsid w:val="00535A8E"/>
    <w:rsid w:val="00535AAE"/>
    <w:rsid w:val="0053623A"/>
    <w:rsid w:val="005368A7"/>
    <w:rsid w:val="005378B0"/>
    <w:rsid w:val="00537D49"/>
    <w:rsid w:val="005411E0"/>
    <w:rsid w:val="005418F1"/>
    <w:rsid w:val="00542486"/>
    <w:rsid w:val="005427A3"/>
    <w:rsid w:val="0054290A"/>
    <w:rsid w:val="00542B5E"/>
    <w:rsid w:val="00543255"/>
    <w:rsid w:val="00543948"/>
    <w:rsid w:val="00544556"/>
    <w:rsid w:val="0054463C"/>
    <w:rsid w:val="005446AA"/>
    <w:rsid w:val="00544BD6"/>
    <w:rsid w:val="00546951"/>
    <w:rsid w:val="005472B4"/>
    <w:rsid w:val="0055278E"/>
    <w:rsid w:val="0055389D"/>
    <w:rsid w:val="00554858"/>
    <w:rsid w:val="005549FC"/>
    <w:rsid w:val="00555D78"/>
    <w:rsid w:val="0056029B"/>
    <w:rsid w:val="00560832"/>
    <w:rsid w:val="00560AA3"/>
    <w:rsid w:val="00560C1C"/>
    <w:rsid w:val="00560D39"/>
    <w:rsid w:val="00561ACF"/>
    <w:rsid w:val="00561E1D"/>
    <w:rsid w:val="0056261B"/>
    <w:rsid w:val="00563162"/>
    <w:rsid w:val="00563254"/>
    <w:rsid w:val="00563658"/>
    <w:rsid w:val="00563FCE"/>
    <w:rsid w:val="00564C0E"/>
    <w:rsid w:val="00565FB8"/>
    <w:rsid w:val="00566255"/>
    <w:rsid w:val="005668EB"/>
    <w:rsid w:val="00567158"/>
    <w:rsid w:val="0057023F"/>
    <w:rsid w:val="00570FB6"/>
    <w:rsid w:val="005711ED"/>
    <w:rsid w:val="00571257"/>
    <w:rsid w:val="00571579"/>
    <w:rsid w:val="0057508A"/>
    <w:rsid w:val="00575B78"/>
    <w:rsid w:val="00576EA8"/>
    <w:rsid w:val="005801D5"/>
    <w:rsid w:val="00580ED9"/>
    <w:rsid w:val="0058103F"/>
    <w:rsid w:val="00582B54"/>
    <w:rsid w:val="00582F06"/>
    <w:rsid w:val="00583BCE"/>
    <w:rsid w:val="005840D6"/>
    <w:rsid w:val="005848EA"/>
    <w:rsid w:val="00585BE2"/>
    <w:rsid w:val="005868E2"/>
    <w:rsid w:val="00587162"/>
    <w:rsid w:val="00587276"/>
    <w:rsid w:val="0058728D"/>
    <w:rsid w:val="005872FA"/>
    <w:rsid w:val="005877AB"/>
    <w:rsid w:val="00587811"/>
    <w:rsid w:val="00587FF9"/>
    <w:rsid w:val="0059002B"/>
    <w:rsid w:val="0059082A"/>
    <w:rsid w:val="00590FCD"/>
    <w:rsid w:val="00592468"/>
    <w:rsid w:val="00592C07"/>
    <w:rsid w:val="00593E1C"/>
    <w:rsid w:val="005941E1"/>
    <w:rsid w:val="00594FB2"/>
    <w:rsid w:val="00595CF9"/>
    <w:rsid w:val="005A001D"/>
    <w:rsid w:val="005A045F"/>
    <w:rsid w:val="005A1495"/>
    <w:rsid w:val="005A1D05"/>
    <w:rsid w:val="005A1FF4"/>
    <w:rsid w:val="005A2156"/>
    <w:rsid w:val="005A273C"/>
    <w:rsid w:val="005A2852"/>
    <w:rsid w:val="005A2DFA"/>
    <w:rsid w:val="005A3621"/>
    <w:rsid w:val="005A3946"/>
    <w:rsid w:val="005A5245"/>
    <w:rsid w:val="005A55C4"/>
    <w:rsid w:val="005A59B0"/>
    <w:rsid w:val="005A747B"/>
    <w:rsid w:val="005A78CF"/>
    <w:rsid w:val="005A7960"/>
    <w:rsid w:val="005A7E57"/>
    <w:rsid w:val="005B01EC"/>
    <w:rsid w:val="005B0412"/>
    <w:rsid w:val="005B1205"/>
    <w:rsid w:val="005B1513"/>
    <w:rsid w:val="005B238D"/>
    <w:rsid w:val="005B3CEE"/>
    <w:rsid w:val="005B4222"/>
    <w:rsid w:val="005B46E3"/>
    <w:rsid w:val="005B507B"/>
    <w:rsid w:val="005B548E"/>
    <w:rsid w:val="005B58E2"/>
    <w:rsid w:val="005B5CAA"/>
    <w:rsid w:val="005B691B"/>
    <w:rsid w:val="005B6F80"/>
    <w:rsid w:val="005B75B2"/>
    <w:rsid w:val="005B7811"/>
    <w:rsid w:val="005B79EC"/>
    <w:rsid w:val="005C020D"/>
    <w:rsid w:val="005C1200"/>
    <w:rsid w:val="005C12AF"/>
    <w:rsid w:val="005C166A"/>
    <w:rsid w:val="005C3ADE"/>
    <w:rsid w:val="005C4D16"/>
    <w:rsid w:val="005C4D91"/>
    <w:rsid w:val="005C561F"/>
    <w:rsid w:val="005C5900"/>
    <w:rsid w:val="005C5D1E"/>
    <w:rsid w:val="005C6164"/>
    <w:rsid w:val="005D03FC"/>
    <w:rsid w:val="005D12D3"/>
    <w:rsid w:val="005D194F"/>
    <w:rsid w:val="005D217A"/>
    <w:rsid w:val="005D2457"/>
    <w:rsid w:val="005D30F6"/>
    <w:rsid w:val="005D4E64"/>
    <w:rsid w:val="005D6D75"/>
    <w:rsid w:val="005D723A"/>
    <w:rsid w:val="005D7B3E"/>
    <w:rsid w:val="005E0B75"/>
    <w:rsid w:val="005E1A49"/>
    <w:rsid w:val="005E3E4B"/>
    <w:rsid w:val="005E45EB"/>
    <w:rsid w:val="005E509D"/>
    <w:rsid w:val="005E5153"/>
    <w:rsid w:val="005E633D"/>
    <w:rsid w:val="005E6E38"/>
    <w:rsid w:val="005F0E27"/>
    <w:rsid w:val="005F1B1D"/>
    <w:rsid w:val="005F22BB"/>
    <w:rsid w:val="005F3696"/>
    <w:rsid w:val="005F383F"/>
    <w:rsid w:val="005F3D04"/>
    <w:rsid w:val="005F4053"/>
    <w:rsid w:val="005F430A"/>
    <w:rsid w:val="005F4492"/>
    <w:rsid w:val="005F490B"/>
    <w:rsid w:val="005F5381"/>
    <w:rsid w:val="005F5640"/>
    <w:rsid w:val="005F640B"/>
    <w:rsid w:val="005F70F8"/>
    <w:rsid w:val="005F7171"/>
    <w:rsid w:val="005F7C5D"/>
    <w:rsid w:val="00600E72"/>
    <w:rsid w:val="0060190B"/>
    <w:rsid w:val="00602070"/>
    <w:rsid w:val="006026E2"/>
    <w:rsid w:val="00602C44"/>
    <w:rsid w:val="00602E26"/>
    <w:rsid w:val="00603434"/>
    <w:rsid w:val="006034E7"/>
    <w:rsid w:val="00603AA2"/>
    <w:rsid w:val="00604BE6"/>
    <w:rsid w:val="00605440"/>
    <w:rsid w:val="006062D0"/>
    <w:rsid w:val="006104A0"/>
    <w:rsid w:val="006105C9"/>
    <w:rsid w:val="00610CF1"/>
    <w:rsid w:val="00611F5D"/>
    <w:rsid w:val="006129EF"/>
    <w:rsid w:val="006133BB"/>
    <w:rsid w:val="006133DE"/>
    <w:rsid w:val="00613E87"/>
    <w:rsid w:val="00614734"/>
    <w:rsid w:val="0061501D"/>
    <w:rsid w:val="00615CD2"/>
    <w:rsid w:val="00616E42"/>
    <w:rsid w:val="006178E2"/>
    <w:rsid w:val="00617CF5"/>
    <w:rsid w:val="0062140F"/>
    <w:rsid w:val="006225DA"/>
    <w:rsid w:val="006229EC"/>
    <w:rsid w:val="00623329"/>
    <w:rsid w:val="006233B0"/>
    <w:rsid w:val="00623A62"/>
    <w:rsid w:val="00623C78"/>
    <w:rsid w:val="00624607"/>
    <w:rsid w:val="00624C94"/>
    <w:rsid w:val="00624E35"/>
    <w:rsid w:val="00625A14"/>
    <w:rsid w:val="006265A6"/>
    <w:rsid w:val="00626A84"/>
    <w:rsid w:val="0062792A"/>
    <w:rsid w:val="0063048D"/>
    <w:rsid w:val="00632687"/>
    <w:rsid w:val="0063274A"/>
    <w:rsid w:val="006342CA"/>
    <w:rsid w:val="006344DD"/>
    <w:rsid w:val="00634E98"/>
    <w:rsid w:val="00635EB8"/>
    <w:rsid w:val="00636C60"/>
    <w:rsid w:val="0063743D"/>
    <w:rsid w:val="00641C5F"/>
    <w:rsid w:val="006425DB"/>
    <w:rsid w:val="00645692"/>
    <w:rsid w:val="00645A01"/>
    <w:rsid w:val="00645D39"/>
    <w:rsid w:val="00645F33"/>
    <w:rsid w:val="00646631"/>
    <w:rsid w:val="00646B46"/>
    <w:rsid w:val="00646CFF"/>
    <w:rsid w:val="006474B4"/>
    <w:rsid w:val="00650D9C"/>
    <w:rsid w:val="00650E5E"/>
    <w:rsid w:val="00651B55"/>
    <w:rsid w:val="00652E60"/>
    <w:rsid w:val="006530B0"/>
    <w:rsid w:val="00653185"/>
    <w:rsid w:val="006540EA"/>
    <w:rsid w:val="006546ED"/>
    <w:rsid w:val="00654A49"/>
    <w:rsid w:val="00654AEF"/>
    <w:rsid w:val="0065630A"/>
    <w:rsid w:val="00657DE7"/>
    <w:rsid w:val="0066076A"/>
    <w:rsid w:val="00660849"/>
    <w:rsid w:val="00661596"/>
    <w:rsid w:val="0066223A"/>
    <w:rsid w:val="00663CE1"/>
    <w:rsid w:val="00665B88"/>
    <w:rsid w:val="00665FEA"/>
    <w:rsid w:val="006667F8"/>
    <w:rsid w:val="00666986"/>
    <w:rsid w:val="00666C43"/>
    <w:rsid w:val="00666EBB"/>
    <w:rsid w:val="00667261"/>
    <w:rsid w:val="00667611"/>
    <w:rsid w:val="006700DF"/>
    <w:rsid w:val="006732E7"/>
    <w:rsid w:val="0067348E"/>
    <w:rsid w:val="00675016"/>
    <w:rsid w:val="006750D2"/>
    <w:rsid w:val="00675FC3"/>
    <w:rsid w:val="006765FF"/>
    <w:rsid w:val="0067718F"/>
    <w:rsid w:val="00677E70"/>
    <w:rsid w:val="00677FA0"/>
    <w:rsid w:val="006816C1"/>
    <w:rsid w:val="00681B06"/>
    <w:rsid w:val="00681D5F"/>
    <w:rsid w:val="00681F1F"/>
    <w:rsid w:val="006827E7"/>
    <w:rsid w:val="006835E3"/>
    <w:rsid w:val="006844EA"/>
    <w:rsid w:val="00684655"/>
    <w:rsid w:val="006847B5"/>
    <w:rsid w:val="00684C6D"/>
    <w:rsid w:val="00684FB1"/>
    <w:rsid w:val="00685D05"/>
    <w:rsid w:val="0068727A"/>
    <w:rsid w:val="00687302"/>
    <w:rsid w:val="00690FE1"/>
    <w:rsid w:val="00692F4A"/>
    <w:rsid w:val="006933CC"/>
    <w:rsid w:val="00693AA0"/>
    <w:rsid w:val="0069418B"/>
    <w:rsid w:val="00694555"/>
    <w:rsid w:val="00694BED"/>
    <w:rsid w:val="00695197"/>
    <w:rsid w:val="00696801"/>
    <w:rsid w:val="006969BE"/>
    <w:rsid w:val="00696E03"/>
    <w:rsid w:val="00696FC4"/>
    <w:rsid w:val="006A192D"/>
    <w:rsid w:val="006A27E6"/>
    <w:rsid w:val="006A31B6"/>
    <w:rsid w:val="006A38BA"/>
    <w:rsid w:val="006A4182"/>
    <w:rsid w:val="006A4412"/>
    <w:rsid w:val="006A4511"/>
    <w:rsid w:val="006A46E0"/>
    <w:rsid w:val="006A589A"/>
    <w:rsid w:val="006A5EC9"/>
    <w:rsid w:val="006A6D0E"/>
    <w:rsid w:val="006A6D75"/>
    <w:rsid w:val="006A73D6"/>
    <w:rsid w:val="006A750D"/>
    <w:rsid w:val="006A7A66"/>
    <w:rsid w:val="006B0B95"/>
    <w:rsid w:val="006B1D1C"/>
    <w:rsid w:val="006B1DBD"/>
    <w:rsid w:val="006B1EBE"/>
    <w:rsid w:val="006B29D6"/>
    <w:rsid w:val="006B2C55"/>
    <w:rsid w:val="006B30CE"/>
    <w:rsid w:val="006B3191"/>
    <w:rsid w:val="006B4074"/>
    <w:rsid w:val="006B52C9"/>
    <w:rsid w:val="006B5AF1"/>
    <w:rsid w:val="006B677A"/>
    <w:rsid w:val="006B6E4A"/>
    <w:rsid w:val="006B742F"/>
    <w:rsid w:val="006C0202"/>
    <w:rsid w:val="006C0347"/>
    <w:rsid w:val="006C0A88"/>
    <w:rsid w:val="006C11CA"/>
    <w:rsid w:val="006C1503"/>
    <w:rsid w:val="006C16A5"/>
    <w:rsid w:val="006C17DD"/>
    <w:rsid w:val="006C3933"/>
    <w:rsid w:val="006C5863"/>
    <w:rsid w:val="006C5DF3"/>
    <w:rsid w:val="006C6392"/>
    <w:rsid w:val="006C6BF6"/>
    <w:rsid w:val="006C73E4"/>
    <w:rsid w:val="006C7B84"/>
    <w:rsid w:val="006D2C7C"/>
    <w:rsid w:val="006D3754"/>
    <w:rsid w:val="006D41AD"/>
    <w:rsid w:val="006D434D"/>
    <w:rsid w:val="006D4898"/>
    <w:rsid w:val="006D4ED4"/>
    <w:rsid w:val="006D562A"/>
    <w:rsid w:val="006D6CE3"/>
    <w:rsid w:val="006E0025"/>
    <w:rsid w:val="006E0B25"/>
    <w:rsid w:val="006E0FEB"/>
    <w:rsid w:val="006E24A2"/>
    <w:rsid w:val="006E3251"/>
    <w:rsid w:val="006E3576"/>
    <w:rsid w:val="006E40F7"/>
    <w:rsid w:val="006E450F"/>
    <w:rsid w:val="006E6484"/>
    <w:rsid w:val="006E75E7"/>
    <w:rsid w:val="006F0242"/>
    <w:rsid w:val="006F02A3"/>
    <w:rsid w:val="006F10A3"/>
    <w:rsid w:val="006F1EA3"/>
    <w:rsid w:val="006F22B9"/>
    <w:rsid w:val="006F60C0"/>
    <w:rsid w:val="006F64A4"/>
    <w:rsid w:val="006F6CE7"/>
    <w:rsid w:val="007000DB"/>
    <w:rsid w:val="00700674"/>
    <w:rsid w:val="00700BA3"/>
    <w:rsid w:val="007016FD"/>
    <w:rsid w:val="00701CD8"/>
    <w:rsid w:val="00702C9F"/>
    <w:rsid w:val="00703EBF"/>
    <w:rsid w:val="00704279"/>
    <w:rsid w:val="007056F3"/>
    <w:rsid w:val="00706E7C"/>
    <w:rsid w:val="00707560"/>
    <w:rsid w:val="0070761E"/>
    <w:rsid w:val="007079DD"/>
    <w:rsid w:val="00707D5E"/>
    <w:rsid w:val="00710A7D"/>
    <w:rsid w:val="00711DB8"/>
    <w:rsid w:val="00712DAD"/>
    <w:rsid w:val="00714417"/>
    <w:rsid w:val="007152D7"/>
    <w:rsid w:val="0071650D"/>
    <w:rsid w:val="00716730"/>
    <w:rsid w:val="00716FA2"/>
    <w:rsid w:val="00717FA3"/>
    <w:rsid w:val="00720782"/>
    <w:rsid w:val="007209E2"/>
    <w:rsid w:val="00720AB0"/>
    <w:rsid w:val="00722DEE"/>
    <w:rsid w:val="00723716"/>
    <w:rsid w:val="007238E5"/>
    <w:rsid w:val="00723BB3"/>
    <w:rsid w:val="00723E45"/>
    <w:rsid w:val="0072423E"/>
    <w:rsid w:val="00725349"/>
    <w:rsid w:val="007257FC"/>
    <w:rsid w:val="00726063"/>
    <w:rsid w:val="007266C8"/>
    <w:rsid w:val="007267C8"/>
    <w:rsid w:val="00726855"/>
    <w:rsid w:val="00727470"/>
    <w:rsid w:val="007315DF"/>
    <w:rsid w:val="007322BF"/>
    <w:rsid w:val="00733B6A"/>
    <w:rsid w:val="0073412B"/>
    <w:rsid w:val="007348FB"/>
    <w:rsid w:val="00734903"/>
    <w:rsid w:val="00734930"/>
    <w:rsid w:val="007350C9"/>
    <w:rsid w:val="0073617C"/>
    <w:rsid w:val="007367C5"/>
    <w:rsid w:val="00736D13"/>
    <w:rsid w:val="007370DB"/>
    <w:rsid w:val="007371D6"/>
    <w:rsid w:val="0073797C"/>
    <w:rsid w:val="0074000D"/>
    <w:rsid w:val="007403F1"/>
    <w:rsid w:val="00740CB3"/>
    <w:rsid w:val="0074163B"/>
    <w:rsid w:val="00742C6E"/>
    <w:rsid w:val="00743180"/>
    <w:rsid w:val="0074328A"/>
    <w:rsid w:val="0074342B"/>
    <w:rsid w:val="0074380A"/>
    <w:rsid w:val="00744B19"/>
    <w:rsid w:val="00746075"/>
    <w:rsid w:val="0074613B"/>
    <w:rsid w:val="00746E65"/>
    <w:rsid w:val="00746ED3"/>
    <w:rsid w:val="00750CA1"/>
    <w:rsid w:val="00751CA6"/>
    <w:rsid w:val="0075242F"/>
    <w:rsid w:val="007524FE"/>
    <w:rsid w:val="00753061"/>
    <w:rsid w:val="00753F7C"/>
    <w:rsid w:val="00753FEA"/>
    <w:rsid w:val="007544B3"/>
    <w:rsid w:val="00755F78"/>
    <w:rsid w:val="00756928"/>
    <w:rsid w:val="007573C9"/>
    <w:rsid w:val="00760A27"/>
    <w:rsid w:val="00761382"/>
    <w:rsid w:val="007614CB"/>
    <w:rsid w:val="007618C0"/>
    <w:rsid w:val="00761F7E"/>
    <w:rsid w:val="007621AA"/>
    <w:rsid w:val="00762C43"/>
    <w:rsid w:val="0076400C"/>
    <w:rsid w:val="007645D1"/>
    <w:rsid w:val="00764892"/>
    <w:rsid w:val="0076499F"/>
    <w:rsid w:val="00765580"/>
    <w:rsid w:val="00765FFF"/>
    <w:rsid w:val="00767558"/>
    <w:rsid w:val="007700C8"/>
    <w:rsid w:val="0077013F"/>
    <w:rsid w:val="0077026C"/>
    <w:rsid w:val="00770678"/>
    <w:rsid w:val="00770FC4"/>
    <w:rsid w:val="00771143"/>
    <w:rsid w:val="00771930"/>
    <w:rsid w:val="00771D89"/>
    <w:rsid w:val="007720F6"/>
    <w:rsid w:val="00772156"/>
    <w:rsid w:val="00773745"/>
    <w:rsid w:val="00774667"/>
    <w:rsid w:val="00774DF3"/>
    <w:rsid w:val="0077585C"/>
    <w:rsid w:val="00776CDE"/>
    <w:rsid w:val="00776E30"/>
    <w:rsid w:val="00776F3D"/>
    <w:rsid w:val="0078165D"/>
    <w:rsid w:val="00781E74"/>
    <w:rsid w:val="00782DA7"/>
    <w:rsid w:val="00782F3D"/>
    <w:rsid w:val="00783AAC"/>
    <w:rsid w:val="0078489C"/>
    <w:rsid w:val="00784EC2"/>
    <w:rsid w:val="00786FB5"/>
    <w:rsid w:val="00787592"/>
    <w:rsid w:val="0078783B"/>
    <w:rsid w:val="00787CA6"/>
    <w:rsid w:val="00787E30"/>
    <w:rsid w:val="00787E9D"/>
    <w:rsid w:val="00790622"/>
    <w:rsid w:val="00792E90"/>
    <w:rsid w:val="007938C7"/>
    <w:rsid w:val="00794C3D"/>
    <w:rsid w:val="00794FFF"/>
    <w:rsid w:val="007958CD"/>
    <w:rsid w:val="00796254"/>
    <w:rsid w:val="007968D5"/>
    <w:rsid w:val="00797A9C"/>
    <w:rsid w:val="007A080F"/>
    <w:rsid w:val="007A0F32"/>
    <w:rsid w:val="007A14EE"/>
    <w:rsid w:val="007A1ED4"/>
    <w:rsid w:val="007A240A"/>
    <w:rsid w:val="007A2513"/>
    <w:rsid w:val="007A2A8B"/>
    <w:rsid w:val="007A2B34"/>
    <w:rsid w:val="007A44CD"/>
    <w:rsid w:val="007A47A0"/>
    <w:rsid w:val="007A5F11"/>
    <w:rsid w:val="007A7227"/>
    <w:rsid w:val="007B2565"/>
    <w:rsid w:val="007B2C1C"/>
    <w:rsid w:val="007B3281"/>
    <w:rsid w:val="007B40B5"/>
    <w:rsid w:val="007B444B"/>
    <w:rsid w:val="007B4837"/>
    <w:rsid w:val="007B5824"/>
    <w:rsid w:val="007B635D"/>
    <w:rsid w:val="007B692E"/>
    <w:rsid w:val="007B6C60"/>
    <w:rsid w:val="007B74D3"/>
    <w:rsid w:val="007B7CA9"/>
    <w:rsid w:val="007C2318"/>
    <w:rsid w:val="007C2760"/>
    <w:rsid w:val="007C27C3"/>
    <w:rsid w:val="007C32DB"/>
    <w:rsid w:val="007C3E54"/>
    <w:rsid w:val="007C437A"/>
    <w:rsid w:val="007C76AD"/>
    <w:rsid w:val="007D01E1"/>
    <w:rsid w:val="007D4279"/>
    <w:rsid w:val="007D6AC0"/>
    <w:rsid w:val="007D7B8E"/>
    <w:rsid w:val="007D7C2A"/>
    <w:rsid w:val="007E054C"/>
    <w:rsid w:val="007E18F3"/>
    <w:rsid w:val="007E24D6"/>
    <w:rsid w:val="007E25AB"/>
    <w:rsid w:val="007E3E57"/>
    <w:rsid w:val="007E432C"/>
    <w:rsid w:val="007E5021"/>
    <w:rsid w:val="007E5250"/>
    <w:rsid w:val="007E567C"/>
    <w:rsid w:val="007E573F"/>
    <w:rsid w:val="007F0556"/>
    <w:rsid w:val="007F09C0"/>
    <w:rsid w:val="007F12E8"/>
    <w:rsid w:val="007F16D8"/>
    <w:rsid w:val="007F24B6"/>
    <w:rsid w:val="007F3612"/>
    <w:rsid w:val="007F5650"/>
    <w:rsid w:val="007F56E4"/>
    <w:rsid w:val="007F5A27"/>
    <w:rsid w:val="007F663A"/>
    <w:rsid w:val="007F7B78"/>
    <w:rsid w:val="0080077C"/>
    <w:rsid w:val="00801145"/>
    <w:rsid w:val="008015E1"/>
    <w:rsid w:val="008015E3"/>
    <w:rsid w:val="0080165E"/>
    <w:rsid w:val="00802516"/>
    <w:rsid w:val="00803D42"/>
    <w:rsid w:val="00805533"/>
    <w:rsid w:val="00807A5D"/>
    <w:rsid w:val="00807B7D"/>
    <w:rsid w:val="00807D7C"/>
    <w:rsid w:val="00811542"/>
    <w:rsid w:val="00811D94"/>
    <w:rsid w:val="008123DC"/>
    <w:rsid w:val="00813543"/>
    <w:rsid w:val="00813F3E"/>
    <w:rsid w:val="00813FA9"/>
    <w:rsid w:val="00814004"/>
    <w:rsid w:val="0081524F"/>
    <w:rsid w:val="00815E44"/>
    <w:rsid w:val="0081690B"/>
    <w:rsid w:val="008175B3"/>
    <w:rsid w:val="00817C9C"/>
    <w:rsid w:val="00820F6F"/>
    <w:rsid w:val="0082104B"/>
    <w:rsid w:val="0082233E"/>
    <w:rsid w:val="00822D51"/>
    <w:rsid w:val="00822F73"/>
    <w:rsid w:val="008235CA"/>
    <w:rsid w:val="00823E27"/>
    <w:rsid w:val="00825BFA"/>
    <w:rsid w:val="00825C60"/>
    <w:rsid w:val="00826BF5"/>
    <w:rsid w:val="00827413"/>
    <w:rsid w:val="00830EBF"/>
    <w:rsid w:val="00832082"/>
    <w:rsid w:val="00832A40"/>
    <w:rsid w:val="0083321A"/>
    <w:rsid w:val="00835F93"/>
    <w:rsid w:val="0083630F"/>
    <w:rsid w:val="00836A2A"/>
    <w:rsid w:val="00836ED2"/>
    <w:rsid w:val="0083725D"/>
    <w:rsid w:val="008402A6"/>
    <w:rsid w:val="00840F29"/>
    <w:rsid w:val="00841EB1"/>
    <w:rsid w:val="0084230A"/>
    <w:rsid w:val="00842B7C"/>
    <w:rsid w:val="00842ECB"/>
    <w:rsid w:val="00843ED4"/>
    <w:rsid w:val="00847FEF"/>
    <w:rsid w:val="00850D39"/>
    <w:rsid w:val="008521BF"/>
    <w:rsid w:val="00852DA3"/>
    <w:rsid w:val="0085361B"/>
    <w:rsid w:val="00853769"/>
    <w:rsid w:val="00854359"/>
    <w:rsid w:val="00856316"/>
    <w:rsid w:val="008604C2"/>
    <w:rsid w:val="00860995"/>
    <w:rsid w:val="00862739"/>
    <w:rsid w:val="00863257"/>
    <w:rsid w:val="00863BB5"/>
    <w:rsid w:val="00864221"/>
    <w:rsid w:val="008643CE"/>
    <w:rsid w:val="0086447D"/>
    <w:rsid w:val="00865843"/>
    <w:rsid w:val="008664C8"/>
    <w:rsid w:val="00866E37"/>
    <w:rsid w:val="00866FF4"/>
    <w:rsid w:val="008671A1"/>
    <w:rsid w:val="0086721F"/>
    <w:rsid w:val="008679F3"/>
    <w:rsid w:val="0087019C"/>
    <w:rsid w:val="0087034E"/>
    <w:rsid w:val="00870494"/>
    <w:rsid w:val="00870C8B"/>
    <w:rsid w:val="00871649"/>
    <w:rsid w:val="00872EBB"/>
    <w:rsid w:val="00873534"/>
    <w:rsid w:val="00873578"/>
    <w:rsid w:val="0087389D"/>
    <w:rsid w:val="008741A2"/>
    <w:rsid w:val="008761C6"/>
    <w:rsid w:val="008775D5"/>
    <w:rsid w:val="00877F6B"/>
    <w:rsid w:val="00880F23"/>
    <w:rsid w:val="00880FB0"/>
    <w:rsid w:val="0088121F"/>
    <w:rsid w:val="008819C8"/>
    <w:rsid w:val="00882C5B"/>
    <w:rsid w:val="00885561"/>
    <w:rsid w:val="00885880"/>
    <w:rsid w:val="00885D09"/>
    <w:rsid w:val="00886BCF"/>
    <w:rsid w:val="00887DDB"/>
    <w:rsid w:val="0089019B"/>
    <w:rsid w:val="00890AA6"/>
    <w:rsid w:val="008934AC"/>
    <w:rsid w:val="00893BB2"/>
    <w:rsid w:val="00896034"/>
    <w:rsid w:val="00896490"/>
    <w:rsid w:val="00896990"/>
    <w:rsid w:val="00897919"/>
    <w:rsid w:val="008A0242"/>
    <w:rsid w:val="008A2A4C"/>
    <w:rsid w:val="008A3E02"/>
    <w:rsid w:val="008A49D1"/>
    <w:rsid w:val="008A4D43"/>
    <w:rsid w:val="008A59B7"/>
    <w:rsid w:val="008A629D"/>
    <w:rsid w:val="008A6549"/>
    <w:rsid w:val="008A6B0F"/>
    <w:rsid w:val="008B057F"/>
    <w:rsid w:val="008B0D43"/>
    <w:rsid w:val="008B13A6"/>
    <w:rsid w:val="008B2C8B"/>
    <w:rsid w:val="008B2F4A"/>
    <w:rsid w:val="008B3F62"/>
    <w:rsid w:val="008B48B2"/>
    <w:rsid w:val="008B7C5D"/>
    <w:rsid w:val="008C2250"/>
    <w:rsid w:val="008C22BD"/>
    <w:rsid w:val="008C2522"/>
    <w:rsid w:val="008C3660"/>
    <w:rsid w:val="008C525F"/>
    <w:rsid w:val="008C63A4"/>
    <w:rsid w:val="008C7182"/>
    <w:rsid w:val="008D010D"/>
    <w:rsid w:val="008D0BD0"/>
    <w:rsid w:val="008D164B"/>
    <w:rsid w:val="008D1920"/>
    <w:rsid w:val="008D2EC7"/>
    <w:rsid w:val="008D3C79"/>
    <w:rsid w:val="008D42E3"/>
    <w:rsid w:val="008D5108"/>
    <w:rsid w:val="008D5497"/>
    <w:rsid w:val="008D6835"/>
    <w:rsid w:val="008D698B"/>
    <w:rsid w:val="008D69EB"/>
    <w:rsid w:val="008D7834"/>
    <w:rsid w:val="008D7CC1"/>
    <w:rsid w:val="008D7D95"/>
    <w:rsid w:val="008E25B3"/>
    <w:rsid w:val="008E291C"/>
    <w:rsid w:val="008E3EE3"/>
    <w:rsid w:val="008E5096"/>
    <w:rsid w:val="008E5682"/>
    <w:rsid w:val="008E570A"/>
    <w:rsid w:val="008E5813"/>
    <w:rsid w:val="008E63A6"/>
    <w:rsid w:val="008E6900"/>
    <w:rsid w:val="008E6ADB"/>
    <w:rsid w:val="008F0890"/>
    <w:rsid w:val="008F15B5"/>
    <w:rsid w:val="008F18BC"/>
    <w:rsid w:val="008F2C5E"/>
    <w:rsid w:val="008F2DE8"/>
    <w:rsid w:val="008F325D"/>
    <w:rsid w:val="008F5D38"/>
    <w:rsid w:val="008F5EB1"/>
    <w:rsid w:val="008F6461"/>
    <w:rsid w:val="008F671D"/>
    <w:rsid w:val="008F6D80"/>
    <w:rsid w:val="008F6E17"/>
    <w:rsid w:val="009007C5"/>
    <w:rsid w:val="00901A98"/>
    <w:rsid w:val="00901F78"/>
    <w:rsid w:val="009022A6"/>
    <w:rsid w:val="0090271A"/>
    <w:rsid w:val="00902C30"/>
    <w:rsid w:val="00903F05"/>
    <w:rsid w:val="00905C31"/>
    <w:rsid w:val="00906313"/>
    <w:rsid w:val="00907F9A"/>
    <w:rsid w:val="009100B1"/>
    <w:rsid w:val="00910EDF"/>
    <w:rsid w:val="00911F34"/>
    <w:rsid w:val="00913162"/>
    <w:rsid w:val="00913804"/>
    <w:rsid w:val="0091572C"/>
    <w:rsid w:val="00915E5E"/>
    <w:rsid w:val="00916D91"/>
    <w:rsid w:val="009172B1"/>
    <w:rsid w:val="009175E9"/>
    <w:rsid w:val="00920384"/>
    <w:rsid w:val="0092076B"/>
    <w:rsid w:val="00920CEA"/>
    <w:rsid w:val="00920D5F"/>
    <w:rsid w:val="009221E1"/>
    <w:rsid w:val="00922E46"/>
    <w:rsid w:val="009231A4"/>
    <w:rsid w:val="009259DF"/>
    <w:rsid w:val="0092707D"/>
    <w:rsid w:val="0092782D"/>
    <w:rsid w:val="009303DF"/>
    <w:rsid w:val="0093099C"/>
    <w:rsid w:val="00931B14"/>
    <w:rsid w:val="009337F2"/>
    <w:rsid w:val="00933CB9"/>
    <w:rsid w:val="00935985"/>
    <w:rsid w:val="00935CAF"/>
    <w:rsid w:val="009362F1"/>
    <w:rsid w:val="00936513"/>
    <w:rsid w:val="009365CE"/>
    <w:rsid w:val="0093771B"/>
    <w:rsid w:val="00940773"/>
    <w:rsid w:val="00940A88"/>
    <w:rsid w:val="00941396"/>
    <w:rsid w:val="0094398E"/>
    <w:rsid w:val="00943B26"/>
    <w:rsid w:val="00944C9A"/>
    <w:rsid w:val="00944DC7"/>
    <w:rsid w:val="009459C9"/>
    <w:rsid w:val="00946D97"/>
    <w:rsid w:val="00946E07"/>
    <w:rsid w:val="00950F53"/>
    <w:rsid w:val="00951E30"/>
    <w:rsid w:val="00951FA4"/>
    <w:rsid w:val="009525ED"/>
    <w:rsid w:val="00952BB5"/>
    <w:rsid w:val="00952CED"/>
    <w:rsid w:val="0095339A"/>
    <w:rsid w:val="009538DD"/>
    <w:rsid w:val="00955B54"/>
    <w:rsid w:val="00955DBE"/>
    <w:rsid w:val="00956571"/>
    <w:rsid w:val="009575B6"/>
    <w:rsid w:val="0095793C"/>
    <w:rsid w:val="0096106C"/>
    <w:rsid w:val="00961A92"/>
    <w:rsid w:val="00962127"/>
    <w:rsid w:val="009626AC"/>
    <w:rsid w:val="00962913"/>
    <w:rsid w:val="00962DCE"/>
    <w:rsid w:val="00963056"/>
    <w:rsid w:val="009642D2"/>
    <w:rsid w:val="0096451E"/>
    <w:rsid w:val="00965EDA"/>
    <w:rsid w:val="00966A32"/>
    <w:rsid w:val="00966E74"/>
    <w:rsid w:val="0097031A"/>
    <w:rsid w:val="00970B7F"/>
    <w:rsid w:val="00970D35"/>
    <w:rsid w:val="00970D5A"/>
    <w:rsid w:val="00971581"/>
    <w:rsid w:val="009718AE"/>
    <w:rsid w:val="009719FE"/>
    <w:rsid w:val="00972591"/>
    <w:rsid w:val="009725E9"/>
    <w:rsid w:val="009738C3"/>
    <w:rsid w:val="00975C75"/>
    <w:rsid w:val="00980FE3"/>
    <w:rsid w:val="00981F02"/>
    <w:rsid w:val="009821EC"/>
    <w:rsid w:val="00982B88"/>
    <w:rsid w:val="00984178"/>
    <w:rsid w:val="009843BE"/>
    <w:rsid w:val="00985977"/>
    <w:rsid w:val="00985C26"/>
    <w:rsid w:val="009866A6"/>
    <w:rsid w:val="00987251"/>
    <w:rsid w:val="00990C68"/>
    <w:rsid w:val="00991EF5"/>
    <w:rsid w:val="00992211"/>
    <w:rsid w:val="00992C30"/>
    <w:rsid w:val="00992EA9"/>
    <w:rsid w:val="009930E3"/>
    <w:rsid w:val="009933F5"/>
    <w:rsid w:val="00993A2F"/>
    <w:rsid w:val="00993C3F"/>
    <w:rsid w:val="00993F18"/>
    <w:rsid w:val="00994032"/>
    <w:rsid w:val="00994FF3"/>
    <w:rsid w:val="0099593A"/>
    <w:rsid w:val="00995F20"/>
    <w:rsid w:val="009960A1"/>
    <w:rsid w:val="00996D2E"/>
    <w:rsid w:val="00996D35"/>
    <w:rsid w:val="00996F8B"/>
    <w:rsid w:val="009A131B"/>
    <w:rsid w:val="009A1A32"/>
    <w:rsid w:val="009A22FC"/>
    <w:rsid w:val="009A2BEF"/>
    <w:rsid w:val="009A2DB6"/>
    <w:rsid w:val="009A33CC"/>
    <w:rsid w:val="009A36D4"/>
    <w:rsid w:val="009A40E8"/>
    <w:rsid w:val="009A40F7"/>
    <w:rsid w:val="009A48DC"/>
    <w:rsid w:val="009A5C37"/>
    <w:rsid w:val="009A77E3"/>
    <w:rsid w:val="009B145F"/>
    <w:rsid w:val="009B19A8"/>
    <w:rsid w:val="009B34DF"/>
    <w:rsid w:val="009B3B4F"/>
    <w:rsid w:val="009B3F1A"/>
    <w:rsid w:val="009B463F"/>
    <w:rsid w:val="009B4919"/>
    <w:rsid w:val="009B4A0E"/>
    <w:rsid w:val="009B5429"/>
    <w:rsid w:val="009B590D"/>
    <w:rsid w:val="009B5C65"/>
    <w:rsid w:val="009B68DE"/>
    <w:rsid w:val="009B6911"/>
    <w:rsid w:val="009B7001"/>
    <w:rsid w:val="009B7092"/>
    <w:rsid w:val="009B7601"/>
    <w:rsid w:val="009C0992"/>
    <w:rsid w:val="009C1622"/>
    <w:rsid w:val="009C270B"/>
    <w:rsid w:val="009C2DBF"/>
    <w:rsid w:val="009C38F6"/>
    <w:rsid w:val="009C3B14"/>
    <w:rsid w:val="009C42DE"/>
    <w:rsid w:val="009C44BA"/>
    <w:rsid w:val="009C4E91"/>
    <w:rsid w:val="009C510E"/>
    <w:rsid w:val="009C7529"/>
    <w:rsid w:val="009D0A52"/>
    <w:rsid w:val="009D0DD9"/>
    <w:rsid w:val="009D27B6"/>
    <w:rsid w:val="009D2CAF"/>
    <w:rsid w:val="009D37DE"/>
    <w:rsid w:val="009D472A"/>
    <w:rsid w:val="009D492F"/>
    <w:rsid w:val="009D6421"/>
    <w:rsid w:val="009D6C87"/>
    <w:rsid w:val="009E061C"/>
    <w:rsid w:val="009E27B7"/>
    <w:rsid w:val="009E2DD3"/>
    <w:rsid w:val="009E3A78"/>
    <w:rsid w:val="009E4D73"/>
    <w:rsid w:val="009E557E"/>
    <w:rsid w:val="009E56E8"/>
    <w:rsid w:val="009E5F17"/>
    <w:rsid w:val="009E6A43"/>
    <w:rsid w:val="009E6F4F"/>
    <w:rsid w:val="009E762E"/>
    <w:rsid w:val="009F00AA"/>
    <w:rsid w:val="009F0441"/>
    <w:rsid w:val="009F0D48"/>
    <w:rsid w:val="009F18CD"/>
    <w:rsid w:val="009F19EE"/>
    <w:rsid w:val="009F1B1B"/>
    <w:rsid w:val="009F3550"/>
    <w:rsid w:val="009F406D"/>
    <w:rsid w:val="009F5AA1"/>
    <w:rsid w:val="009F613D"/>
    <w:rsid w:val="00A00113"/>
    <w:rsid w:val="00A0050E"/>
    <w:rsid w:val="00A00FD8"/>
    <w:rsid w:val="00A020A7"/>
    <w:rsid w:val="00A026F0"/>
    <w:rsid w:val="00A0283D"/>
    <w:rsid w:val="00A02CA0"/>
    <w:rsid w:val="00A02EC4"/>
    <w:rsid w:val="00A03C13"/>
    <w:rsid w:val="00A03FB6"/>
    <w:rsid w:val="00A041D9"/>
    <w:rsid w:val="00A049F3"/>
    <w:rsid w:val="00A04B52"/>
    <w:rsid w:val="00A04FE5"/>
    <w:rsid w:val="00A05EF9"/>
    <w:rsid w:val="00A05F28"/>
    <w:rsid w:val="00A0637F"/>
    <w:rsid w:val="00A075AB"/>
    <w:rsid w:val="00A07BD8"/>
    <w:rsid w:val="00A104D8"/>
    <w:rsid w:val="00A11734"/>
    <w:rsid w:val="00A11CC8"/>
    <w:rsid w:val="00A11E84"/>
    <w:rsid w:val="00A1249E"/>
    <w:rsid w:val="00A12905"/>
    <w:rsid w:val="00A138CE"/>
    <w:rsid w:val="00A139C7"/>
    <w:rsid w:val="00A16105"/>
    <w:rsid w:val="00A16F93"/>
    <w:rsid w:val="00A177C1"/>
    <w:rsid w:val="00A204BF"/>
    <w:rsid w:val="00A2050F"/>
    <w:rsid w:val="00A20513"/>
    <w:rsid w:val="00A20D53"/>
    <w:rsid w:val="00A214F5"/>
    <w:rsid w:val="00A21EF9"/>
    <w:rsid w:val="00A22A4C"/>
    <w:rsid w:val="00A22A83"/>
    <w:rsid w:val="00A22B62"/>
    <w:rsid w:val="00A23136"/>
    <w:rsid w:val="00A23360"/>
    <w:rsid w:val="00A23616"/>
    <w:rsid w:val="00A23DA6"/>
    <w:rsid w:val="00A24346"/>
    <w:rsid w:val="00A24DF6"/>
    <w:rsid w:val="00A25C90"/>
    <w:rsid w:val="00A26876"/>
    <w:rsid w:val="00A2789C"/>
    <w:rsid w:val="00A27C64"/>
    <w:rsid w:val="00A27CB3"/>
    <w:rsid w:val="00A30061"/>
    <w:rsid w:val="00A30906"/>
    <w:rsid w:val="00A30CA8"/>
    <w:rsid w:val="00A322B4"/>
    <w:rsid w:val="00A32582"/>
    <w:rsid w:val="00A32635"/>
    <w:rsid w:val="00A32F4B"/>
    <w:rsid w:val="00A33D72"/>
    <w:rsid w:val="00A361C4"/>
    <w:rsid w:val="00A36480"/>
    <w:rsid w:val="00A36E03"/>
    <w:rsid w:val="00A375E2"/>
    <w:rsid w:val="00A418D9"/>
    <w:rsid w:val="00A41B89"/>
    <w:rsid w:val="00A41FAC"/>
    <w:rsid w:val="00A436EB"/>
    <w:rsid w:val="00A4422E"/>
    <w:rsid w:val="00A442B0"/>
    <w:rsid w:val="00A44929"/>
    <w:rsid w:val="00A44960"/>
    <w:rsid w:val="00A44BE6"/>
    <w:rsid w:val="00A453BB"/>
    <w:rsid w:val="00A455A9"/>
    <w:rsid w:val="00A4566E"/>
    <w:rsid w:val="00A4567A"/>
    <w:rsid w:val="00A4627C"/>
    <w:rsid w:val="00A473F4"/>
    <w:rsid w:val="00A51EE4"/>
    <w:rsid w:val="00A52264"/>
    <w:rsid w:val="00A52C3B"/>
    <w:rsid w:val="00A532FF"/>
    <w:rsid w:val="00A53B36"/>
    <w:rsid w:val="00A545B2"/>
    <w:rsid w:val="00A568D8"/>
    <w:rsid w:val="00A61F9F"/>
    <w:rsid w:val="00A620AC"/>
    <w:rsid w:val="00A62C22"/>
    <w:rsid w:val="00A63195"/>
    <w:rsid w:val="00A6358D"/>
    <w:rsid w:val="00A63C69"/>
    <w:rsid w:val="00A64BC3"/>
    <w:rsid w:val="00A652A3"/>
    <w:rsid w:val="00A6556C"/>
    <w:rsid w:val="00A65C84"/>
    <w:rsid w:val="00A65D54"/>
    <w:rsid w:val="00A666B4"/>
    <w:rsid w:val="00A70104"/>
    <w:rsid w:val="00A710A1"/>
    <w:rsid w:val="00A724FA"/>
    <w:rsid w:val="00A732C9"/>
    <w:rsid w:val="00A73E95"/>
    <w:rsid w:val="00A7518D"/>
    <w:rsid w:val="00A752DF"/>
    <w:rsid w:val="00A76A16"/>
    <w:rsid w:val="00A76ACE"/>
    <w:rsid w:val="00A81057"/>
    <w:rsid w:val="00A8145D"/>
    <w:rsid w:val="00A81951"/>
    <w:rsid w:val="00A83BA1"/>
    <w:rsid w:val="00A83E6C"/>
    <w:rsid w:val="00A83EA9"/>
    <w:rsid w:val="00A8483D"/>
    <w:rsid w:val="00A85148"/>
    <w:rsid w:val="00A85590"/>
    <w:rsid w:val="00A85A5D"/>
    <w:rsid w:val="00A85EA5"/>
    <w:rsid w:val="00A865B1"/>
    <w:rsid w:val="00A8773D"/>
    <w:rsid w:val="00A87DE8"/>
    <w:rsid w:val="00A916DA"/>
    <w:rsid w:val="00A924CA"/>
    <w:rsid w:val="00A9329B"/>
    <w:rsid w:val="00A933F5"/>
    <w:rsid w:val="00A94855"/>
    <w:rsid w:val="00A959C5"/>
    <w:rsid w:val="00A966D5"/>
    <w:rsid w:val="00A97130"/>
    <w:rsid w:val="00A97132"/>
    <w:rsid w:val="00A976DB"/>
    <w:rsid w:val="00AA19BC"/>
    <w:rsid w:val="00AA19C0"/>
    <w:rsid w:val="00AA1A01"/>
    <w:rsid w:val="00AA1D0D"/>
    <w:rsid w:val="00AA33A6"/>
    <w:rsid w:val="00AA49D8"/>
    <w:rsid w:val="00AA4F8A"/>
    <w:rsid w:val="00AA5269"/>
    <w:rsid w:val="00AA68A9"/>
    <w:rsid w:val="00AB0448"/>
    <w:rsid w:val="00AB0FF4"/>
    <w:rsid w:val="00AB1E74"/>
    <w:rsid w:val="00AB2209"/>
    <w:rsid w:val="00AB260A"/>
    <w:rsid w:val="00AB2B62"/>
    <w:rsid w:val="00AB2F74"/>
    <w:rsid w:val="00AB470E"/>
    <w:rsid w:val="00AB4BEA"/>
    <w:rsid w:val="00AB55F6"/>
    <w:rsid w:val="00AB6EE1"/>
    <w:rsid w:val="00AB791D"/>
    <w:rsid w:val="00AB7990"/>
    <w:rsid w:val="00AB7EBD"/>
    <w:rsid w:val="00AC0A14"/>
    <w:rsid w:val="00AC1FE5"/>
    <w:rsid w:val="00AC235A"/>
    <w:rsid w:val="00AC3B31"/>
    <w:rsid w:val="00AC3E00"/>
    <w:rsid w:val="00AC630F"/>
    <w:rsid w:val="00AC697F"/>
    <w:rsid w:val="00AC7789"/>
    <w:rsid w:val="00AD1974"/>
    <w:rsid w:val="00AD1EC8"/>
    <w:rsid w:val="00AD2C5B"/>
    <w:rsid w:val="00AD302A"/>
    <w:rsid w:val="00AD47B7"/>
    <w:rsid w:val="00AD5FB2"/>
    <w:rsid w:val="00AD7917"/>
    <w:rsid w:val="00AD79A6"/>
    <w:rsid w:val="00AE07A3"/>
    <w:rsid w:val="00AE1036"/>
    <w:rsid w:val="00AE192C"/>
    <w:rsid w:val="00AE2E75"/>
    <w:rsid w:val="00AE2F80"/>
    <w:rsid w:val="00AE3EED"/>
    <w:rsid w:val="00AE4DD2"/>
    <w:rsid w:val="00AE5878"/>
    <w:rsid w:val="00AE5F18"/>
    <w:rsid w:val="00AE6212"/>
    <w:rsid w:val="00AE6A9A"/>
    <w:rsid w:val="00AE6CCE"/>
    <w:rsid w:val="00AF1F5A"/>
    <w:rsid w:val="00AF264A"/>
    <w:rsid w:val="00AF30B5"/>
    <w:rsid w:val="00AF48BC"/>
    <w:rsid w:val="00AF5498"/>
    <w:rsid w:val="00AF78DC"/>
    <w:rsid w:val="00AF79E0"/>
    <w:rsid w:val="00AF7B13"/>
    <w:rsid w:val="00B00CC3"/>
    <w:rsid w:val="00B01E9E"/>
    <w:rsid w:val="00B031CC"/>
    <w:rsid w:val="00B0407D"/>
    <w:rsid w:val="00B04AC3"/>
    <w:rsid w:val="00B054D0"/>
    <w:rsid w:val="00B063A0"/>
    <w:rsid w:val="00B06655"/>
    <w:rsid w:val="00B07703"/>
    <w:rsid w:val="00B1011A"/>
    <w:rsid w:val="00B1038A"/>
    <w:rsid w:val="00B103D2"/>
    <w:rsid w:val="00B1228D"/>
    <w:rsid w:val="00B123E0"/>
    <w:rsid w:val="00B14386"/>
    <w:rsid w:val="00B14B3E"/>
    <w:rsid w:val="00B15012"/>
    <w:rsid w:val="00B1563A"/>
    <w:rsid w:val="00B156CC"/>
    <w:rsid w:val="00B1600E"/>
    <w:rsid w:val="00B16867"/>
    <w:rsid w:val="00B1699E"/>
    <w:rsid w:val="00B1707A"/>
    <w:rsid w:val="00B171E4"/>
    <w:rsid w:val="00B2036A"/>
    <w:rsid w:val="00B217DB"/>
    <w:rsid w:val="00B21E69"/>
    <w:rsid w:val="00B21F99"/>
    <w:rsid w:val="00B223CF"/>
    <w:rsid w:val="00B229F1"/>
    <w:rsid w:val="00B23121"/>
    <w:rsid w:val="00B23206"/>
    <w:rsid w:val="00B24FD4"/>
    <w:rsid w:val="00B259EF"/>
    <w:rsid w:val="00B25C5C"/>
    <w:rsid w:val="00B25C8D"/>
    <w:rsid w:val="00B25E74"/>
    <w:rsid w:val="00B27379"/>
    <w:rsid w:val="00B27D76"/>
    <w:rsid w:val="00B30C90"/>
    <w:rsid w:val="00B31367"/>
    <w:rsid w:val="00B315EF"/>
    <w:rsid w:val="00B321CD"/>
    <w:rsid w:val="00B32935"/>
    <w:rsid w:val="00B339E8"/>
    <w:rsid w:val="00B33E54"/>
    <w:rsid w:val="00B3415A"/>
    <w:rsid w:val="00B35A7F"/>
    <w:rsid w:val="00B35C23"/>
    <w:rsid w:val="00B36339"/>
    <w:rsid w:val="00B36798"/>
    <w:rsid w:val="00B37A96"/>
    <w:rsid w:val="00B37DAB"/>
    <w:rsid w:val="00B401FB"/>
    <w:rsid w:val="00B404B1"/>
    <w:rsid w:val="00B4127E"/>
    <w:rsid w:val="00B41622"/>
    <w:rsid w:val="00B4243C"/>
    <w:rsid w:val="00B42993"/>
    <w:rsid w:val="00B4301E"/>
    <w:rsid w:val="00B440E8"/>
    <w:rsid w:val="00B443FD"/>
    <w:rsid w:val="00B4522F"/>
    <w:rsid w:val="00B459D7"/>
    <w:rsid w:val="00B472D2"/>
    <w:rsid w:val="00B4756A"/>
    <w:rsid w:val="00B51073"/>
    <w:rsid w:val="00B52001"/>
    <w:rsid w:val="00B52411"/>
    <w:rsid w:val="00B5336E"/>
    <w:rsid w:val="00B55248"/>
    <w:rsid w:val="00B55609"/>
    <w:rsid w:val="00B55F7B"/>
    <w:rsid w:val="00B56561"/>
    <w:rsid w:val="00B601B9"/>
    <w:rsid w:val="00B60C5E"/>
    <w:rsid w:val="00B622E1"/>
    <w:rsid w:val="00B63750"/>
    <w:rsid w:val="00B63963"/>
    <w:rsid w:val="00B64389"/>
    <w:rsid w:val="00B6603D"/>
    <w:rsid w:val="00B67953"/>
    <w:rsid w:val="00B70CF8"/>
    <w:rsid w:val="00B70F69"/>
    <w:rsid w:val="00B71515"/>
    <w:rsid w:val="00B71C7C"/>
    <w:rsid w:val="00B7437D"/>
    <w:rsid w:val="00B7554C"/>
    <w:rsid w:val="00B75680"/>
    <w:rsid w:val="00B758A0"/>
    <w:rsid w:val="00B75A75"/>
    <w:rsid w:val="00B76023"/>
    <w:rsid w:val="00B7643C"/>
    <w:rsid w:val="00B7697D"/>
    <w:rsid w:val="00B76E9B"/>
    <w:rsid w:val="00B7768E"/>
    <w:rsid w:val="00B800AF"/>
    <w:rsid w:val="00B80E6E"/>
    <w:rsid w:val="00B81D25"/>
    <w:rsid w:val="00B82E47"/>
    <w:rsid w:val="00B83C30"/>
    <w:rsid w:val="00B842E4"/>
    <w:rsid w:val="00B8469F"/>
    <w:rsid w:val="00B8484F"/>
    <w:rsid w:val="00B864A8"/>
    <w:rsid w:val="00B868A7"/>
    <w:rsid w:val="00B86FF0"/>
    <w:rsid w:val="00B878ED"/>
    <w:rsid w:val="00B905FB"/>
    <w:rsid w:val="00B90EAD"/>
    <w:rsid w:val="00B914A7"/>
    <w:rsid w:val="00B92362"/>
    <w:rsid w:val="00B923A2"/>
    <w:rsid w:val="00B939FB"/>
    <w:rsid w:val="00B94EEB"/>
    <w:rsid w:val="00B959B0"/>
    <w:rsid w:val="00B95DD7"/>
    <w:rsid w:val="00B96039"/>
    <w:rsid w:val="00B962DF"/>
    <w:rsid w:val="00B96B67"/>
    <w:rsid w:val="00B96E54"/>
    <w:rsid w:val="00B96FA7"/>
    <w:rsid w:val="00B97678"/>
    <w:rsid w:val="00BA0124"/>
    <w:rsid w:val="00BA1DA0"/>
    <w:rsid w:val="00BA2B5D"/>
    <w:rsid w:val="00BA31AB"/>
    <w:rsid w:val="00BA38CD"/>
    <w:rsid w:val="00BA3E8E"/>
    <w:rsid w:val="00BA412E"/>
    <w:rsid w:val="00BA52ED"/>
    <w:rsid w:val="00BA5422"/>
    <w:rsid w:val="00BA5534"/>
    <w:rsid w:val="00BA60CA"/>
    <w:rsid w:val="00BA61D3"/>
    <w:rsid w:val="00BB0D4F"/>
    <w:rsid w:val="00BB0ED5"/>
    <w:rsid w:val="00BB0F63"/>
    <w:rsid w:val="00BB1B1C"/>
    <w:rsid w:val="00BB2459"/>
    <w:rsid w:val="00BB2FAD"/>
    <w:rsid w:val="00BB37A8"/>
    <w:rsid w:val="00BB42F7"/>
    <w:rsid w:val="00BB47AA"/>
    <w:rsid w:val="00BB47F5"/>
    <w:rsid w:val="00BB5267"/>
    <w:rsid w:val="00BB61CA"/>
    <w:rsid w:val="00BB6C90"/>
    <w:rsid w:val="00BB7F91"/>
    <w:rsid w:val="00BC0343"/>
    <w:rsid w:val="00BC0DE7"/>
    <w:rsid w:val="00BC0F4D"/>
    <w:rsid w:val="00BC1AF1"/>
    <w:rsid w:val="00BC2033"/>
    <w:rsid w:val="00BC2B9C"/>
    <w:rsid w:val="00BC2D72"/>
    <w:rsid w:val="00BC5542"/>
    <w:rsid w:val="00BC5D7F"/>
    <w:rsid w:val="00BC6776"/>
    <w:rsid w:val="00BC7F43"/>
    <w:rsid w:val="00BD43ED"/>
    <w:rsid w:val="00BD4783"/>
    <w:rsid w:val="00BD60A6"/>
    <w:rsid w:val="00BD7B42"/>
    <w:rsid w:val="00BD7BFC"/>
    <w:rsid w:val="00BE0B85"/>
    <w:rsid w:val="00BE0B9E"/>
    <w:rsid w:val="00BE19D1"/>
    <w:rsid w:val="00BE1F1E"/>
    <w:rsid w:val="00BE2209"/>
    <w:rsid w:val="00BE2B62"/>
    <w:rsid w:val="00BE390E"/>
    <w:rsid w:val="00BE42D9"/>
    <w:rsid w:val="00BE5684"/>
    <w:rsid w:val="00BE5998"/>
    <w:rsid w:val="00BE5B8D"/>
    <w:rsid w:val="00BE635A"/>
    <w:rsid w:val="00BE65E6"/>
    <w:rsid w:val="00BE6A21"/>
    <w:rsid w:val="00BF045F"/>
    <w:rsid w:val="00BF0B20"/>
    <w:rsid w:val="00BF1573"/>
    <w:rsid w:val="00BF1D59"/>
    <w:rsid w:val="00BF21CD"/>
    <w:rsid w:val="00BF2AAE"/>
    <w:rsid w:val="00BF2DC6"/>
    <w:rsid w:val="00BF3E8F"/>
    <w:rsid w:val="00BF4D82"/>
    <w:rsid w:val="00BF512B"/>
    <w:rsid w:val="00BF5D5D"/>
    <w:rsid w:val="00BF5F36"/>
    <w:rsid w:val="00BF68B7"/>
    <w:rsid w:val="00C006E1"/>
    <w:rsid w:val="00C00CD9"/>
    <w:rsid w:val="00C0280D"/>
    <w:rsid w:val="00C02FE0"/>
    <w:rsid w:val="00C037D7"/>
    <w:rsid w:val="00C04129"/>
    <w:rsid w:val="00C0494A"/>
    <w:rsid w:val="00C05223"/>
    <w:rsid w:val="00C05445"/>
    <w:rsid w:val="00C05545"/>
    <w:rsid w:val="00C076A4"/>
    <w:rsid w:val="00C07AE3"/>
    <w:rsid w:val="00C10E95"/>
    <w:rsid w:val="00C1126C"/>
    <w:rsid w:val="00C127EC"/>
    <w:rsid w:val="00C12E1C"/>
    <w:rsid w:val="00C13B0B"/>
    <w:rsid w:val="00C14FB7"/>
    <w:rsid w:val="00C169A6"/>
    <w:rsid w:val="00C16BAE"/>
    <w:rsid w:val="00C16E68"/>
    <w:rsid w:val="00C177D1"/>
    <w:rsid w:val="00C17B95"/>
    <w:rsid w:val="00C17D75"/>
    <w:rsid w:val="00C20823"/>
    <w:rsid w:val="00C20FE0"/>
    <w:rsid w:val="00C22494"/>
    <w:rsid w:val="00C230E7"/>
    <w:rsid w:val="00C2370C"/>
    <w:rsid w:val="00C252CE"/>
    <w:rsid w:val="00C25525"/>
    <w:rsid w:val="00C25F00"/>
    <w:rsid w:val="00C26BBD"/>
    <w:rsid w:val="00C30D18"/>
    <w:rsid w:val="00C32DA6"/>
    <w:rsid w:val="00C347B7"/>
    <w:rsid w:val="00C3497B"/>
    <w:rsid w:val="00C34FEB"/>
    <w:rsid w:val="00C35017"/>
    <w:rsid w:val="00C35905"/>
    <w:rsid w:val="00C35A0B"/>
    <w:rsid w:val="00C35C84"/>
    <w:rsid w:val="00C36EEA"/>
    <w:rsid w:val="00C378C7"/>
    <w:rsid w:val="00C40207"/>
    <w:rsid w:val="00C40BDD"/>
    <w:rsid w:val="00C416C6"/>
    <w:rsid w:val="00C41A7A"/>
    <w:rsid w:val="00C432E9"/>
    <w:rsid w:val="00C45C02"/>
    <w:rsid w:val="00C4618C"/>
    <w:rsid w:val="00C46A9B"/>
    <w:rsid w:val="00C47EE3"/>
    <w:rsid w:val="00C5032B"/>
    <w:rsid w:val="00C51A4A"/>
    <w:rsid w:val="00C52D99"/>
    <w:rsid w:val="00C52EC9"/>
    <w:rsid w:val="00C54452"/>
    <w:rsid w:val="00C545BF"/>
    <w:rsid w:val="00C54B67"/>
    <w:rsid w:val="00C54E81"/>
    <w:rsid w:val="00C565B1"/>
    <w:rsid w:val="00C56886"/>
    <w:rsid w:val="00C612B3"/>
    <w:rsid w:val="00C6171B"/>
    <w:rsid w:val="00C63443"/>
    <w:rsid w:val="00C63957"/>
    <w:rsid w:val="00C64255"/>
    <w:rsid w:val="00C64F06"/>
    <w:rsid w:val="00C651F5"/>
    <w:rsid w:val="00C6609A"/>
    <w:rsid w:val="00C66E5A"/>
    <w:rsid w:val="00C67821"/>
    <w:rsid w:val="00C67F17"/>
    <w:rsid w:val="00C70F71"/>
    <w:rsid w:val="00C716B5"/>
    <w:rsid w:val="00C73110"/>
    <w:rsid w:val="00C760F1"/>
    <w:rsid w:val="00C764B0"/>
    <w:rsid w:val="00C770B2"/>
    <w:rsid w:val="00C77365"/>
    <w:rsid w:val="00C77415"/>
    <w:rsid w:val="00C7741F"/>
    <w:rsid w:val="00C77563"/>
    <w:rsid w:val="00C81C3A"/>
    <w:rsid w:val="00C81E29"/>
    <w:rsid w:val="00C82A9F"/>
    <w:rsid w:val="00C83A2A"/>
    <w:rsid w:val="00C8442A"/>
    <w:rsid w:val="00C84DB1"/>
    <w:rsid w:val="00C86628"/>
    <w:rsid w:val="00C8775D"/>
    <w:rsid w:val="00C90A24"/>
    <w:rsid w:val="00C90A82"/>
    <w:rsid w:val="00C93773"/>
    <w:rsid w:val="00C94057"/>
    <w:rsid w:val="00C94D61"/>
    <w:rsid w:val="00C95D1A"/>
    <w:rsid w:val="00C95D97"/>
    <w:rsid w:val="00C95E71"/>
    <w:rsid w:val="00C960EA"/>
    <w:rsid w:val="00C9690E"/>
    <w:rsid w:val="00C97B58"/>
    <w:rsid w:val="00C97C99"/>
    <w:rsid w:val="00C97D15"/>
    <w:rsid w:val="00C97E21"/>
    <w:rsid w:val="00C97EDB"/>
    <w:rsid w:val="00CA12AA"/>
    <w:rsid w:val="00CA12E7"/>
    <w:rsid w:val="00CA1B25"/>
    <w:rsid w:val="00CA1C7A"/>
    <w:rsid w:val="00CA28C4"/>
    <w:rsid w:val="00CA37C1"/>
    <w:rsid w:val="00CA49F9"/>
    <w:rsid w:val="00CA56AF"/>
    <w:rsid w:val="00CA577D"/>
    <w:rsid w:val="00CA637B"/>
    <w:rsid w:val="00CA6B9F"/>
    <w:rsid w:val="00CA7503"/>
    <w:rsid w:val="00CA7986"/>
    <w:rsid w:val="00CA7D32"/>
    <w:rsid w:val="00CA7F9D"/>
    <w:rsid w:val="00CB1060"/>
    <w:rsid w:val="00CB1364"/>
    <w:rsid w:val="00CB3455"/>
    <w:rsid w:val="00CB3C61"/>
    <w:rsid w:val="00CB4AC9"/>
    <w:rsid w:val="00CB4F76"/>
    <w:rsid w:val="00CB5E48"/>
    <w:rsid w:val="00CB6A98"/>
    <w:rsid w:val="00CB6E29"/>
    <w:rsid w:val="00CB74E9"/>
    <w:rsid w:val="00CC04E4"/>
    <w:rsid w:val="00CC0A56"/>
    <w:rsid w:val="00CC0E80"/>
    <w:rsid w:val="00CC0FAC"/>
    <w:rsid w:val="00CC12A5"/>
    <w:rsid w:val="00CC1DEF"/>
    <w:rsid w:val="00CC2CC6"/>
    <w:rsid w:val="00CC44C7"/>
    <w:rsid w:val="00CC46F3"/>
    <w:rsid w:val="00CC4F7F"/>
    <w:rsid w:val="00CC68A1"/>
    <w:rsid w:val="00CC73CA"/>
    <w:rsid w:val="00CD0141"/>
    <w:rsid w:val="00CD1083"/>
    <w:rsid w:val="00CD2B2E"/>
    <w:rsid w:val="00CD2F56"/>
    <w:rsid w:val="00CD3CE4"/>
    <w:rsid w:val="00CD479E"/>
    <w:rsid w:val="00CD4D3F"/>
    <w:rsid w:val="00CD5D53"/>
    <w:rsid w:val="00CD6267"/>
    <w:rsid w:val="00CD6E00"/>
    <w:rsid w:val="00CD7745"/>
    <w:rsid w:val="00CE0708"/>
    <w:rsid w:val="00CE087C"/>
    <w:rsid w:val="00CE0EB8"/>
    <w:rsid w:val="00CE3BDF"/>
    <w:rsid w:val="00CE3E2B"/>
    <w:rsid w:val="00CE56DB"/>
    <w:rsid w:val="00CE5FB2"/>
    <w:rsid w:val="00CE7EFD"/>
    <w:rsid w:val="00CF0147"/>
    <w:rsid w:val="00CF02FF"/>
    <w:rsid w:val="00CF12F6"/>
    <w:rsid w:val="00CF1E74"/>
    <w:rsid w:val="00CF1F35"/>
    <w:rsid w:val="00CF4455"/>
    <w:rsid w:val="00CF44DF"/>
    <w:rsid w:val="00CF5A37"/>
    <w:rsid w:val="00CF61D1"/>
    <w:rsid w:val="00CF6B7A"/>
    <w:rsid w:val="00D0060C"/>
    <w:rsid w:val="00D010FC"/>
    <w:rsid w:val="00D014CE"/>
    <w:rsid w:val="00D02C11"/>
    <w:rsid w:val="00D0419F"/>
    <w:rsid w:val="00D04D42"/>
    <w:rsid w:val="00D053EF"/>
    <w:rsid w:val="00D0597C"/>
    <w:rsid w:val="00D07151"/>
    <w:rsid w:val="00D072DA"/>
    <w:rsid w:val="00D10934"/>
    <w:rsid w:val="00D110E9"/>
    <w:rsid w:val="00D11C18"/>
    <w:rsid w:val="00D122A8"/>
    <w:rsid w:val="00D12819"/>
    <w:rsid w:val="00D12992"/>
    <w:rsid w:val="00D131DD"/>
    <w:rsid w:val="00D13CBA"/>
    <w:rsid w:val="00D13ED1"/>
    <w:rsid w:val="00D13F05"/>
    <w:rsid w:val="00D14940"/>
    <w:rsid w:val="00D16B43"/>
    <w:rsid w:val="00D17A8B"/>
    <w:rsid w:val="00D2055C"/>
    <w:rsid w:val="00D20897"/>
    <w:rsid w:val="00D211F5"/>
    <w:rsid w:val="00D2137C"/>
    <w:rsid w:val="00D21831"/>
    <w:rsid w:val="00D2187F"/>
    <w:rsid w:val="00D22EF5"/>
    <w:rsid w:val="00D23828"/>
    <w:rsid w:val="00D24B76"/>
    <w:rsid w:val="00D253D6"/>
    <w:rsid w:val="00D26027"/>
    <w:rsid w:val="00D261FD"/>
    <w:rsid w:val="00D26CC1"/>
    <w:rsid w:val="00D27085"/>
    <w:rsid w:val="00D27373"/>
    <w:rsid w:val="00D311F7"/>
    <w:rsid w:val="00D31338"/>
    <w:rsid w:val="00D31967"/>
    <w:rsid w:val="00D325D0"/>
    <w:rsid w:val="00D33296"/>
    <w:rsid w:val="00D35CEB"/>
    <w:rsid w:val="00D36DF4"/>
    <w:rsid w:val="00D409B9"/>
    <w:rsid w:val="00D41145"/>
    <w:rsid w:val="00D417CD"/>
    <w:rsid w:val="00D42A2E"/>
    <w:rsid w:val="00D42A59"/>
    <w:rsid w:val="00D44517"/>
    <w:rsid w:val="00D4460C"/>
    <w:rsid w:val="00D45090"/>
    <w:rsid w:val="00D4570A"/>
    <w:rsid w:val="00D470DE"/>
    <w:rsid w:val="00D477C5"/>
    <w:rsid w:val="00D5094C"/>
    <w:rsid w:val="00D50B37"/>
    <w:rsid w:val="00D5119C"/>
    <w:rsid w:val="00D53190"/>
    <w:rsid w:val="00D53259"/>
    <w:rsid w:val="00D5412C"/>
    <w:rsid w:val="00D54FC3"/>
    <w:rsid w:val="00D55A77"/>
    <w:rsid w:val="00D60066"/>
    <w:rsid w:val="00D61D12"/>
    <w:rsid w:val="00D62698"/>
    <w:rsid w:val="00D627B6"/>
    <w:rsid w:val="00D633CD"/>
    <w:rsid w:val="00D64177"/>
    <w:rsid w:val="00D6520D"/>
    <w:rsid w:val="00D65457"/>
    <w:rsid w:val="00D6698E"/>
    <w:rsid w:val="00D67437"/>
    <w:rsid w:val="00D71A36"/>
    <w:rsid w:val="00D71F56"/>
    <w:rsid w:val="00D723BD"/>
    <w:rsid w:val="00D737D5"/>
    <w:rsid w:val="00D7579F"/>
    <w:rsid w:val="00D75DD7"/>
    <w:rsid w:val="00D761A5"/>
    <w:rsid w:val="00D761C5"/>
    <w:rsid w:val="00D76917"/>
    <w:rsid w:val="00D774F3"/>
    <w:rsid w:val="00D775AD"/>
    <w:rsid w:val="00D814CA"/>
    <w:rsid w:val="00D81D72"/>
    <w:rsid w:val="00D81E3E"/>
    <w:rsid w:val="00D81ECC"/>
    <w:rsid w:val="00D82551"/>
    <w:rsid w:val="00D83008"/>
    <w:rsid w:val="00D831F0"/>
    <w:rsid w:val="00D834DB"/>
    <w:rsid w:val="00D83D1D"/>
    <w:rsid w:val="00D84B07"/>
    <w:rsid w:val="00D857B8"/>
    <w:rsid w:val="00D857F7"/>
    <w:rsid w:val="00D86ECC"/>
    <w:rsid w:val="00D915F2"/>
    <w:rsid w:val="00D91ECA"/>
    <w:rsid w:val="00D9456E"/>
    <w:rsid w:val="00D94B15"/>
    <w:rsid w:val="00D95D4B"/>
    <w:rsid w:val="00D97D65"/>
    <w:rsid w:val="00DA1BA5"/>
    <w:rsid w:val="00DA50A3"/>
    <w:rsid w:val="00DA6F62"/>
    <w:rsid w:val="00DA6F93"/>
    <w:rsid w:val="00DB0F58"/>
    <w:rsid w:val="00DB11FC"/>
    <w:rsid w:val="00DB13EE"/>
    <w:rsid w:val="00DB1FAC"/>
    <w:rsid w:val="00DB2D3C"/>
    <w:rsid w:val="00DB2DC1"/>
    <w:rsid w:val="00DB3C1E"/>
    <w:rsid w:val="00DB4B9C"/>
    <w:rsid w:val="00DB4BE9"/>
    <w:rsid w:val="00DB4FA5"/>
    <w:rsid w:val="00DB545B"/>
    <w:rsid w:val="00DB54FC"/>
    <w:rsid w:val="00DB5DE0"/>
    <w:rsid w:val="00DB64FE"/>
    <w:rsid w:val="00DB6594"/>
    <w:rsid w:val="00DB6765"/>
    <w:rsid w:val="00DB7286"/>
    <w:rsid w:val="00DB7786"/>
    <w:rsid w:val="00DB7CA6"/>
    <w:rsid w:val="00DC0FF6"/>
    <w:rsid w:val="00DC2429"/>
    <w:rsid w:val="00DC38C1"/>
    <w:rsid w:val="00DC4BF2"/>
    <w:rsid w:val="00DC673D"/>
    <w:rsid w:val="00DC6A20"/>
    <w:rsid w:val="00DC6BC0"/>
    <w:rsid w:val="00DD01E4"/>
    <w:rsid w:val="00DD052E"/>
    <w:rsid w:val="00DD11D9"/>
    <w:rsid w:val="00DD1D27"/>
    <w:rsid w:val="00DD338B"/>
    <w:rsid w:val="00DD350A"/>
    <w:rsid w:val="00DD3D42"/>
    <w:rsid w:val="00DD4FD0"/>
    <w:rsid w:val="00DD5D19"/>
    <w:rsid w:val="00DE0636"/>
    <w:rsid w:val="00DE0774"/>
    <w:rsid w:val="00DE0A18"/>
    <w:rsid w:val="00DE1F84"/>
    <w:rsid w:val="00DE238D"/>
    <w:rsid w:val="00DE394D"/>
    <w:rsid w:val="00DE3D5E"/>
    <w:rsid w:val="00DE4939"/>
    <w:rsid w:val="00DE5B3C"/>
    <w:rsid w:val="00DE5ECA"/>
    <w:rsid w:val="00DE6955"/>
    <w:rsid w:val="00DE6B65"/>
    <w:rsid w:val="00DE6F59"/>
    <w:rsid w:val="00DF0209"/>
    <w:rsid w:val="00DF0F1F"/>
    <w:rsid w:val="00DF19CB"/>
    <w:rsid w:val="00DF1AA3"/>
    <w:rsid w:val="00DF1EC8"/>
    <w:rsid w:val="00DF2F17"/>
    <w:rsid w:val="00DF377F"/>
    <w:rsid w:val="00DF3942"/>
    <w:rsid w:val="00DF5538"/>
    <w:rsid w:val="00DF5982"/>
    <w:rsid w:val="00DF6992"/>
    <w:rsid w:val="00DF7158"/>
    <w:rsid w:val="00DF74B1"/>
    <w:rsid w:val="00E00F81"/>
    <w:rsid w:val="00E02158"/>
    <w:rsid w:val="00E023DE"/>
    <w:rsid w:val="00E03F96"/>
    <w:rsid w:val="00E05F8E"/>
    <w:rsid w:val="00E0605F"/>
    <w:rsid w:val="00E075FB"/>
    <w:rsid w:val="00E07707"/>
    <w:rsid w:val="00E07947"/>
    <w:rsid w:val="00E111E6"/>
    <w:rsid w:val="00E120CA"/>
    <w:rsid w:val="00E13093"/>
    <w:rsid w:val="00E14EAB"/>
    <w:rsid w:val="00E167E6"/>
    <w:rsid w:val="00E17FAC"/>
    <w:rsid w:val="00E17FFE"/>
    <w:rsid w:val="00E20325"/>
    <w:rsid w:val="00E20510"/>
    <w:rsid w:val="00E20975"/>
    <w:rsid w:val="00E20EC2"/>
    <w:rsid w:val="00E21554"/>
    <w:rsid w:val="00E220B2"/>
    <w:rsid w:val="00E257D4"/>
    <w:rsid w:val="00E26399"/>
    <w:rsid w:val="00E264C6"/>
    <w:rsid w:val="00E27278"/>
    <w:rsid w:val="00E30B4A"/>
    <w:rsid w:val="00E316C5"/>
    <w:rsid w:val="00E32508"/>
    <w:rsid w:val="00E334B1"/>
    <w:rsid w:val="00E33527"/>
    <w:rsid w:val="00E33789"/>
    <w:rsid w:val="00E33822"/>
    <w:rsid w:val="00E3449C"/>
    <w:rsid w:val="00E347EB"/>
    <w:rsid w:val="00E35D5D"/>
    <w:rsid w:val="00E35DB3"/>
    <w:rsid w:val="00E364E0"/>
    <w:rsid w:val="00E36DD5"/>
    <w:rsid w:val="00E37BDB"/>
    <w:rsid w:val="00E37D7E"/>
    <w:rsid w:val="00E40665"/>
    <w:rsid w:val="00E406B3"/>
    <w:rsid w:val="00E409B3"/>
    <w:rsid w:val="00E40AED"/>
    <w:rsid w:val="00E40D2D"/>
    <w:rsid w:val="00E41075"/>
    <w:rsid w:val="00E4148F"/>
    <w:rsid w:val="00E41B19"/>
    <w:rsid w:val="00E41BE3"/>
    <w:rsid w:val="00E41BFC"/>
    <w:rsid w:val="00E421A3"/>
    <w:rsid w:val="00E4236B"/>
    <w:rsid w:val="00E42C84"/>
    <w:rsid w:val="00E44166"/>
    <w:rsid w:val="00E44841"/>
    <w:rsid w:val="00E44A0B"/>
    <w:rsid w:val="00E50AD6"/>
    <w:rsid w:val="00E51647"/>
    <w:rsid w:val="00E528F0"/>
    <w:rsid w:val="00E52903"/>
    <w:rsid w:val="00E52E3C"/>
    <w:rsid w:val="00E534B9"/>
    <w:rsid w:val="00E550DC"/>
    <w:rsid w:val="00E55124"/>
    <w:rsid w:val="00E55425"/>
    <w:rsid w:val="00E55D48"/>
    <w:rsid w:val="00E60BDA"/>
    <w:rsid w:val="00E620CA"/>
    <w:rsid w:val="00E629F4"/>
    <w:rsid w:val="00E651F8"/>
    <w:rsid w:val="00E7002D"/>
    <w:rsid w:val="00E70574"/>
    <w:rsid w:val="00E7083F"/>
    <w:rsid w:val="00E71413"/>
    <w:rsid w:val="00E71445"/>
    <w:rsid w:val="00E72887"/>
    <w:rsid w:val="00E72BD8"/>
    <w:rsid w:val="00E745B3"/>
    <w:rsid w:val="00E74632"/>
    <w:rsid w:val="00E75167"/>
    <w:rsid w:val="00E76170"/>
    <w:rsid w:val="00E7632C"/>
    <w:rsid w:val="00E76668"/>
    <w:rsid w:val="00E77410"/>
    <w:rsid w:val="00E7758A"/>
    <w:rsid w:val="00E81750"/>
    <w:rsid w:val="00E81A5B"/>
    <w:rsid w:val="00E84419"/>
    <w:rsid w:val="00E84763"/>
    <w:rsid w:val="00E84B1F"/>
    <w:rsid w:val="00E84E42"/>
    <w:rsid w:val="00E865F8"/>
    <w:rsid w:val="00E87CD3"/>
    <w:rsid w:val="00E9334F"/>
    <w:rsid w:val="00E944CA"/>
    <w:rsid w:val="00E94C29"/>
    <w:rsid w:val="00E94D27"/>
    <w:rsid w:val="00E96C14"/>
    <w:rsid w:val="00E9708F"/>
    <w:rsid w:val="00E97282"/>
    <w:rsid w:val="00E97A68"/>
    <w:rsid w:val="00EA0BEA"/>
    <w:rsid w:val="00EA1F60"/>
    <w:rsid w:val="00EA250D"/>
    <w:rsid w:val="00EA2BFE"/>
    <w:rsid w:val="00EA3A0A"/>
    <w:rsid w:val="00EA3D8A"/>
    <w:rsid w:val="00EA4E4A"/>
    <w:rsid w:val="00EA5453"/>
    <w:rsid w:val="00EA5BAF"/>
    <w:rsid w:val="00EB001C"/>
    <w:rsid w:val="00EB0ED8"/>
    <w:rsid w:val="00EB14BC"/>
    <w:rsid w:val="00EB1AC0"/>
    <w:rsid w:val="00EB1F06"/>
    <w:rsid w:val="00EB2D42"/>
    <w:rsid w:val="00EB3499"/>
    <w:rsid w:val="00EB3735"/>
    <w:rsid w:val="00EB4B9D"/>
    <w:rsid w:val="00EB572E"/>
    <w:rsid w:val="00EB5832"/>
    <w:rsid w:val="00EB6136"/>
    <w:rsid w:val="00EB65F5"/>
    <w:rsid w:val="00EB69CE"/>
    <w:rsid w:val="00EB6C64"/>
    <w:rsid w:val="00EB6C6E"/>
    <w:rsid w:val="00EB7323"/>
    <w:rsid w:val="00EB7511"/>
    <w:rsid w:val="00EB7841"/>
    <w:rsid w:val="00EB7DEF"/>
    <w:rsid w:val="00EC07F8"/>
    <w:rsid w:val="00EC0926"/>
    <w:rsid w:val="00EC0A97"/>
    <w:rsid w:val="00EC10E1"/>
    <w:rsid w:val="00EC12B5"/>
    <w:rsid w:val="00EC135E"/>
    <w:rsid w:val="00EC1F05"/>
    <w:rsid w:val="00EC43BF"/>
    <w:rsid w:val="00EC47F4"/>
    <w:rsid w:val="00EC5687"/>
    <w:rsid w:val="00EC5F6F"/>
    <w:rsid w:val="00EC659E"/>
    <w:rsid w:val="00EC7C56"/>
    <w:rsid w:val="00ED0121"/>
    <w:rsid w:val="00ED020B"/>
    <w:rsid w:val="00ED024F"/>
    <w:rsid w:val="00ED081B"/>
    <w:rsid w:val="00ED0A62"/>
    <w:rsid w:val="00ED2C89"/>
    <w:rsid w:val="00ED33D7"/>
    <w:rsid w:val="00ED3966"/>
    <w:rsid w:val="00ED4AF0"/>
    <w:rsid w:val="00ED501B"/>
    <w:rsid w:val="00ED5965"/>
    <w:rsid w:val="00ED5B41"/>
    <w:rsid w:val="00ED62F3"/>
    <w:rsid w:val="00ED710D"/>
    <w:rsid w:val="00ED7130"/>
    <w:rsid w:val="00ED7290"/>
    <w:rsid w:val="00ED738A"/>
    <w:rsid w:val="00ED76F5"/>
    <w:rsid w:val="00ED7924"/>
    <w:rsid w:val="00ED7EA4"/>
    <w:rsid w:val="00EE12C2"/>
    <w:rsid w:val="00EE275F"/>
    <w:rsid w:val="00EE2C1D"/>
    <w:rsid w:val="00EE2C99"/>
    <w:rsid w:val="00EE2D77"/>
    <w:rsid w:val="00EE36F5"/>
    <w:rsid w:val="00EE3893"/>
    <w:rsid w:val="00EE41D5"/>
    <w:rsid w:val="00EE49FD"/>
    <w:rsid w:val="00EE4E96"/>
    <w:rsid w:val="00EE587C"/>
    <w:rsid w:val="00EE5BDB"/>
    <w:rsid w:val="00EE61F0"/>
    <w:rsid w:val="00EE6370"/>
    <w:rsid w:val="00EE6EB7"/>
    <w:rsid w:val="00EE7405"/>
    <w:rsid w:val="00EE781F"/>
    <w:rsid w:val="00EE7B71"/>
    <w:rsid w:val="00EF17D5"/>
    <w:rsid w:val="00EF1B3E"/>
    <w:rsid w:val="00EF2474"/>
    <w:rsid w:val="00EF2621"/>
    <w:rsid w:val="00EF346F"/>
    <w:rsid w:val="00EF387A"/>
    <w:rsid w:val="00EF6CE1"/>
    <w:rsid w:val="00EF7004"/>
    <w:rsid w:val="00F0004E"/>
    <w:rsid w:val="00F0056B"/>
    <w:rsid w:val="00F00CA4"/>
    <w:rsid w:val="00F011C4"/>
    <w:rsid w:val="00F01273"/>
    <w:rsid w:val="00F01A89"/>
    <w:rsid w:val="00F0211C"/>
    <w:rsid w:val="00F02197"/>
    <w:rsid w:val="00F0239C"/>
    <w:rsid w:val="00F02979"/>
    <w:rsid w:val="00F03188"/>
    <w:rsid w:val="00F041AD"/>
    <w:rsid w:val="00F04B30"/>
    <w:rsid w:val="00F04CBB"/>
    <w:rsid w:val="00F04D94"/>
    <w:rsid w:val="00F05592"/>
    <w:rsid w:val="00F05625"/>
    <w:rsid w:val="00F06743"/>
    <w:rsid w:val="00F079D5"/>
    <w:rsid w:val="00F07FB8"/>
    <w:rsid w:val="00F1190A"/>
    <w:rsid w:val="00F12E44"/>
    <w:rsid w:val="00F1414B"/>
    <w:rsid w:val="00F142C8"/>
    <w:rsid w:val="00F14BAB"/>
    <w:rsid w:val="00F14C6F"/>
    <w:rsid w:val="00F15AEC"/>
    <w:rsid w:val="00F15B27"/>
    <w:rsid w:val="00F166EC"/>
    <w:rsid w:val="00F1698C"/>
    <w:rsid w:val="00F177AC"/>
    <w:rsid w:val="00F216E7"/>
    <w:rsid w:val="00F22B54"/>
    <w:rsid w:val="00F22F9F"/>
    <w:rsid w:val="00F23C8D"/>
    <w:rsid w:val="00F240A0"/>
    <w:rsid w:val="00F251B2"/>
    <w:rsid w:val="00F30DA1"/>
    <w:rsid w:val="00F31813"/>
    <w:rsid w:val="00F3357D"/>
    <w:rsid w:val="00F335C3"/>
    <w:rsid w:val="00F35226"/>
    <w:rsid w:val="00F35240"/>
    <w:rsid w:val="00F36418"/>
    <w:rsid w:val="00F36B8E"/>
    <w:rsid w:val="00F36CCE"/>
    <w:rsid w:val="00F37E40"/>
    <w:rsid w:val="00F4003C"/>
    <w:rsid w:val="00F41F5F"/>
    <w:rsid w:val="00F42223"/>
    <w:rsid w:val="00F422EA"/>
    <w:rsid w:val="00F42D84"/>
    <w:rsid w:val="00F42D86"/>
    <w:rsid w:val="00F4315F"/>
    <w:rsid w:val="00F43312"/>
    <w:rsid w:val="00F442C8"/>
    <w:rsid w:val="00F44791"/>
    <w:rsid w:val="00F4591B"/>
    <w:rsid w:val="00F45EF2"/>
    <w:rsid w:val="00F46081"/>
    <w:rsid w:val="00F46270"/>
    <w:rsid w:val="00F4629E"/>
    <w:rsid w:val="00F47E44"/>
    <w:rsid w:val="00F47EFA"/>
    <w:rsid w:val="00F50A4E"/>
    <w:rsid w:val="00F5149A"/>
    <w:rsid w:val="00F531D4"/>
    <w:rsid w:val="00F53E29"/>
    <w:rsid w:val="00F54164"/>
    <w:rsid w:val="00F542FE"/>
    <w:rsid w:val="00F546DB"/>
    <w:rsid w:val="00F54851"/>
    <w:rsid w:val="00F55120"/>
    <w:rsid w:val="00F556F6"/>
    <w:rsid w:val="00F5752A"/>
    <w:rsid w:val="00F57591"/>
    <w:rsid w:val="00F57694"/>
    <w:rsid w:val="00F577A5"/>
    <w:rsid w:val="00F6047F"/>
    <w:rsid w:val="00F60C36"/>
    <w:rsid w:val="00F6160B"/>
    <w:rsid w:val="00F6294D"/>
    <w:rsid w:val="00F62AA1"/>
    <w:rsid w:val="00F64188"/>
    <w:rsid w:val="00F645FB"/>
    <w:rsid w:val="00F65EE7"/>
    <w:rsid w:val="00F700B2"/>
    <w:rsid w:val="00F700B7"/>
    <w:rsid w:val="00F700C8"/>
    <w:rsid w:val="00F7077F"/>
    <w:rsid w:val="00F710E1"/>
    <w:rsid w:val="00F736E8"/>
    <w:rsid w:val="00F75619"/>
    <w:rsid w:val="00F75847"/>
    <w:rsid w:val="00F7654F"/>
    <w:rsid w:val="00F76773"/>
    <w:rsid w:val="00F80A03"/>
    <w:rsid w:val="00F80A30"/>
    <w:rsid w:val="00F81871"/>
    <w:rsid w:val="00F81AF8"/>
    <w:rsid w:val="00F81BD4"/>
    <w:rsid w:val="00F82F65"/>
    <w:rsid w:val="00F8441E"/>
    <w:rsid w:val="00F86102"/>
    <w:rsid w:val="00F8647A"/>
    <w:rsid w:val="00F87CF7"/>
    <w:rsid w:val="00F9099C"/>
    <w:rsid w:val="00F91DAE"/>
    <w:rsid w:val="00F92547"/>
    <w:rsid w:val="00F9435D"/>
    <w:rsid w:val="00F94BF1"/>
    <w:rsid w:val="00F94D31"/>
    <w:rsid w:val="00F95369"/>
    <w:rsid w:val="00F9593C"/>
    <w:rsid w:val="00F95FC6"/>
    <w:rsid w:val="00F96677"/>
    <w:rsid w:val="00F96AA8"/>
    <w:rsid w:val="00F96BE1"/>
    <w:rsid w:val="00F9702D"/>
    <w:rsid w:val="00FA0973"/>
    <w:rsid w:val="00FA14A6"/>
    <w:rsid w:val="00FA3DAA"/>
    <w:rsid w:val="00FA3E66"/>
    <w:rsid w:val="00FA421F"/>
    <w:rsid w:val="00FA4725"/>
    <w:rsid w:val="00FA4740"/>
    <w:rsid w:val="00FA55E2"/>
    <w:rsid w:val="00FA56D1"/>
    <w:rsid w:val="00FA576A"/>
    <w:rsid w:val="00FA6A9D"/>
    <w:rsid w:val="00FB0014"/>
    <w:rsid w:val="00FB0260"/>
    <w:rsid w:val="00FB15CB"/>
    <w:rsid w:val="00FB16AC"/>
    <w:rsid w:val="00FB38AD"/>
    <w:rsid w:val="00FB3932"/>
    <w:rsid w:val="00FB3D89"/>
    <w:rsid w:val="00FB47D7"/>
    <w:rsid w:val="00FB52B1"/>
    <w:rsid w:val="00FB62C1"/>
    <w:rsid w:val="00FB650A"/>
    <w:rsid w:val="00FB65EA"/>
    <w:rsid w:val="00FB6753"/>
    <w:rsid w:val="00FB685A"/>
    <w:rsid w:val="00FB6A8A"/>
    <w:rsid w:val="00FB713B"/>
    <w:rsid w:val="00FB7277"/>
    <w:rsid w:val="00FB7B96"/>
    <w:rsid w:val="00FC0721"/>
    <w:rsid w:val="00FC0950"/>
    <w:rsid w:val="00FC1FDE"/>
    <w:rsid w:val="00FC2FD0"/>
    <w:rsid w:val="00FC38BC"/>
    <w:rsid w:val="00FC39F0"/>
    <w:rsid w:val="00FC48C9"/>
    <w:rsid w:val="00FC490F"/>
    <w:rsid w:val="00FC60F2"/>
    <w:rsid w:val="00FC65EA"/>
    <w:rsid w:val="00FC7BDB"/>
    <w:rsid w:val="00FC7BEF"/>
    <w:rsid w:val="00FD0AB5"/>
    <w:rsid w:val="00FD1068"/>
    <w:rsid w:val="00FD1D6B"/>
    <w:rsid w:val="00FD1F9E"/>
    <w:rsid w:val="00FD2257"/>
    <w:rsid w:val="00FD394B"/>
    <w:rsid w:val="00FD4031"/>
    <w:rsid w:val="00FD4E58"/>
    <w:rsid w:val="00FD5592"/>
    <w:rsid w:val="00FD5B08"/>
    <w:rsid w:val="00FD5C43"/>
    <w:rsid w:val="00FD67FE"/>
    <w:rsid w:val="00FD6BFF"/>
    <w:rsid w:val="00FD7B3C"/>
    <w:rsid w:val="00FD7EB5"/>
    <w:rsid w:val="00FE12F3"/>
    <w:rsid w:val="00FE15F4"/>
    <w:rsid w:val="00FE1D28"/>
    <w:rsid w:val="00FE5D2D"/>
    <w:rsid w:val="00FE5E70"/>
    <w:rsid w:val="00FE5F4D"/>
    <w:rsid w:val="00FE606F"/>
    <w:rsid w:val="00FE7F72"/>
    <w:rsid w:val="00FF0106"/>
    <w:rsid w:val="00FF0CFA"/>
    <w:rsid w:val="00FF2D5A"/>
    <w:rsid w:val="00FF3786"/>
    <w:rsid w:val="00FF4E6E"/>
    <w:rsid w:val="00FF546E"/>
    <w:rsid w:val="00FF7198"/>
    <w:rsid w:val="00FF7C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656E413"/>
  <w15:docId w15:val="{1C4EAE41-2825-48B3-94F9-5EC5A8DA08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71BB"/>
    <w:rPr>
      <w:rFonts w:ascii="Verdana" w:hAnsi="Verdana"/>
      <w:szCs w:val="24"/>
    </w:rPr>
  </w:style>
  <w:style w:type="paragraph" w:styleId="Heading1">
    <w:name w:val="heading 1"/>
    <w:basedOn w:val="Normal"/>
    <w:next w:val="BodyText"/>
    <w:link w:val="Heading1Char"/>
    <w:uiPriority w:val="9"/>
    <w:qFormat/>
    <w:rsid w:val="000D3A04"/>
    <w:pPr>
      <w:keepNext/>
      <w:numPr>
        <w:numId w:val="1"/>
      </w:numPr>
      <w:spacing w:before="240" w:after="60"/>
      <w:outlineLvl w:val="0"/>
    </w:pPr>
    <w:rPr>
      <w:rFonts w:ascii="Arial" w:hAnsi="Arial" w:cs="Arial"/>
      <w:b/>
      <w:bCs/>
      <w:color w:val="000080"/>
      <w:kern w:val="32"/>
      <w:sz w:val="40"/>
      <w:szCs w:val="40"/>
    </w:rPr>
  </w:style>
  <w:style w:type="paragraph" w:styleId="Heading2">
    <w:name w:val="heading 2"/>
    <w:basedOn w:val="Normal"/>
    <w:next w:val="BodyText"/>
    <w:link w:val="Heading2Char"/>
    <w:uiPriority w:val="9"/>
    <w:qFormat/>
    <w:rsid w:val="00FA4740"/>
    <w:pPr>
      <w:keepNext/>
      <w:numPr>
        <w:ilvl w:val="1"/>
        <w:numId w:val="1"/>
      </w:numPr>
      <w:spacing w:before="240" w:after="60"/>
      <w:outlineLvl w:val="1"/>
    </w:pPr>
    <w:rPr>
      <w:rFonts w:ascii="Arial" w:hAnsi="Arial" w:cs="Arial"/>
      <w:b/>
      <w:bCs/>
      <w:i/>
      <w:iCs/>
      <w:sz w:val="28"/>
      <w:szCs w:val="28"/>
    </w:rPr>
  </w:style>
  <w:style w:type="paragraph" w:styleId="Heading3">
    <w:name w:val="heading 3"/>
    <w:basedOn w:val="Normal"/>
    <w:next w:val="BodyText"/>
    <w:link w:val="Heading3Char"/>
    <w:uiPriority w:val="9"/>
    <w:qFormat/>
    <w:rsid w:val="006F0242"/>
    <w:pPr>
      <w:keepNext/>
      <w:numPr>
        <w:ilvl w:val="2"/>
        <w:numId w:val="1"/>
      </w:numPr>
      <w:spacing w:before="240" w:after="60"/>
      <w:outlineLvl w:val="2"/>
    </w:pPr>
    <w:rPr>
      <w:rFonts w:ascii="Arial" w:hAnsi="Arial" w:cs="Arial"/>
      <w:b/>
      <w:bCs/>
      <w:i/>
      <w:szCs w:val="26"/>
      <w:lang w:val="en-GB"/>
    </w:rPr>
  </w:style>
  <w:style w:type="paragraph" w:styleId="Heading4">
    <w:name w:val="heading 4"/>
    <w:basedOn w:val="Normal"/>
    <w:next w:val="BodyText"/>
    <w:qFormat/>
    <w:rsid w:val="00866FF4"/>
    <w:pPr>
      <w:keepNext/>
      <w:numPr>
        <w:ilvl w:val="3"/>
        <w:numId w:val="1"/>
      </w:numPr>
      <w:spacing w:before="240" w:after="60"/>
      <w:outlineLvl w:val="3"/>
    </w:pPr>
    <w:rPr>
      <w:rFonts w:ascii="Arial" w:hAnsi="Arial"/>
      <w:b/>
      <w:bCs/>
      <w:sz w:val="24"/>
      <w:szCs w:val="28"/>
    </w:rPr>
  </w:style>
  <w:style w:type="paragraph" w:styleId="Heading5">
    <w:name w:val="heading 5"/>
    <w:basedOn w:val="Normal"/>
    <w:next w:val="Normal"/>
    <w:qFormat/>
    <w:rsid w:val="00FA4740"/>
    <w:pPr>
      <w:numPr>
        <w:ilvl w:val="4"/>
        <w:numId w:val="1"/>
      </w:numPr>
      <w:spacing w:before="240" w:after="60"/>
      <w:outlineLvl w:val="4"/>
    </w:pPr>
    <w:rPr>
      <w:b/>
      <w:bCs/>
      <w:i/>
      <w:iCs/>
      <w:sz w:val="26"/>
      <w:szCs w:val="26"/>
    </w:rPr>
  </w:style>
  <w:style w:type="paragraph" w:styleId="Heading6">
    <w:name w:val="heading 6"/>
    <w:basedOn w:val="Normal"/>
    <w:next w:val="Normal"/>
    <w:qFormat/>
    <w:rsid w:val="00FA4740"/>
    <w:pPr>
      <w:numPr>
        <w:ilvl w:val="5"/>
        <w:numId w:val="1"/>
      </w:numPr>
      <w:spacing w:before="240" w:after="60"/>
      <w:outlineLvl w:val="5"/>
    </w:pPr>
    <w:rPr>
      <w:rFonts w:ascii="Times New Roman" w:hAnsi="Times New Roman"/>
      <w:b/>
      <w:bCs/>
      <w:sz w:val="22"/>
      <w:szCs w:val="22"/>
    </w:rPr>
  </w:style>
  <w:style w:type="paragraph" w:styleId="Heading7">
    <w:name w:val="heading 7"/>
    <w:basedOn w:val="Normal"/>
    <w:next w:val="Normal"/>
    <w:qFormat/>
    <w:rsid w:val="00FB7B96"/>
    <w:pPr>
      <w:tabs>
        <w:tab w:val="num" w:pos="1296"/>
      </w:tabs>
      <w:spacing w:before="240" w:after="60"/>
      <w:ind w:left="1296" w:hanging="1296"/>
      <w:outlineLvl w:val="6"/>
    </w:pPr>
    <w:rPr>
      <w:rFonts w:ascii="Arial" w:hAnsi="Arial"/>
      <w:sz w:val="24"/>
      <w:szCs w:val="20"/>
    </w:rPr>
  </w:style>
  <w:style w:type="paragraph" w:styleId="Heading8">
    <w:name w:val="heading 8"/>
    <w:basedOn w:val="Normal"/>
    <w:next w:val="Normal"/>
    <w:qFormat/>
    <w:rsid w:val="00FB7B96"/>
    <w:pPr>
      <w:tabs>
        <w:tab w:val="num" w:pos="1440"/>
      </w:tabs>
      <w:spacing w:before="240" w:after="60"/>
      <w:ind w:left="1440" w:hanging="1440"/>
      <w:outlineLvl w:val="7"/>
    </w:pPr>
    <w:rPr>
      <w:rFonts w:ascii="Arial" w:hAnsi="Arial"/>
      <w:i/>
      <w:sz w:val="24"/>
      <w:szCs w:val="20"/>
    </w:rPr>
  </w:style>
  <w:style w:type="paragraph" w:styleId="Heading9">
    <w:name w:val="heading 9"/>
    <w:basedOn w:val="Normal"/>
    <w:next w:val="Normal"/>
    <w:qFormat/>
    <w:rsid w:val="00FB7B96"/>
    <w:pPr>
      <w:tabs>
        <w:tab w:val="num" w:pos="1584"/>
      </w:tabs>
      <w:spacing w:before="240" w:after="60"/>
      <w:ind w:left="1584" w:hanging="1584"/>
      <w:outlineLvl w:val="8"/>
    </w:pPr>
    <w:rPr>
      <w:rFonts w:ascii="Arial" w:hAnsi="Arial"/>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ody Text Char1,Body Text Char Char,Body Text Char1 Char Char,Body Text Char,Body Text Char1 Char,Body Text Char3 Char,Body Text Char2 Char Char,Body Text Char1 Char1 Char Char,Body Text Char Char Char Char Char,Body Text Char Char1 Char Char"/>
    <w:basedOn w:val="Normal"/>
    <w:link w:val="BodyTextChar2"/>
    <w:rsid w:val="006B52C9"/>
    <w:pPr>
      <w:spacing w:before="120" w:after="120"/>
      <w:jc w:val="both"/>
    </w:pPr>
  </w:style>
  <w:style w:type="character" w:customStyle="1" w:styleId="BodyTextChar2">
    <w:name w:val="Body Text Char2"/>
    <w:aliases w:val="Body Text Char1 Char1,Body Text Char Char Char,Body Text Char1 Char Char Char,Body Text Char Char1,Body Text Char1 Char Char1,Body Text Char3 Char Char,Body Text Char2 Char Char Char,Body Text Char1 Char1 Char Char Char"/>
    <w:basedOn w:val="DefaultParagraphFont"/>
    <w:link w:val="BodyText"/>
    <w:rsid w:val="004E7041"/>
    <w:rPr>
      <w:rFonts w:ascii="Verdana" w:hAnsi="Verdana"/>
      <w:szCs w:val="24"/>
      <w:lang w:val="en-US" w:eastAsia="en-US" w:bidi="ar-SA"/>
    </w:rPr>
  </w:style>
  <w:style w:type="paragraph" w:styleId="Header">
    <w:name w:val="header"/>
    <w:basedOn w:val="Normal"/>
    <w:link w:val="HeaderChar"/>
    <w:uiPriority w:val="99"/>
    <w:rsid w:val="006B52C9"/>
    <w:pPr>
      <w:tabs>
        <w:tab w:val="center" w:pos="4320"/>
        <w:tab w:val="right" w:pos="8640"/>
      </w:tabs>
    </w:pPr>
  </w:style>
  <w:style w:type="paragraph" w:styleId="Footer">
    <w:name w:val="footer"/>
    <w:basedOn w:val="Normal"/>
    <w:link w:val="FooterChar"/>
    <w:uiPriority w:val="99"/>
    <w:rsid w:val="006B52C9"/>
    <w:pPr>
      <w:tabs>
        <w:tab w:val="center" w:pos="4320"/>
        <w:tab w:val="right" w:pos="8640"/>
      </w:tabs>
    </w:pPr>
  </w:style>
  <w:style w:type="paragraph" w:styleId="Title">
    <w:name w:val="Title"/>
    <w:basedOn w:val="Normal"/>
    <w:qFormat/>
    <w:rsid w:val="006B52C9"/>
    <w:pPr>
      <w:spacing w:before="240" w:after="60"/>
      <w:jc w:val="center"/>
      <w:outlineLvl w:val="0"/>
    </w:pPr>
    <w:rPr>
      <w:rFonts w:cs="Arial"/>
      <w:b/>
      <w:bCs/>
      <w:kern w:val="28"/>
      <w:sz w:val="32"/>
      <w:szCs w:val="32"/>
    </w:rPr>
  </w:style>
  <w:style w:type="paragraph" w:styleId="Subtitle">
    <w:name w:val="Subtitle"/>
    <w:basedOn w:val="Normal"/>
    <w:qFormat/>
    <w:rsid w:val="006B52C9"/>
    <w:pPr>
      <w:spacing w:after="60"/>
      <w:jc w:val="center"/>
      <w:outlineLvl w:val="1"/>
    </w:pPr>
    <w:rPr>
      <w:rFonts w:cs="Arial"/>
      <w:sz w:val="24"/>
    </w:rPr>
  </w:style>
  <w:style w:type="character" w:customStyle="1" w:styleId="Code">
    <w:name w:val="Code"/>
    <w:basedOn w:val="DefaultParagraphFont"/>
    <w:rsid w:val="006B52C9"/>
    <w:rPr>
      <w:rFonts w:ascii="Courier New" w:hAnsi="Courier New"/>
      <w:sz w:val="18"/>
    </w:rPr>
  </w:style>
  <w:style w:type="paragraph" w:styleId="BlockText">
    <w:name w:val="Block Text"/>
    <w:basedOn w:val="Normal"/>
    <w:rsid w:val="006B52C9"/>
    <w:pPr>
      <w:spacing w:after="120"/>
      <w:ind w:left="1440" w:right="1440"/>
      <w:jc w:val="both"/>
    </w:pPr>
  </w:style>
  <w:style w:type="character" w:styleId="Hyperlink">
    <w:name w:val="Hyperlink"/>
    <w:basedOn w:val="DefaultParagraphFont"/>
    <w:uiPriority w:val="99"/>
    <w:rsid w:val="006B52C9"/>
    <w:rPr>
      <w:color w:val="0000FF"/>
      <w:u w:val="single"/>
    </w:rPr>
  </w:style>
  <w:style w:type="paragraph" w:styleId="Caption">
    <w:name w:val="caption"/>
    <w:basedOn w:val="Normal"/>
    <w:next w:val="Normal"/>
    <w:qFormat/>
    <w:rsid w:val="006B52C9"/>
    <w:pPr>
      <w:spacing w:before="120" w:after="120"/>
    </w:pPr>
    <w:rPr>
      <w:b/>
      <w:bCs/>
      <w:szCs w:val="20"/>
    </w:rPr>
  </w:style>
  <w:style w:type="character" w:styleId="FollowedHyperlink">
    <w:name w:val="FollowedHyperlink"/>
    <w:basedOn w:val="DefaultParagraphFont"/>
    <w:uiPriority w:val="99"/>
    <w:rsid w:val="006B52C9"/>
    <w:rPr>
      <w:color w:val="800080"/>
      <w:u w:val="single"/>
    </w:rPr>
  </w:style>
  <w:style w:type="paragraph" w:styleId="BalloonText">
    <w:name w:val="Balloon Text"/>
    <w:basedOn w:val="Normal"/>
    <w:link w:val="BalloonTextChar"/>
    <w:uiPriority w:val="99"/>
    <w:semiHidden/>
    <w:rsid w:val="006B52C9"/>
    <w:rPr>
      <w:rFonts w:ascii="Tahoma" w:hAnsi="Tahoma" w:cs="Tahoma"/>
      <w:sz w:val="16"/>
      <w:szCs w:val="16"/>
    </w:rPr>
  </w:style>
  <w:style w:type="character" w:styleId="CommentReference">
    <w:name w:val="annotation reference"/>
    <w:basedOn w:val="DefaultParagraphFont"/>
    <w:semiHidden/>
    <w:rsid w:val="006B52C9"/>
    <w:rPr>
      <w:sz w:val="16"/>
      <w:szCs w:val="16"/>
    </w:rPr>
  </w:style>
  <w:style w:type="paragraph" w:styleId="CommentText">
    <w:name w:val="annotation text"/>
    <w:basedOn w:val="Normal"/>
    <w:link w:val="CommentTextChar"/>
    <w:semiHidden/>
    <w:rsid w:val="006B52C9"/>
    <w:rPr>
      <w:szCs w:val="20"/>
    </w:rPr>
  </w:style>
  <w:style w:type="paragraph" w:styleId="CommentSubject">
    <w:name w:val="annotation subject"/>
    <w:basedOn w:val="CommentText"/>
    <w:next w:val="CommentText"/>
    <w:semiHidden/>
    <w:rsid w:val="006B52C9"/>
    <w:rPr>
      <w:b/>
      <w:bCs/>
    </w:rPr>
  </w:style>
  <w:style w:type="paragraph" w:customStyle="1" w:styleId="DefinitionList">
    <w:name w:val="Definition List"/>
    <w:basedOn w:val="Normal"/>
    <w:next w:val="Normal"/>
    <w:rsid w:val="006B52C9"/>
    <w:pPr>
      <w:ind w:left="360"/>
    </w:pPr>
    <w:rPr>
      <w:rFonts w:ascii="Times New Roman" w:eastAsia="MS Mincho" w:hAnsi="Times New Roman"/>
      <w:snapToGrid w:val="0"/>
      <w:sz w:val="24"/>
      <w:szCs w:val="20"/>
    </w:rPr>
  </w:style>
  <w:style w:type="paragraph" w:styleId="FootnoteText">
    <w:name w:val="footnote text"/>
    <w:basedOn w:val="Normal"/>
    <w:link w:val="FootnoteTextChar"/>
    <w:rsid w:val="006B52C9"/>
    <w:pPr>
      <w:jc w:val="both"/>
    </w:pPr>
    <w:rPr>
      <w:szCs w:val="20"/>
    </w:rPr>
  </w:style>
  <w:style w:type="character" w:styleId="FootnoteReference">
    <w:name w:val="footnote reference"/>
    <w:basedOn w:val="DefaultParagraphFont"/>
    <w:uiPriority w:val="99"/>
    <w:rsid w:val="006B52C9"/>
    <w:rPr>
      <w:vertAlign w:val="superscript"/>
    </w:rPr>
  </w:style>
  <w:style w:type="character" w:customStyle="1" w:styleId="CODE0">
    <w:name w:val="CODE"/>
    <w:rsid w:val="006B52C9"/>
    <w:rPr>
      <w:rFonts w:ascii="Courier New" w:hAnsi="Courier New"/>
      <w:noProof/>
      <w:spacing w:val="-10"/>
      <w:sz w:val="18"/>
      <w:szCs w:val="20"/>
      <w:lang w:val="en-GB"/>
    </w:rPr>
  </w:style>
  <w:style w:type="paragraph" w:customStyle="1" w:styleId="Preformatted">
    <w:name w:val="Preformatted"/>
    <w:basedOn w:val="Normal"/>
    <w:rsid w:val="006B52C9"/>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MS Mincho" w:hAnsi="Courier New"/>
      <w:snapToGrid w:val="0"/>
      <w:szCs w:val="20"/>
    </w:rPr>
  </w:style>
  <w:style w:type="paragraph" w:styleId="TOC1">
    <w:name w:val="toc 1"/>
    <w:basedOn w:val="Normal"/>
    <w:next w:val="Normal"/>
    <w:autoRedefine/>
    <w:uiPriority w:val="39"/>
    <w:rsid w:val="000D3A04"/>
    <w:rPr>
      <w:b/>
      <w:i/>
      <w:color w:val="000080"/>
      <w:sz w:val="36"/>
      <w:szCs w:val="36"/>
    </w:rPr>
  </w:style>
  <w:style w:type="paragraph" w:styleId="TOC2">
    <w:name w:val="toc 2"/>
    <w:basedOn w:val="Normal"/>
    <w:next w:val="Normal"/>
    <w:autoRedefine/>
    <w:uiPriority w:val="39"/>
    <w:rsid w:val="0032009C"/>
    <w:pPr>
      <w:tabs>
        <w:tab w:val="left" w:pos="1200"/>
        <w:tab w:val="right" w:leader="dot" w:pos="8299"/>
      </w:tabs>
      <w:ind w:left="200"/>
    </w:pPr>
    <w:rPr>
      <w:b/>
      <w:sz w:val="24"/>
    </w:rPr>
  </w:style>
  <w:style w:type="table" w:styleId="TableGrid">
    <w:name w:val="Table Grid"/>
    <w:basedOn w:val="TableNormal"/>
    <w:uiPriority w:val="59"/>
    <w:rsid w:val="00F169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vel1Text">
    <w:name w:val="Level 1 Text"/>
    <w:basedOn w:val="BodyText"/>
    <w:rsid w:val="003B5961"/>
    <w:pPr>
      <w:autoSpaceDE w:val="0"/>
      <w:autoSpaceDN w:val="0"/>
      <w:spacing w:before="0"/>
    </w:pPr>
    <w:rPr>
      <w:rFonts w:cs="Verdana"/>
      <w:sz w:val="18"/>
      <w:szCs w:val="18"/>
      <w:lang w:val="en-GB"/>
    </w:rPr>
  </w:style>
  <w:style w:type="paragraph" w:customStyle="1" w:styleId="Level2Text">
    <w:name w:val="Level 2 Text"/>
    <w:basedOn w:val="BodyText"/>
    <w:rsid w:val="003B5961"/>
    <w:pPr>
      <w:autoSpaceDE w:val="0"/>
      <w:autoSpaceDN w:val="0"/>
      <w:spacing w:before="0"/>
    </w:pPr>
    <w:rPr>
      <w:rFonts w:cs="Verdana"/>
      <w:sz w:val="18"/>
      <w:szCs w:val="18"/>
      <w:lang w:val="en-GB"/>
    </w:rPr>
  </w:style>
  <w:style w:type="paragraph" w:customStyle="1" w:styleId="Level3Text">
    <w:name w:val="Level 3 Text"/>
    <w:basedOn w:val="BodyText"/>
    <w:rsid w:val="003B5961"/>
    <w:pPr>
      <w:tabs>
        <w:tab w:val="left" w:pos="360"/>
        <w:tab w:val="left" w:pos="720"/>
      </w:tabs>
      <w:autoSpaceDE w:val="0"/>
      <w:autoSpaceDN w:val="0"/>
      <w:spacing w:before="0"/>
    </w:pPr>
    <w:rPr>
      <w:rFonts w:cs="Verdana"/>
      <w:sz w:val="18"/>
      <w:szCs w:val="18"/>
      <w:lang w:val="en-GB"/>
    </w:rPr>
  </w:style>
  <w:style w:type="paragraph" w:customStyle="1" w:styleId="TableText">
    <w:name w:val="Table Text"/>
    <w:basedOn w:val="Normal"/>
    <w:rsid w:val="003B5961"/>
    <w:pPr>
      <w:autoSpaceDE w:val="0"/>
      <w:autoSpaceDN w:val="0"/>
    </w:pPr>
    <w:rPr>
      <w:rFonts w:cs="Verdana"/>
      <w:sz w:val="18"/>
      <w:szCs w:val="18"/>
      <w:lang w:val="en-GB"/>
    </w:rPr>
  </w:style>
  <w:style w:type="paragraph" w:customStyle="1" w:styleId="ColumnHeading">
    <w:name w:val="Column Heading"/>
    <w:basedOn w:val="TableText"/>
    <w:next w:val="BodyText"/>
    <w:rsid w:val="003B5961"/>
    <w:pPr>
      <w:jc w:val="center"/>
    </w:pPr>
  </w:style>
  <w:style w:type="paragraph" w:styleId="ListNumber">
    <w:name w:val="List Number"/>
    <w:basedOn w:val="BodyText"/>
    <w:rsid w:val="003B5961"/>
    <w:pPr>
      <w:tabs>
        <w:tab w:val="left" w:pos="360"/>
        <w:tab w:val="num" w:pos="720"/>
      </w:tabs>
      <w:autoSpaceDE w:val="0"/>
      <w:autoSpaceDN w:val="0"/>
      <w:spacing w:before="0"/>
      <w:ind w:left="360" w:hanging="360"/>
    </w:pPr>
    <w:rPr>
      <w:rFonts w:cs="Verdana"/>
      <w:sz w:val="18"/>
      <w:szCs w:val="18"/>
      <w:lang w:val="en-GB"/>
    </w:rPr>
  </w:style>
  <w:style w:type="paragraph" w:styleId="ListBullet">
    <w:name w:val="List Bullet"/>
    <w:basedOn w:val="BodyText"/>
    <w:rsid w:val="003B5961"/>
    <w:pPr>
      <w:tabs>
        <w:tab w:val="num" w:pos="926"/>
      </w:tabs>
      <w:autoSpaceDE w:val="0"/>
      <w:autoSpaceDN w:val="0"/>
      <w:spacing w:before="0"/>
      <w:ind w:left="926" w:hanging="360"/>
    </w:pPr>
    <w:rPr>
      <w:rFonts w:cs="Verdana"/>
      <w:sz w:val="18"/>
      <w:szCs w:val="18"/>
      <w:lang w:val="en-GB"/>
    </w:rPr>
  </w:style>
  <w:style w:type="paragraph" w:customStyle="1" w:styleId="Non-normativeExample">
    <w:name w:val="Non-normative Example"/>
    <w:basedOn w:val="Normal"/>
    <w:rsid w:val="003B5961"/>
    <w:pPr>
      <w:pBdr>
        <w:top w:val="single" w:sz="4" w:space="1" w:color="auto"/>
        <w:left w:val="single" w:sz="4" w:space="4" w:color="auto"/>
        <w:bottom w:val="single" w:sz="4" w:space="1" w:color="auto"/>
        <w:right w:val="single" w:sz="4" w:space="4" w:color="auto"/>
      </w:pBdr>
      <w:shd w:val="clear" w:color="auto" w:fill="00FFFF"/>
      <w:autoSpaceDE w:val="0"/>
      <w:autoSpaceDN w:val="0"/>
      <w:spacing w:after="120"/>
    </w:pPr>
    <w:rPr>
      <w:rFonts w:ascii="Courier New" w:hAnsi="Courier New" w:cs="Batang"/>
      <w:noProof/>
      <w:sz w:val="18"/>
      <w:szCs w:val="18"/>
      <w:lang w:val="en-GB"/>
    </w:rPr>
  </w:style>
  <w:style w:type="paragraph" w:customStyle="1" w:styleId="EditorsComments">
    <w:name w:val="Editor's Comments"/>
    <w:basedOn w:val="BlockText"/>
    <w:rsid w:val="003B5961"/>
    <w:pPr>
      <w:shd w:val="clear" w:color="auto" w:fill="FFFF00"/>
      <w:autoSpaceDE w:val="0"/>
      <w:autoSpaceDN w:val="0"/>
      <w:ind w:left="720" w:right="720"/>
    </w:pPr>
    <w:rPr>
      <w:rFonts w:cs="Batang"/>
      <w:sz w:val="18"/>
      <w:szCs w:val="18"/>
      <w:lang w:val="en-GB"/>
    </w:rPr>
  </w:style>
  <w:style w:type="character" w:customStyle="1" w:styleId="Modal">
    <w:name w:val="Modal"/>
    <w:basedOn w:val="DefaultParagraphFont"/>
    <w:rsid w:val="003B5961"/>
    <w:rPr>
      <w:caps/>
    </w:rPr>
  </w:style>
  <w:style w:type="paragraph" w:customStyle="1" w:styleId="Non-normativeCounterexample">
    <w:name w:val="Non-normative Counterexample"/>
    <w:basedOn w:val="Non-normativeExample"/>
    <w:rsid w:val="003B5961"/>
    <w:pPr>
      <w:shd w:val="clear" w:color="auto" w:fill="FF9999"/>
    </w:pPr>
  </w:style>
  <w:style w:type="paragraph" w:styleId="TOC3">
    <w:name w:val="toc 3"/>
    <w:basedOn w:val="Normal"/>
    <w:next w:val="Normal"/>
    <w:autoRedefine/>
    <w:uiPriority w:val="39"/>
    <w:rsid w:val="0032009C"/>
    <w:pPr>
      <w:ind w:left="720"/>
    </w:pPr>
  </w:style>
  <w:style w:type="paragraph" w:customStyle="1" w:styleId="StyleHeading1Left-025">
    <w:name w:val="Style Heading 1 + Left:  -0.25&quot;"/>
    <w:basedOn w:val="Heading1"/>
    <w:rsid w:val="005C4D16"/>
    <w:pPr>
      <w:numPr>
        <w:numId w:val="0"/>
      </w:numPr>
      <w:ind w:left="-360"/>
    </w:pPr>
    <w:rPr>
      <w:rFonts w:cs="Times New Roman"/>
      <w:szCs w:val="20"/>
    </w:rPr>
  </w:style>
  <w:style w:type="character" w:styleId="PageNumber">
    <w:name w:val="page number"/>
    <w:basedOn w:val="DefaultParagraphFont"/>
    <w:rsid w:val="005C4D16"/>
  </w:style>
  <w:style w:type="paragraph" w:styleId="DocumentMap">
    <w:name w:val="Document Map"/>
    <w:basedOn w:val="Normal"/>
    <w:semiHidden/>
    <w:rsid w:val="005C4D16"/>
    <w:pPr>
      <w:shd w:val="clear" w:color="auto" w:fill="000080"/>
    </w:pPr>
    <w:rPr>
      <w:rFonts w:ascii="Tahoma" w:hAnsi="Tahoma" w:cs="Tahoma"/>
      <w:szCs w:val="20"/>
    </w:rPr>
  </w:style>
  <w:style w:type="paragraph" w:styleId="Index1">
    <w:name w:val="index 1"/>
    <w:basedOn w:val="Normal"/>
    <w:next w:val="Normal"/>
    <w:autoRedefine/>
    <w:semiHidden/>
    <w:rsid w:val="001D5AE5"/>
    <w:pPr>
      <w:ind w:left="200" w:hanging="200"/>
    </w:pPr>
  </w:style>
  <w:style w:type="paragraph" w:styleId="EndnoteText">
    <w:name w:val="endnote text"/>
    <w:basedOn w:val="Normal"/>
    <w:semiHidden/>
    <w:rsid w:val="00660849"/>
    <w:rPr>
      <w:szCs w:val="20"/>
    </w:rPr>
  </w:style>
  <w:style w:type="character" w:styleId="EndnoteReference">
    <w:name w:val="endnote reference"/>
    <w:basedOn w:val="DefaultParagraphFont"/>
    <w:semiHidden/>
    <w:rsid w:val="00660849"/>
    <w:rPr>
      <w:vertAlign w:val="superscript"/>
    </w:rPr>
  </w:style>
  <w:style w:type="character" w:customStyle="1" w:styleId="CommentTextChar">
    <w:name w:val="Comment Text Char"/>
    <w:basedOn w:val="DefaultParagraphFont"/>
    <w:link w:val="CommentText"/>
    <w:uiPriority w:val="99"/>
    <w:semiHidden/>
    <w:rsid w:val="00905C31"/>
    <w:rPr>
      <w:rFonts w:ascii="Verdana" w:hAnsi="Verdana"/>
    </w:rPr>
  </w:style>
  <w:style w:type="character" w:customStyle="1" w:styleId="FootnoteTextChar">
    <w:name w:val="Footnote Text Char"/>
    <w:basedOn w:val="DefaultParagraphFont"/>
    <w:link w:val="FootnoteText"/>
    <w:uiPriority w:val="99"/>
    <w:semiHidden/>
    <w:rsid w:val="001A7FEB"/>
    <w:rPr>
      <w:rFonts w:ascii="Verdana" w:hAnsi="Verdana"/>
    </w:rPr>
  </w:style>
  <w:style w:type="paragraph" w:styleId="TOCHeading">
    <w:name w:val="TOC Heading"/>
    <w:basedOn w:val="Heading1"/>
    <w:next w:val="Normal"/>
    <w:uiPriority w:val="39"/>
    <w:semiHidden/>
    <w:unhideWhenUsed/>
    <w:qFormat/>
    <w:rsid w:val="00101989"/>
    <w:pPr>
      <w:keepLines/>
      <w:numPr>
        <w:numId w:val="0"/>
      </w:numPr>
      <w:spacing w:before="480" w:after="0" w:line="276" w:lineRule="auto"/>
      <w:outlineLvl w:val="9"/>
    </w:pPr>
    <w:rPr>
      <w:rFonts w:ascii="Cambria" w:hAnsi="Cambria" w:cs="Times New Roman"/>
      <w:color w:val="365F91"/>
      <w:kern w:val="0"/>
      <w:sz w:val="28"/>
      <w:szCs w:val="28"/>
    </w:rPr>
  </w:style>
  <w:style w:type="paragraph" w:styleId="TOC4">
    <w:name w:val="toc 4"/>
    <w:basedOn w:val="Normal"/>
    <w:next w:val="Normal"/>
    <w:autoRedefine/>
    <w:uiPriority w:val="39"/>
    <w:unhideWhenUsed/>
    <w:rsid w:val="00101989"/>
    <w:pPr>
      <w:spacing w:after="100" w:line="276" w:lineRule="auto"/>
      <w:ind w:left="660"/>
    </w:pPr>
    <w:rPr>
      <w:rFonts w:ascii="Calibri" w:hAnsi="Calibri"/>
      <w:sz w:val="22"/>
      <w:szCs w:val="22"/>
    </w:rPr>
  </w:style>
  <w:style w:type="paragraph" w:styleId="TOC5">
    <w:name w:val="toc 5"/>
    <w:basedOn w:val="Normal"/>
    <w:next w:val="Normal"/>
    <w:autoRedefine/>
    <w:uiPriority w:val="39"/>
    <w:unhideWhenUsed/>
    <w:rsid w:val="00101989"/>
    <w:pPr>
      <w:spacing w:after="100" w:line="276" w:lineRule="auto"/>
      <w:ind w:left="880"/>
    </w:pPr>
    <w:rPr>
      <w:rFonts w:ascii="Calibri" w:hAnsi="Calibri"/>
      <w:sz w:val="22"/>
      <w:szCs w:val="22"/>
    </w:rPr>
  </w:style>
  <w:style w:type="paragraph" w:styleId="TOC6">
    <w:name w:val="toc 6"/>
    <w:basedOn w:val="Normal"/>
    <w:next w:val="Normal"/>
    <w:autoRedefine/>
    <w:uiPriority w:val="39"/>
    <w:unhideWhenUsed/>
    <w:rsid w:val="00101989"/>
    <w:pPr>
      <w:spacing w:after="100" w:line="276" w:lineRule="auto"/>
      <w:ind w:left="1100"/>
    </w:pPr>
    <w:rPr>
      <w:rFonts w:ascii="Calibri" w:hAnsi="Calibri"/>
      <w:sz w:val="22"/>
      <w:szCs w:val="22"/>
    </w:rPr>
  </w:style>
  <w:style w:type="paragraph" w:styleId="TOC7">
    <w:name w:val="toc 7"/>
    <w:basedOn w:val="Normal"/>
    <w:next w:val="Normal"/>
    <w:autoRedefine/>
    <w:uiPriority w:val="39"/>
    <w:unhideWhenUsed/>
    <w:rsid w:val="00101989"/>
    <w:pPr>
      <w:spacing w:after="100" w:line="276" w:lineRule="auto"/>
      <w:ind w:left="1320"/>
    </w:pPr>
    <w:rPr>
      <w:rFonts w:ascii="Calibri" w:hAnsi="Calibri"/>
      <w:sz w:val="22"/>
      <w:szCs w:val="22"/>
    </w:rPr>
  </w:style>
  <w:style w:type="paragraph" w:styleId="TOC8">
    <w:name w:val="toc 8"/>
    <w:basedOn w:val="Normal"/>
    <w:next w:val="Normal"/>
    <w:autoRedefine/>
    <w:uiPriority w:val="39"/>
    <w:unhideWhenUsed/>
    <w:rsid w:val="00101989"/>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rsid w:val="00101989"/>
    <w:pPr>
      <w:spacing w:after="100" w:line="276" w:lineRule="auto"/>
      <w:ind w:left="1760"/>
    </w:pPr>
    <w:rPr>
      <w:rFonts w:ascii="Calibri" w:hAnsi="Calibri"/>
      <w:sz w:val="22"/>
      <w:szCs w:val="22"/>
    </w:rPr>
  </w:style>
  <w:style w:type="character" w:customStyle="1" w:styleId="Heading1Char">
    <w:name w:val="Heading 1 Char"/>
    <w:basedOn w:val="DefaultParagraphFont"/>
    <w:link w:val="Heading1"/>
    <w:uiPriority w:val="9"/>
    <w:rsid w:val="00566255"/>
    <w:rPr>
      <w:rFonts w:ascii="Arial" w:hAnsi="Arial" w:cs="Arial"/>
      <w:b/>
      <w:bCs/>
      <w:color w:val="000080"/>
      <w:kern w:val="32"/>
      <w:sz w:val="40"/>
      <w:szCs w:val="40"/>
    </w:rPr>
  </w:style>
  <w:style w:type="character" w:customStyle="1" w:styleId="Heading2Char">
    <w:name w:val="Heading 2 Char"/>
    <w:basedOn w:val="DefaultParagraphFont"/>
    <w:link w:val="Heading2"/>
    <w:uiPriority w:val="9"/>
    <w:rsid w:val="00566255"/>
    <w:rPr>
      <w:rFonts w:ascii="Arial" w:hAnsi="Arial" w:cs="Arial"/>
      <w:b/>
      <w:bCs/>
      <w:i/>
      <w:iCs/>
      <w:sz w:val="28"/>
      <w:szCs w:val="28"/>
    </w:rPr>
  </w:style>
  <w:style w:type="character" w:customStyle="1" w:styleId="FooterChar">
    <w:name w:val="Footer Char"/>
    <w:basedOn w:val="DefaultParagraphFont"/>
    <w:link w:val="Footer"/>
    <w:uiPriority w:val="99"/>
    <w:rsid w:val="00417313"/>
    <w:rPr>
      <w:rFonts w:ascii="Verdana" w:hAnsi="Verdana"/>
      <w:szCs w:val="24"/>
    </w:rPr>
  </w:style>
  <w:style w:type="paragraph" w:customStyle="1" w:styleId="TBBody">
    <w:name w:val="TB Body"/>
    <w:rsid w:val="00417313"/>
    <w:pPr>
      <w:widowControl w:val="0"/>
      <w:spacing w:before="40" w:after="100" w:line="220" w:lineRule="exact"/>
    </w:pPr>
    <w:rPr>
      <w:rFonts w:ascii="Arial" w:hAnsi="Arial"/>
      <w:sz w:val="19"/>
    </w:rPr>
  </w:style>
  <w:style w:type="paragraph" w:customStyle="1" w:styleId="TBColHead">
    <w:name w:val="TB Col Head"/>
    <w:next w:val="TBBody"/>
    <w:rsid w:val="00417313"/>
    <w:pPr>
      <w:widowControl w:val="0"/>
      <w:pBdr>
        <w:bottom w:val="single" w:sz="4" w:space="4" w:color="auto"/>
      </w:pBdr>
      <w:spacing w:before="40" w:after="100" w:line="220" w:lineRule="exact"/>
    </w:pPr>
    <w:rPr>
      <w:rFonts w:ascii="Arial" w:hAnsi="Arial"/>
      <w:b/>
      <w:i/>
      <w:sz w:val="18"/>
    </w:rPr>
  </w:style>
  <w:style w:type="paragraph" w:customStyle="1" w:styleId="SBHead">
    <w:name w:val="SB Head"/>
    <w:next w:val="SBBody"/>
    <w:rsid w:val="00417313"/>
    <w:pPr>
      <w:keepNext/>
      <w:widowControl w:val="0"/>
      <w:spacing w:before="180" w:after="110" w:line="360" w:lineRule="exact"/>
      <w:jc w:val="center"/>
    </w:pPr>
    <w:rPr>
      <w:rFonts w:ascii="Arial" w:hAnsi="Arial"/>
      <w:b/>
      <w:sz w:val="32"/>
    </w:rPr>
  </w:style>
  <w:style w:type="paragraph" w:customStyle="1" w:styleId="SBBody">
    <w:name w:val="SB Body"/>
    <w:rsid w:val="00417313"/>
    <w:pPr>
      <w:spacing w:after="120" w:line="220" w:lineRule="exact"/>
    </w:pPr>
    <w:rPr>
      <w:rFonts w:ascii="Arial" w:hAnsi="Arial"/>
      <w:sz w:val="18"/>
    </w:rPr>
  </w:style>
  <w:style w:type="paragraph" w:styleId="ListParagraph">
    <w:name w:val="List Paragraph"/>
    <w:basedOn w:val="Normal"/>
    <w:uiPriority w:val="34"/>
    <w:qFormat/>
    <w:rsid w:val="00417313"/>
    <w:pPr>
      <w:ind w:left="720"/>
      <w:contextualSpacing/>
    </w:pPr>
  </w:style>
  <w:style w:type="character" w:customStyle="1" w:styleId="HeaderChar">
    <w:name w:val="Header Char"/>
    <w:basedOn w:val="DefaultParagraphFont"/>
    <w:link w:val="Header"/>
    <w:uiPriority w:val="99"/>
    <w:rsid w:val="0056261B"/>
    <w:rPr>
      <w:rFonts w:ascii="Verdana" w:hAnsi="Verdana"/>
      <w:szCs w:val="24"/>
    </w:rPr>
  </w:style>
  <w:style w:type="character" w:customStyle="1" w:styleId="BalloonTextChar">
    <w:name w:val="Balloon Text Char"/>
    <w:basedOn w:val="DefaultParagraphFont"/>
    <w:link w:val="BalloonText"/>
    <w:uiPriority w:val="99"/>
    <w:semiHidden/>
    <w:rsid w:val="00393B7D"/>
    <w:rPr>
      <w:rFonts w:ascii="Tahoma" w:hAnsi="Tahoma" w:cs="Tahoma"/>
      <w:sz w:val="16"/>
      <w:szCs w:val="16"/>
    </w:rPr>
  </w:style>
  <w:style w:type="character" w:customStyle="1" w:styleId="Heading3Char">
    <w:name w:val="Heading 3 Char"/>
    <w:basedOn w:val="DefaultParagraphFont"/>
    <w:link w:val="Heading3"/>
    <w:uiPriority w:val="9"/>
    <w:rsid w:val="00393B7D"/>
    <w:rPr>
      <w:rFonts w:ascii="Arial" w:hAnsi="Arial" w:cs="Arial"/>
      <w:b/>
      <w:bCs/>
      <w:i/>
      <w:szCs w:val="26"/>
      <w:lang w:val="en-GB"/>
    </w:rPr>
  </w:style>
  <w:style w:type="character" w:customStyle="1" w:styleId="A6">
    <w:name w:val="A6"/>
    <w:basedOn w:val="DefaultParagraphFont"/>
    <w:uiPriority w:val="99"/>
    <w:rsid w:val="0054463C"/>
    <w:rPr>
      <w:rFonts w:ascii="AvantGarde" w:hAnsi="AvantGarde" w:hint="default"/>
      <w:color w:val="000000"/>
    </w:rPr>
  </w:style>
  <w:style w:type="table" w:customStyle="1" w:styleId="TableGrid1">
    <w:name w:val="Table Grid1"/>
    <w:basedOn w:val="TableNormal"/>
    <w:next w:val="TableGrid"/>
    <w:uiPriority w:val="59"/>
    <w:rsid w:val="0054463C"/>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CPBodyText">
    <w:name w:val="XCP Body Text"/>
    <w:rsid w:val="00AC3B31"/>
    <w:pPr>
      <w:pBdr>
        <w:top w:val="nil"/>
        <w:left w:val="nil"/>
        <w:bottom w:val="nil"/>
        <w:right w:val="nil"/>
        <w:between w:val="nil"/>
        <w:bar w:val="nil"/>
      </w:pBdr>
      <w:spacing w:before="200"/>
      <w:ind w:left="900"/>
      <w:jc w:val="both"/>
    </w:pPr>
    <w:rPr>
      <w:rFonts w:ascii="Calibri" w:eastAsia="Calibri" w:hAnsi="Calibri" w:cs="Calibri"/>
      <w:color w:val="000000"/>
      <w:u w:color="000000"/>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4219334">
      <w:bodyDiv w:val="1"/>
      <w:marLeft w:val="0"/>
      <w:marRight w:val="0"/>
      <w:marTop w:val="300"/>
      <w:marBottom w:val="0"/>
      <w:divBdr>
        <w:top w:val="none" w:sz="0" w:space="0" w:color="auto"/>
        <w:left w:val="none" w:sz="0" w:space="0" w:color="auto"/>
        <w:bottom w:val="none" w:sz="0" w:space="0" w:color="auto"/>
        <w:right w:val="none" w:sz="0" w:space="0" w:color="auto"/>
      </w:divBdr>
      <w:divsChild>
        <w:div w:id="851065276">
          <w:marLeft w:val="0"/>
          <w:marRight w:val="0"/>
          <w:marTop w:val="0"/>
          <w:marBottom w:val="0"/>
          <w:divBdr>
            <w:top w:val="none" w:sz="0" w:space="0" w:color="auto"/>
            <w:left w:val="none" w:sz="0" w:space="0" w:color="auto"/>
            <w:bottom w:val="none" w:sz="0" w:space="0" w:color="auto"/>
            <w:right w:val="none" w:sz="0" w:space="0" w:color="auto"/>
          </w:divBdr>
          <w:divsChild>
            <w:div w:id="127674786">
              <w:marLeft w:val="0"/>
              <w:marRight w:val="0"/>
              <w:marTop w:val="0"/>
              <w:marBottom w:val="0"/>
              <w:divBdr>
                <w:top w:val="none" w:sz="0" w:space="0" w:color="auto"/>
                <w:left w:val="none" w:sz="0" w:space="0" w:color="auto"/>
                <w:bottom w:val="none" w:sz="0" w:space="0" w:color="auto"/>
                <w:right w:val="none" w:sz="0" w:space="0" w:color="auto"/>
              </w:divBdr>
              <w:divsChild>
                <w:div w:id="1318076524">
                  <w:marLeft w:val="0"/>
                  <w:marRight w:val="0"/>
                  <w:marTop w:val="0"/>
                  <w:marBottom w:val="0"/>
                  <w:divBdr>
                    <w:top w:val="none" w:sz="0" w:space="0" w:color="auto"/>
                    <w:left w:val="none" w:sz="0" w:space="0" w:color="auto"/>
                    <w:bottom w:val="none" w:sz="0" w:space="0" w:color="auto"/>
                    <w:right w:val="none" w:sz="0" w:space="0" w:color="auto"/>
                  </w:divBdr>
                  <w:divsChild>
                    <w:div w:id="1070733075">
                      <w:marLeft w:val="0"/>
                      <w:marRight w:val="0"/>
                      <w:marTop w:val="0"/>
                      <w:marBottom w:val="0"/>
                      <w:divBdr>
                        <w:top w:val="none" w:sz="0" w:space="0" w:color="auto"/>
                        <w:left w:val="none" w:sz="0" w:space="0" w:color="auto"/>
                        <w:bottom w:val="none" w:sz="0" w:space="0" w:color="auto"/>
                        <w:right w:val="none" w:sz="0" w:space="0" w:color="auto"/>
                      </w:divBdr>
                      <w:divsChild>
                        <w:div w:id="569194955">
                          <w:marLeft w:val="0"/>
                          <w:marRight w:val="300"/>
                          <w:marTop w:val="300"/>
                          <w:marBottom w:val="300"/>
                          <w:divBdr>
                            <w:top w:val="none" w:sz="0" w:space="0" w:color="auto"/>
                            <w:left w:val="none" w:sz="0" w:space="0" w:color="auto"/>
                            <w:bottom w:val="none" w:sz="0" w:space="0" w:color="auto"/>
                            <w:right w:val="none" w:sz="0" w:space="0" w:color="auto"/>
                          </w:divBdr>
                          <w:divsChild>
                            <w:div w:id="332492288">
                              <w:marLeft w:val="0"/>
                              <w:marRight w:val="0"/>
                              <w:marTop w:val="0"/>
                              <w:marBottom w:val="0"/>
                              <w:divBdr>
                                <w:top w:val="none" w:sz="0" w:space="0" w:color="auto"/>
                                <w:left w:val="none" w:sz="0" w:space="0" w:color="auto"/>
                                <w:bottom w:val="none" w:sz="0" w:space="0" w:color="auto"/>
                                <w:right w:val="none" w:sz="0" w:space="0" w:color="auto"/>
                              </w:divBdr>
                              <w:divsChild>
                                <w:div w:id="368803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8568378">
      <w:bodyDiv w:val="1"/>
      <w:marLeft w:val="0"/>
      <w:marRight w:val="0"/>
      <w:marTop w:val="0"/>
      <w:marBottom w:val="0"/>
      <w:divBdr>
        <w:top w:val="none" w:sz="0" w:space="0" w:color="auto"/>
        <w:left w:val="none" w:sz="0" w:space="0" w:color="auto"/>
        <w:bottom w:val="none" w:sz="0" w:space="0" w:color="auto"/>
        <w:right w:val="none" w:sz="0" w:space="0" w:color="auto"/>
      </w:divBdr>
    </w:div>
    <w:div w:id="259262436">
      <w:bodyDiv w:val="1"/>
      <w:marLeft w:val="0"/>
      <w:marRight w:val="0"/>
      <w:marTop w:val="0"/>
      <w:marBottom w:val="0"/>
      <w:divBdr>
        <w:top w:val="none" w:sz="0" w:space="0" w:color="auto"/>
        <w:left w:val="none" w:sz="0" w:space="0" w:color="auto"/>
        <w:bottom w:val="none" w:sz="0" w:space="0" w:color="auto"/>
        <w:right w:val="none" w:sz="0" w:space="0" w:color="auto"/>
      </w:divBdr>
    </w:div>
    <w:div w:id="363940556">
      <w:bodyDiv w:val="1"/>
      <w:marLeft w:val="0"/>
      <w:marRight w:val="0"/>
      <w:marTop w:val="300"/>
      <w:marBottom w:val="0"/>
      <w:divBdr>
        <w:top w:val="none" w:sz="0" w:space="0" w:color="auto"/>
        <w:left w:val="none" w:sz="0" w:space="0" w:color="auto"/>
        <w:bottom w:val="none" w:sz="0" w:space="0" w:color="auto"/>
        <w:right w:val="none" w:sz="0" w:space="0" w:color="auto"/>
      </w:divBdr>
      <w:divsChild>
        <w:div w:id="677926508">
          <w:marLeft w:val="0"/>
          <w:marRight w:val="0"/>
          <w:marTop w:val="0"/>
          <w:marBottom w:val="0"/>
          <w:divBdr>
            <w:top w:val="none" w:sz="0" w:space="0" w:color="auto"/>
            <w:left w:val="none" w:sz="0" w:space="0" w:color="auto"/>
            <w:bottom w:val="none" w:sz="0" w:space="0" w:color="auto"/>
            <w:right w:val="none" w:sz="0" w:space="0" w:color="auto"/>
          </w:divBdr>
          <w:divsChild>
            <w:div w:id="1554654311">
              <w:marLeft w:val="0"/>
              <w:marRight w:val="0"/>
              <w:marTop w:val="0"/>
              <w:marBottom w:val="0"/>
              <w:divBdr>
                <w:top w:val="none" w:sz="0" w:space="0" w:color="auto"/>
                <w:left w:val="none" w:sz="0" w:space="0" w:color="auto"/>
                <w:bottom w:val="none" w:sz="0" w:space="0" w:color="auto"/>
                <w:right w:val="none" w:sz="0" w:space="0" w:color="auto"/>
              </w:divBdr>
              <w:divsChild>
                <w:div w:id="1154685326">
                  <w:marLeft w:val="0"/>
                  <w:marRight w:val="0"/>
                  <w:marTop w:val="0"/>
                  <w:marBottom w:val="0"/>
                  <w:divBdr>
                    <w:top w:val="none" w:sz="0" w:space="0" w:color="auto"/>
                    <w:left w:val="none" w:sz="0" w:space="0" w:color="auto"/>
                    <w:bottom w:val="none" w:sz="0" w:space="0" w:color="auto"/>
                    <w:right w:val="none" w:sz="0" w:space="0" w:color="auto"/>
                  </w:divBdr>
                  <w:divsChild>
                    <w:div w:id="1127747040">
                      <w:marLeft w:val="0"/>
                      <w:marRight w:val="0"/>
                      <w:marTop w:val="0"/>
                      <w:marBottom w:val="0"/>
                      <w:divBdr>
                        <w:top w:val="none" w:sz="0" w:space="0" w:color="auto"/>
                        <w:left w:val="none" w:sz="0" w:space="0" w:color="auto"/>
                        <w:bottom w:val="none" w:sz="0" w:space="0" w:color="auto"/>
                        <w:right w:val="none" w:sz="0" w:space="0" w:color="auto"/>
                      </w:divBdr>
                      <w:divsChild>
                        <w:div w:id="1177421502">
                          <w:marLeft w:val="0"/>
                          <w:marRight w:val="300"/>
                          <w:marTop w:val="300"/>
                          <w:marBottom w:val="300"/>
                          <w:divBdr>
                            <w:top w:val="none" w:sz="0" w:space="0" w:color="auto"/>
                            <w:left w:val="none" w:sz="0" w:space="0" w:color="auto"/>
                            <w:bottom w:val="none" w:sz="0" w:space="0" w:color="auto"/>
                            <w:right w:val="none" w:sz="0" w:space="0" w:color="auto"/>
                          </w:divBdr>
                          <w:divsChild>
                            <w:div w:id="1570262126">
                              <w:marLeft w:val="0"/>
                              <w:marRight w:val="0"/>
                              <w:marTop w:val="0"/>
                              <w:marBottom w:val="0"/>
                              <w:divBdr>
                                <w:top w:val="none" w:sz="0" w:space="0" w:color="auto"/>
                                <w:left w:val="none" w:sz="0" w:space="0" w:color="auto"/>
                                <w:bottom w:val="none" w:sz="0" w:space="0" w:color="auto"/>
                                <w:right w:val="none" w:sz="0" w:space="0" w:color="auto"/>
                              </w:divBdr>
                              <w:divsChild>
                                <w:div w:id="1062604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51676364">
      <w:bodyDiv w:val="1"/>
      <w:marLeft w:val="0"/>
      <w:marRight w:val="0"/>
      <w:marTop w:val="300"/>
      <w:marBottom w:val="0"/>
      <w:divBdr>
        <w:top w:val="none" w:sz="0" w:space="0" w:color="auto"/>
        <w:left w:val="none" w:sz="0" w:space="0" w:color="auto"/>
        <w:bottom w:val="none" w:sz="0" w:space="0" w:color="auto"/>
        <w:right w:val="none" w:sz="0" w:space="0" w:color="auto"/>
      </w:divBdr>
      <w:divsChild>
        <w:div w:id="575742806">
          <w:marLeft w:val="0"/>
          <w:marRight w:val="0"/>
          <w:marTop w:val="0"/>
          <w:marBottom w:val="0"/>
          <w:divBdr>
            <w:top w:val="none" w:sz="0" w:space="0" w:color="auto"/>
            <w:left w:val="none" w:sz="0" w:space="0" w:color="auto"/>
            <w:bottom w:val="none" w:sz="0" w:space="0" w:color="auto"/>
            <w:right w:val="none" w:sz="0" w:space="0" w:color="auto"/>
          </w:divBdr>
          <w:divsChild>
            <w:div w:id="700323392">
              <w:marLeft w:val="0"/>
              <w:marRight w:val="0"/>
              <w:marTop w:val="0"/>
              <w:marBottom w:val="0"/>
              <w:divBdr>
                <w:top w:val="none" w:sz="0" w:space="0" w:color="auto"/>
                <w:left w:val="none" w:sz="0" w:space="0" w:color="auto"/>
                <w:bottom w:val="none" w:sz="0" w:space="0" w:color="auto"/>
                <w:right w:val="none" w:sz="0" w:space="0" w:color="auto"/>
              </w:divBdr>
              <w:divsChild>
                <w:div w:id="1175146369">
                  <w:marLeft w:val="0"/>
                  <w:marRight w:val="0"/>
                  <w:marTop w:val="0"/>
                  <w:marBottom w:val="0"/>
                  <w:divBdr>
                    <w:top w:val="none" w:sz="0" w:space="0" w:color="auto"/>
                    <w:left w:val="none" w:sz="0" w:space="0" w:color="auto"/>
                    <w:bottom w:val="none" w:sz="0" w:space="0" w:color="auto"/>
                    <w:right w:val="none" w:sz="0" w:space="0" w:color="auto"/>
                  </w:divBdr>
                  <w:divsChild>
                    <w:div w:id="460611159">
                      <w:marLeft w:val="0"/>
                      <w:marRight w:val="0"/>
                      <w:marTop w:val="0"/>
                      <w:marBottom w:val="0"/>
                      <w:divBdr>
                        <w:top w:val="none" w:sz="0" w:space="0" w:color="auto"/>
                        <w:left w:val="none" w:sz="0" w:space="0" w:color="auto"/>
                        <w:bottom w:val="none" w:sz="0" w:space="0" w:color="auto"/>
                        <w:right w:val="none" w:sz="0" w:space="0" w:color="auto"/>
                      </w:divBdr>
                      <w:divsChild>
                        <w:div w:id="1473867187">
                          <w:marLeft w:val="0"/>
                          <w:marRight w:val="300"/>
                          <w:marTop w:val="300"/>
                          <w:marBottom w:val="300"/>
                          <w:divBdr>
                            <w:top w:val="none" w:sz="0" w:space="0" w:color="auto"/>
                            <w:left w:val="none" w:sz="0" w:space="0" w:color="auto"/>
                            <w:bottom w:val="none" w:sz="0" w:space="0" w:color="auto"/>
                            <w:right w:val="none" w:sz="0" w:space="0" w:color="auto"/>
                          </w:divBdr>
                          <w:divsChild>
                            <w:div w:id="1523860383">
                              <w:marLeft w:val="0"/>
                              <w:marRight w:val="0"/>
                              <w:marTop w:val="0"/>
                              <w:marBottom w:val="0"/>
                              <w:divBdr>
                                <w:top w:val="none" w:sz="0" w:space="0" w:color="auto"/>
                                <w:left w:val="none" w:sz="0" w:space="0" w:color="auto"/>
                                <w:bottom w:val="none" w:sz="0" w:space="0" w:color="auto"/>
                                <w:right w:val="none" w:sz="0" w:space="0" w:color="auto"/>
                              </w:divBdr>
                              <w:divsChild>
                                <w:div w:id="140729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42801249">
      <w:bodyDiv w:val="1"/>
      <w:marLeft w:val="0"/>
      <w:marRight w:val="0"/>
      <w:marTop w:val="0"/>
      <w:marBottom w:val="0"/>
      <w:divBdr>
        <w:top w:val="none" w:sz="0" w:space="0" w:color="auto"/>
        <w:left w:val="none" w:sz="0" w:space="0" w:color="auto"/>
        <w:bottom w:val="none" w:sz="0" w:space="0" w:color="auto"/>
        <w:right w:val="none" w:sz="0" w:space="0" w:color="auto"/>
      </w:divBdr>
    </w:div>
    <w:div w:id="770315125">
      <w:bodyDiv w:val="1"/>
      <w:marLeft w:val="0"/>
      <w:marRight w:val="0"/>
      <w:marTop w:val="0"/>
      <w:marBottom w:val="0"/>
      <w:divBdr>
        <w:top w:val="none" w:sz="0" w:space="0" w:color="auto"/>
        <w:left w:val="none" w:sz="0" w:space="0" w:color="auto"/>
        <w:bottom w:val="none" w:sz="0" w:space="0" w:color="auto"/>
        <w:right w:val="none" w:sz="0" w:space="0" w:color="auto"/>
      </w:divBdr>
    </w:div>
    <w:div w:id="906185894">
      <w:bodyDiv w:val="1"/>
      <w:marLeft w:val="0"/>
      <w:marRight w:val="0"/>
      <w:marTop w:val="0"/>
      <w:marBottom w:val="0"/>
      <w:divBdr>
        <w:top w:val="none" w:sz="0" w:space="0" w:color="auto"/>
        <w:left w:val="none" w:sz="0" w:space="0" w:color="auto"/>
        <w:bottom w:val="none" w:sz="0" w:space="0" w:color="auto"/>
        <w:right w:val="none" w:sz="0" w:space="0" w:color="auto"/>
      </w:divBdr>
    </w:div>
    <w:div w:id="943221367">
      <w:bodyDiv w:val="1"/>
      <w:marLeft w:val="0"/>
      <w:marRight w:val="0"/>
      <w:marTop w:val="300"/>
      <w:marBottom w:val="0"/>
      <w:divBdr>
        <w:top w:val="none" w:sz="0" w:space="0" w:color="auto"/>
        <w:left w:val="none" w:sz="0" w:space="0" w:color="auto"/>
        <w:bottom w:val="none" w:sz="0" w:space="0" w:color="auto"/>
        <w:right w:val="none" w:sz="0" w:space="0" w:color="auto"/>
      </w:divBdr>
      <w:divsChild>
        <w:div w:id="988249428">
          <w:marLeft w:val="0"/>
          <w:marRight w:val="0"/>
          <w:marTop w:val="0"/>
          <w:marBottom w:val="0"/>
          <w:divBdr>
            <w:top w:val="none" w:sz="0" w:space="0" w:color="auto"/>
            <w:left w:val="none" w:sz="0" w:space="0" w:color="auto"/>
            <w:bottom w:val="none" w:sz="0" w:space="0" w:color="auto"/>
            <w:right w:val="none" w:sz="0" w:space="0" w:color="auto"/>
          </w:divBdr>
          <w:divsChild>
            <w:div w:id="991104659">
              <w:marLeft w:val="0"/>
              <w:marRight w:val="0"/>
              <w:marTop w:val="0"/>
              <w:marBottom w:val="0"/>
              <w:divBdr>
                <w:top w:val="none" w:sz="0" w:space="0" w:color="auto"/>
                <w:left w:val="none" w:sz="0" w:space="0" w:color="auto"/>
                <w:bottom w:val="none" w:sz="0" w:space="0" w:color="auto"/>
                <w:right w:val="none" w:sz="0" w:space="0" w:color="auto"/>
              </w:divBdr>
              <w:divsChild>
                <w:div w:id="81147943">
                  <w:marLeft w:val="0"/>
                  <w:marRight w:val="0"/>
                  <w:marTop w:val="0"/>
                  <w:marBottom w:val="0"/>
                  <w:divBdr>
                    <w:top w:val="none" w:sz="0" w:space="0" w:color="auto"/>
                    <w:left w:val="none" w:sz="0" w:space="0" w:color="auto"/>
                    <w:bottom w:val="none" w:sz="0" w:space="0" w:color="auto"/>
                    <w:right w:val="none" w:sz="0" w:space="0" w:color="auto"/>
                  </w:divBdr>
                  <w:divsChild>
                    <w:div w:id="860706679">
                      <w:marLeft w:val="0"/>
                      <w:marRight w:val="0"/>
                      <w:marTop w:val="0"/>
                      <w:marBottom w:val="0"/>
                      <w:divBdr>
                        <w:top w:val="none" w:sz="0" w:space="0" w:color="auto"/>
                        <w:left w:val="none" w:sz="0" w:space="0" w:color="auto"/>
                        <w:bottom w:val="none" w:sz="0" w:space="0" w:color="auto"/>
                        <w:right w:val="none" w:sz="0" w:space="0" w:color="auto"/>
                      </w:divBdr>
                      <w:divsChild>
                        <w:div w:id="1308127485">
                          <w:marLeft w:val="0"/>
                          <w:marRight w:val="300"/>
                          <w:marTop w:val="300"/>
                          <w:marBottom w:val="300"/>
                          <w:divBdr>
                            <w:top w:val="none" w:sz="0" w:space="0" w:color="auto"/>
                            <w:left w:val="none" w:sz="0" w:space="0" w:color="auto"/>
                            <w:bottom w:val="none" w:sz="0" w:space="0" w:color="auto"/>
                            <w:right w:val="none" w:sz="0" w:space="0" w:color="auto"/>
                          </w:divBdr>
                          <w:divsChild>
                            <w:div w:id="1290085651">
                              <w:marLeft w:val="0"/>
                              <w:marRight w:val="0"/>
                              <w:marTop w:val="0"/>
                              <w:marBottom w:val="0"/>
                              <w:divBdr>
                                <w:top w:val="none" w:sz="0" w:space="0" w:color="auto"/>
                                <w:left w:val="none" w:sz="0" w:space="0" w:color="auto"/>
                                <w:bottom w:val="none" w:sz="0" w:space="0" w:color="auto"/>
                                <w:right w:val="none" w:sz="0" w:space="0" w:color="auto"/>
                              </w:divBdr>
                              <w:divsChild>
                                <w:div w:id="1472212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81613740">
      <w:bodyDiv w:val="1"/>
      <w:marLeft w:val="0"/>
      <w:marRight w:val="0"/>
      <w:marTop w:val="0"/>
      <w:marBottom w:val="0"/>
      <w:divBdr>
        <w:top w:val="none" w:sz="0" w:space="0" w:color="auto"/>
        <w:left w:val="none" w:sz="0" w:space="0" w:color="auto"/>
        <w:bottom w:val="none" w:sz="0" w:space="0" w:color="auto"/>
        <w:right w:val="none" w:sz="0" w:space="0" w:color="auto"/>
      </w:divBdr>
    </w:div>
    <w:div w:id="1064570057">
      <w:bodyDiv w:val="1"/>
      <w:marLeft w:val="0"/>
      <w:marRight w:val="0"/>
      <w:marTop w:val="300"/>
      <w:marBottom w:val="0"/>
      <w:divBdr>
        <w:top w:val="none" w:sz="0" w:space="0" w:color="auto"/>
        <w:left w:val="none" w:sz="0" w:space="0" w:color="auto"/>
        <w:bottom w:val="none" w:sz="0" w:space="0" w:color="auto"/>
        <w:right w:val="none" w:sz="0" w:space="0" w:color="auto"/>
      </w:divBdr>
      <w:divsChild>
        <w:div w:id="841817645">
          <w:marLeft w:val="0"/>
          <w:marRight w:val="0"/>
          <w:marTop w:val="0"/>
          <w:marBottom w:val="0"/>
          <w:divBdr>
            <w:top w:val="none" w:sz="0" w:space="0" w:color="auto"/>
            <w:left w:val="none" w:sz="0" w:space="0" w:color="auto"/>
            <w:bottom w:val="none" w:sz="0" w:space="0" w:color="auto"/>
            <w:right w:val="none" w:sz="0" w:space="0" w:color="auto"/>
          </w:divBdr>
          <w:divsChild>
            <w:div w:id="82993357">
              <w:marLeft w:val="0"/>
              <w:marRight w:val="0"/>
              <w:marTop w:val="0"/>
              <w:marBottom w:val="0"/>
              <w:divBdr>
                <w:top w:val="none" w:sz="0" w:space="0" w:color="auto"/>
                <w:left w:val="none" w:sz="0" w:space="0" w:color="auto"/>
                <w:bottom w:val="none" w:sz="0" w:space="0" w:color="auto"/>
                <w:right w:val="none" w:sz="0" w:space="0" w:color="auto"/>
              </w:divBdr>
              <w:divsChild>
                <w:div w:id="752160856">
                  <w:marLeft w:val="0"/>
                  <w:marRight w:val="0"/>
                  <w:marTop w:val="0"/>
                  <w:marBottom w:val="0"/>
                  <w:divBdr>
                    <w:top w:val="none" w:sz="0" w:space="0" w:color="auto"/>
                    <w:left w:val="none" w:sz="0" w:space="0" w:color="auto"/>
                    <w:bottom w:val="none" w:sz="0" w:space="0" w:color="auto"/>
                    <w:right w:val="none" w:sz="0" w:space="0" w:color="auto"/>
                  </w:divBdr>
                  <w:divsChild>
                    <w:div w:id="1101102847">
                      <w:marLeft w:val="0"/>
                      <w:marRight w:val="0"/>
                      <w:marTop w:val="0"/>
                      <w:marBottom w:val="0"/>
                      <w:divBdr>
                        <w:top w:val="none" w:sz="0" w:space="0" w:color="auto"/>
                        <w:left w:val="none" w:sz="0" w:space="0" w:color="auto"/>
                        <w:bottom w:val="none" w:sz="0" w:space="0" w:color="auto"/>
                        <w:right w:val="none" w:sz="0" w:space="0" w:color="auto"/>
                      </w:divBdr>
                      <w:divsChild>
                        <w:div w:id="159470483">
                          <w:marLeft w:val="0"/>
                          <w:marRight w:val="300"/>
                          <w:marTop w:val="300"/>
                          <w:marBottom w:val="300"/>
                          <w:divBdr>
                            <w:top w:val="none" w:sz="0" w:space="0" w:color="auto"/>
                            <w:left w:val="none" w:sz="0" w:space="0" w:color="auto"/>
                            <w:bottom w:val="none" w:sz="0" w:space="0" w:color="auto"/>
                            <w:right w:val="none" w:sz="0" w:space="0" w:color="auto"/>
                          </w:divBdr>
                          <w:divsChild>
                            <w:div w:id="758260288">
                              <w:marLeft w:val="0"/>
                              <w:marRight w:val="0"/>
                              <w:marTop w:val="0"/>
                              <w:marBottom w:val="0"/>
                              <w:divBdr>
                                <w:top w:val="none" w:sz="0" w:space="0" w:color="auto"/>
                                <w:left w:val="none" w:sz="0" w:space="0" w:color="auto"/>
                                <w:bottom w:val="none" w:sz="0" w:space="0" w:color="auto"/>
                                <w:right w:val="none" w:sz="0" w:space="0" w:color="auto"/>
                              </w:divBdr>
                              <w:divsChild>
                                <w:div w:id="1291474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84647775">
      <w:bodyDiv w:val="1"/>
      <w:marLeft w:val="0"/>
      <w:marRight w:val="0"/>
      <w:marTop w:val="0"/>
      <w:marBottom w:val="0"/>
      <w:divBdr>
        <w:top w:val="none" w:sz="0" w:space="0" w:color="auto"/>
        <w:left w:val="none" w:sz="0" w:space="0" w:color="auto"/>
        <w:bottom w:val="none" w:sz="0" w:space="0" w:color="auto"/>
        <w:right w:val="none" w:sz="0" w:space="0" w:color="auto"/>
      </w:divBdr>
    </w:div>
    <w:div w:id="1293049526">
      <w:bodyDiv w:val="1"/>
      <w:marLeft w:val="0"/>
      <w:marRight w:val="0"/>
      <w:marTop w:val="0"/>
      <w:marBottom w:val="0"/>
      <w:divBdr>
        <w:top w:val="none" w:sz="0" w:space="0" w:color="auto"/>
        <w:left w:val="none" w:sz="0" w:space="0" w:color="auto"/>
        <w:bottom w:val="none" w:sz="0" w:space="0" w:color="auto"/>
        <w:right w:val="none" w:sz="0" w:space="0" w:color="auto"/>
      </w:divBdr>
    </w:div>
    <w:div w:id="1463228723">
      <w:bodyDiv w:val="1"/>
      <w:marLeft w:val="0"/>
      <w:marRight w:val="0"/>
      <w:marTop w:val="0"/>
      <w:marBottom w:val="0"/>
      <w:divBdr>
        <w:top w:val="none" w:sz="0" w:space="0" w:color="auto"/>
        <w:left w:val="none" w:sz="0" w:space="0" w:color="auto"/>
        <w:bottom w:val="none" w:sz="0" w:space="0" w:color="auto"/>
        <w:right w:val="none" w:sz="0" w:space="0" w:color="auto"/>
      </w:divBdr>
    </w:div>
    <w:div w:id="1592356417">
      <w:bodyDiv w:val="1"/>
      <w:marLeft w:val="0"/>
      <w:marRight w:val="0"/>
      <w:marTop w:val="300"/>
      <w:marBottom w:val="0"/>
      <w:divBdr>
        <w:top w:val="none" w:sz="0" w:space="0" w:color="auto"/>
        <w:left w:val="none" w:sz="0" w:space="0" w:color="auto"/>
        <w:bottom w:val="none" w:sz="0" w:space="0" w:color="auto"/>
        <w:right w:val="none" w:sz="0" w:space="0" w:color="auto"/>
      </w:divBdr>
      <w:divsChild>
        <w:div w:id="1138064895">
          <w:marLeft w:val="0"/>
          <w:marRight w:val="0"/>
          <w:marTop w:val="0"/>
          <w:marBottom w:val="0"/>
          <w:divBdr>
            <w:top w:val="none" w:sz="0" w:space="0" w:color="auto"/>
            <w:left w:val="none" w:sz="0" w:space="0" w:color="auto"/>
            <w:bottom w:val="none" w:sz="0" w:space="0" w:color="auto"/>
            <w:right w:val="none" w:sz="0" w:space="0" w:color="auto"/>
          </w:divBdr>
          <w:divsChild>
            <w:div w:id="2026514847">
              <w:marLeft w:val="0"/>
              <w:marRight w:val="0"/>
              <w:marTop w:val="0"/>
              <w:marBottom w:val="0"/>
              <w:divBdr>
                <w:top w:val="none" w:sz="0" w:space="0" w:color="auto"/>
                <w:left w:val="none" w:sz="0" w:space="0" w:color="auto"/>
                <w:bottom w:val="none" w:sz="0" w:space="0" w:color="auto"/>
                <w:right w:val="none" w:sz="0" w:space="0" w:color="auto"/>
              </w:divBdr>
              <w:divsChild>
                <w:div w:id="455373235">
                  <w:marLeft w:val="0"/>
                  <w:marRight w:val="0"/>
                  <w:marTop w:val="0"/>
                  <w:marBottom w:val="0"/>
                  <w:divBdr>
                    <w:top w:val="none" w:sz="0" w:space="0" w:color="auto"/>
                    <w:left w:val="none" w:sz="0" w:space="0" w:color="auto"/>
                    <w:bottom w:val="none" w:sz="0" w:space="0" w:color="auto"/>
                    <w:right w:val="none" w:sz="0" w:space="0" w:color="auto"/>
                  </w:divBdr>
                  <w:divsChild>
                    <w:div w:id="98835278">
                      <w:marLeft w:val="0"/>
                      <w:marRight w:val="0"/>
                      <w:marTop w:val="0"/>
                      <w:marBottom w:val="0"/>
                      <w:divBdr>
                        <w:top w:val="none" w:sz="0" w:space="0" w:color="auto"/>
                        <w:left w:val="none" w:sz="0" w:space="0" w:color="auto"/>
                        <w:bottom w:val="none" w:sz="0" w:space="0" w:color="auto"/>
                        <w:right w:val="none" w:sz="0" w:space="0" w:color="auto"/>
                      </w:divBdr>
                      <w:divsChild>
                        <w:div w:id="107823255">
                          <w:marLeft w:val="0"/>
                          <w:marRight w:val="300"/>
                          <w:marTop w:val="300"/>
                          <w:marBottom w:val="300"/>
                          <w:divBdr>
                            <w:top w:val="none" w:sz="0" w:space="0" w:color="auto"/>
                            <w:left w:val="none" w:sz="0" w:space="0" w:color="auto"/>
                            <w:bottom w:val="none" w:sz="0" w:space="0" w:color="auto"/>
                            <w:right w:val="none" w:sz="0" w:space="0" w:color="auto"/>
                          </w:divBdr>
                          <w:divsChild>
                            <w:div w:id="965352537">
                              <w:marLeft w:val="0"/>
                              <w:marRight w:val="0"/>
                              <w:marTop w:val="0"/>
                              <w:marBottom w:val="0"/>
                              <w:divBdr>
                                <w:top w:val="none" w:sz="0" w:space="0" w:color="auto"/>
                                <w:left w:val="none" w:sz="0" w:space="0" w:color="auto"/>
                                <w:bottom w:val="none" w:sz="0" w:space="0" w:color="auto"/>
                                <w:right w:val="none" w:sz="0" w:space="0" w:color="auto"/>
                              </w:divBdr>
                              <w:divsChild>
                                <w:div w:id="1078405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00412721">
      <w:bodyDiv w:val="1"/>
      <w:marLeft w:val="0"/>
      <w:marRight w:val="0"/>
      <w:marTop w:val="0"/>
      <w:marBottom w:val="0"/>
      <w:divBdr>
        <w:top w:val="none" w:sz="0" w:space="0" w:color="auto"/>
        <w:left w:val="none" w:sz="0" w:space="0" w:color="auto"/>
        <w:bottom w:val="none" w:sz="0" w:space="0" w:color="auto"/>
        <w:right w:val="none" w:sz="0" w:space="0" w:color="auto"/>
      </w:divBdr>
    </w:div>
    <w:div w:id="1934782693">
      <w:bodyDiv w:val="1"/>
      <w:marLeft w:val="0"/>
      <w:marRight w:val="0"/>
      <w:marTop w:val="300"/>
      <w:marBottom w:val="0"/>
      <w:divBdr>
        <w:top w:val="none" w:sz="0" w:space="0" w:color="auto"/>
        <w:left w:val="none" w:sz="0" w:space="0" w:color="auto"/>
        <w:bottom w:val="none" w:sz="0" w:space="0" w:color="auto"/>
        <w:right w:val="none" w:sz="0" w:space="0" w:color="auto"/>
      </w:divBdr>
      <w:divsChild>
        <w:div w:id="893199002">
          <w:marLeft w:val="0"/>
          <w:marRight w:val="0"/>
          <w:marTop w:val="0"/>
          <w:marBottom w:val="0"/>
          <w:divBdr>
            <w:top w:val="none" w:sz="0" w:space="0" w:color="auto"/>
            <w:left w:val="none" w:sz="0" w:space="0" w:color="auto"/>
            <w:bottom w:val="none" w:sz="0" w:space="0" w:color="auto"/>
            <w:right w:val="none" w:sz="0" w:space="0" w:color="auto"/>
          </w:divBdr>
          <w:divsChild>
            <w:div w:id="2010332382">
              <w:marLeft w:val="0"/>
              <w:marRight w:val="0"/>
              <w:marTop w:val="0"/>
              <w:marBottom w:val="0"/>
              <w:divBdr>
                <w:top w:val="none" w:sz="0" w:space="0" w:color="auto"/>
                <w:left w:val="none" w:sz="0" w:space="0" w:color="auto"/>
                <w:bottom w:val="none" w:sz="0" w:space="0" w:color="auto"/>
                <w:right w:val="none" w:sz="0" w:space="0" w:color="auto"/>
              </w:divBdr>
              <w:divsChild>
                <w:div w:id="686709362">
                  <w:marLeft w:val="0"/>
                  <w:marRight w:val="0"/>
                  <w:marTop w:val="0"/>
                  <w:marBottom w:val="0"/>
                  <w:divBdr>
                    <w:top w:val="none" w:sz="0" w:space="0" w:color="auto"/>
                    <w:left w:val="none" w:sz="0" w:space="0" w:color="auto"/>
                    <w:bottom w:val="none" w:sz="0" w:space="0" w:color="auto"/>
                    <w:right w:val="none" w:sz="0" w:space="0" w:color="auto"/>
                  </w:divBdr>
                  <w:divsChild>
                    <w:div w:id="236133766">
                      <w:marLeft w:val="0"/>
                      <w:marRight w:val="0"/>
                      <w:marTop w:val="0"/>
                      <w:marBottom w:val="0"/>
                      <w:divBdr>
                        <w:top w:val="none" w:sz="0" w:space="0" w:color="auto"/>
                        <w:left w:val="none" w:sz="0" w:space="0" w:color="auto"/>
                        <w:bottom w:val="none" w:sz="0" w:space="0" w:color="auto"/>
                        <w:right w:val="none" w:sz="0" w:space="0" w:color="auto"/>
                      </w:divBdr>
                      <w:divsChild>
                        <w:div w:id="1305355981">
                          <w:marLeft w:val="0"/>
                          <w:marRight w:val="300"/>
                          <w:marTop w:val="300"/>
                          <w:marBottom w:val="300"/>
                          <w:divBdr>
                            <w:top w:val="none" w:sz="0" w:space="0" w:color="auto"/>
                            <w:left w:val="none" w:sz="0" w:space="0" w:color="auto"/>
                            <w:bottom w:val="none" w:sz="0" w:space="0" w:color="auto"/>
                            <w:right w:val="none" w:sz="0" w:space="0" w:color="auto"/>
                          </w:divBdr>
                          <w:divsChild>
                            <w:div w:id="1459255450">
                              <w:marLeft w:val="0"/>
                              <w:marRight w:val="0"/>
                              <w:marTop w:val="0"/>
                              <w:marBottom w:val="0"/>
                              <w:divBdr>
                                <w:top w:val="none" w:sz="0" w:space="0" w:color="auto"/>
                                <w:left w:val="none" w:sz="0" w:space="0" w:color="auto"/>
                                <w:bottom w:val="none" w:sz="0" w:space="0" w:color="auto"/>
                                <w:right w:val="none" w:sz="0" w:space="0" w:color="auto"/>
                              </w:divBdr>
                              <w:divsChild>
                                <w:div w:id="1739474801">
                                  <w:marLeft w:val="0"/>
                                  <w:marRight w:val="0"/>
                                  <w:marTop w:val="0"/>
                                  <w:marBottom w:val="0"/>
                                  <w:divBdr>
                                    <w:top w:val="none" w:sz="0" w:space="0" w:color="auto"/>
                                    <w:left w:val="none" w:sz="0" w:space="0" w:color="auto"/>
                                    <w:bottom w:val="none" w:sz="0" w:space="0" w:color="auto"/>
                                    <w:right w:val="none" w:sz="0" w:space="0" w:color="auto"/>
                                  </w:divBdr>
                                  <w:divsChild>
                                    <w:div w:id="1092504701">
                                      <w:blockQuote w:val="1"/>
                                      <w:marLeft w:val="720"/>
                                      <w:marRight w:val="300"/>
                                      <w:marTop w:val="100"/>
                                      <w:marBottom w:val="100"/>
                                      <w:divBdr>
                                        <w:top w:val="none" w:sz="0" w:space="0" w:color="auto"/>
                                        <w:left w:val="none" w:sz="0" w:space="0" w:color="auto"/>
                                        <w:bottom w:val="none" w:sz="0" w:space="0" w:color="auto"/>
                                        <w:right w:val="none" w:sz="0" w:space="0" w:color="auto"/>
                                      </w:divBdr>
                                    </w:div>
                                    <w:div w:id="1419056822">
                                      <w:blockQuote w:val="1"/>
                                      <w:marLeft w:val="720"/>
                                      <w:marRight w:val="300"/>
                                      <w:marTop w:val="100"/>
                                      <w:marBottom w:val="100"/>
                                      <w:divBdr>
                                        <w:top w:val="none" w:sz="0" w:space="0" w:color="auto"/>
                                        <w:left w:val="none" w:sz="0" w:space="0" w:color="auto"/>
                                        <w:bottom w:val="none" w:sz="0" w:space="0" w:color="auto"/>
                                        <w:right w:val="none" w:sz="0" w:space="0" w:color="auto"/>
                                      </w:divBdr>
                                    </w:div>
                                    <w:div w:id="1663388194">
                                      <w:blockQuote w:val="1"/>
                                      <w:marLeft w:val="720"/>
                                      <w:marRight w:val="30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xbrlsite.azurewebsites.net/DigitalFinancialReporting/Templates/us-gaap/2017-05-07/" TargetMode="External"/><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6.png"/></Relationships>
</file>

<file path=word/_rels/footer1.xml.rels><?xml version="1.0" encoding="UTF-8" standalone="yes"?>
<Relationships xmlns="http://schemas.openxmlformats.org/package/2006/relationships"><Relationship Id="rId3" Type="http://schemas.openxmlformats.org/officeDocument/2006/relationships/hyperlink" Target="https://creativecommons.org/publicdomain/zero/1.0/" TargetMode="External"/><Relationship Id="rId2" Type="http://schemas.openxmlformats.org/officeDocument/2006/relationships/image" Target="media/image7.png"/><Relationship Id="rId1" Type="http://schemas.openxmlformats.org/officeDocument/2006/relationships/hyperlink" Target="https://creativecommons.org/publicdomain/zero/1.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Walter\Application%20Data\Microsoft\Templates\whNorma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A5DFEB-C241-4B07-A5D9-F445701E2F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whNormal.dot</Template>
  <TotalTime>735</TotalTime>
  <Pages>6</Pages>
  <Words>1884</Words>
  <Characters>10745</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Financial Reporting Using XBRL</vt:lpstr>
    </vt:vector>
  </TitlesOfParts>
  <Company/>
  <LinksUpToDate>false</LinksUpToDate>
  <CharactersWithSpaces>12604</CharactersWithSpaces>
  <SharedDoc>false</SharedDoc>
  <HLinks>
    <vt:vector size="1212" baseType="variant">
      <vt:variant>
        <vt:i4>7929872</vt:i4>
      </vt:variant>
      <vt:variant>
        <vt:i4>1104</vt:i4>
      </vt:variant>
      <vt:variant>
        <vt:i4>0</vt:i4>
      </vt:variant>
      <vt:variant>
        <vt:i4>5</vt:i4>
      </vt:variant>
      <vt:variant>
        <vt:lpwstr>http://en.wikipedia.org/wiki/Partition_of_a_set</vt:lpwstr>
      </vt:variant>
      <vt:variant>
        <vt:lpwstr/>
      </vt:variant>
      <vt:variant>
        <vt:i4>6160399</vt:i4>
      </vt:variant>
      <vt:variant>
        <vt:i4>1101</vt:i4>
      </vt:variant>
      <vt:variant>
        <vt:i4>0</vt:i4>
      </vt:variant>
      <vt:variant>
        <vt:i4>5</vt:i4>
      </vt:variant>
      <vt:variant>
        <vt:lpwstr>http://www.xbrl.org/Specification/XDT-REC-2006-09-18+Corrected-Errata-2009-09-07.htm</vt:lpwstr>
      </vt:variant>
      <vt:variant>
        <vt:lpwstr/>
      </vt:variant>
      <vt:variant>
        <vt:i4>3342379</vt:i4>
      </vt:variant>
      <vt:variant>
        <vt:i4>1098</vt:i4>
      </vt:variant>
      <vt:variant>
        <vt:i4>0</vt:i4>
      </vt:variant>
      <vt:variant>
        <vt:i4>5</vt:i4>
      </vt:variant>
      <vt:variant>
        <vt:lpwstr>http://www.xbrlsite.com/US-GAAP-2011/Exemplars/Viewer3.html</vt:lpwstr>
      </vt:variant>
      <vt:variant>
        <vt:lpwstr/>
      </vt:variant>
      <vt:variant>
        <vt:i4>3342452</vt:i4>
      </vt:variant>
      <vt:variant>
        <vt:i4>1095</vt:i4>
      </vt:variant>
      <vt:variant>
        <vt:i4>0</vt:i4>
      </vt:variant>
      <vt:variant>
        <vt:i4>5</vt:i4>
      </vt:variant>
      <vt:variant>
        <vt:lpwstr>http://www.xbrlsite.com/US-GAAP-2011/Exemplars/Viewer.html</vt:lpwstr>
      </vt:variant>
      <vt:variant>
        <vt:lpwstr/>
      </vt:variant>
      <vt:variant>
        <vt:i4>7077938</vt:i4>
      </vt:variant>
      <vt:variant>
        <vt:i4>1092</vt:i4>
      </vt:variant>
      <vt:variant>
        <vt:i4>0</vt:i4>
      </vt:variant>
      <vt:variant>
        <vt:i4>5</vt:i4>
      </vt:variant>
      <vt:variant>
        <vt:lpwstr>http://goo.gl/AUwrO</vt:lpwstr>
      </vt:variant>
      <vt:variant>
        <vt:lpwstr/>
      </vt:variant>
      <vt:variant>
        <vt:i4>4718664</vt:i4>
      </vt:variant>
      <vt:variant>
        <vt:i4>1089</vt:i4>
      </vt:variant>
      <vt:variant>
        <vt:i4>0</vt:i4>
      </vt:variant>
      <vt:variant>
        <vt:i4>5</vt:i4>
      </vt:variant>
      <vt:variant>
        <vt:lpwstr>http://xbrl.us/Documents/SECOFM-USGAAPT-Architecture-20080428.pdf</vt:lpwstr>
      </vt:variant>
      <vt:variant>
        <vt:lpwstr/>
      </vt:variant>
      <vt:variant>
        <vt:i4>7274544</vt:i4>
      </vt:variant>
      <vt:variant>
        <vt:i4>1086</vt:i4>
      </vt:variant>
      <vt:variant>
        <vt:i4>0</vt:i4>
      </vt:variant>
      <vt:variant>
        <vt:i4>5</vt:i4>
      </vt:variant>
      <vt:variant>
        <vt:lpwstr>http://www.xbrlsite.com/US-GAAP/Metapatterns/US-GAAP-Taxonomy-Metapatterns.pdf</vt:lpwstr>
      </vt:variant>
      <vt:variant>
        <vt:lpwstr/>
      </vt:variant>
      <vt:variant>
        <vt:i4>4128867</vt:i4>
      </vt:variant>
      <vt:variant>
        <vt:i4>1083</vt:i4>
      </vt:variant>
      <vt:variant>
        <vt:i4>0</vt:i4>
      </vt:variant>
      <vt:variant>
        <vt:i4>5</vt:i4>
      </vt:variant>
      <vt:variant>
        <vt:lpwstr>http://www.xbrlsite.com/Metapatterns/2010-08-01/Matrix.html</vt:lpwstr>
      </vt:variant>
      <vt:variant>
        <vt:lpwstr/>
      </vt:variant>
      <vt:variant>
        <vt:i4>3866687</vt:i4>
      </vt:variant>
      <vt:variant>
        <vt:i4>1080</vt:i4>
      </vt:variant>
      <vt:variant>
        <vt:i4>0</vt:i4>
      </vt:variant>
      <vt:variant>
        <vt:i4>5</vt:i4>
      </vt:variant>
      <vt:variant>
        <vt:lpwstr>http://www.xbrlsite.com/Patterns/2010-08-01/BusinessUseCases-Documentation.pdf</vt:lpwstr>
      </vt:variant>
      <vt:variant>
        <vt:lpwstr/>
      </vt:variant>
      <vt:variant>
        <vt:i4>3866746</vt:i4>
      </vt:variant>
      <vt:variant>
        <vt:i4>1077</vt:i4>
      </vt:variant>
      <vt:variant>
        <vt:i4>0</vt:i4>
      </vt:variant>
      <vt:variant>
        <vt:i4>5</vt:i4>
      </vt:variant>
      <vt:variant>
        <vt:lpwstr>http://www.xbrlsite.com/Patterns/2010-08-01/Matrix.html</vt:lpwstr>
      </vt:variant>
      <vt:variant>
        <vt:lpwstr/>
      </vt:variant>
      <vt:variant>
        <vt:i4>1376282</vt:i4>
      </vt:variant>
      <vt:variant>
        <vt:i4>1074</vt:i4>
      </vt:variant>
      <vt:variant>
        <vt:i4>0</vt:i4>
      </vt:variant>
      <vt:variant>
        <vt:i4>5</vt:i4>
      </vt:variant>
      <vt:variant>
        <vt:lpwstr>http://www.xbrl.org/us/USFRTF/USFRTF-PatternsGuide-PWD-2007-04-17.doc</vt:lpwstr>
      </vt:variant>
      <vt:variant>
        <vt:lpwstr/>
      </vt:variant>
      <vt:variant>
        <vt:i4>4259933</vt:i4>
      </vt:variant>
      <vt:variant>
        <vt:i4>1071</vt:i4>
      </vt:variant>
      <vt:variant>
        <vt:i4>0</vt:i4>
      </vt:variant>
      <vt:variant>
        <vt:i4>5</vt:i4>
      </vt:variant>
      <vt:variant>
        <vt:lpwstr>http://www.xbrlsite.com/US-GAAP-2011/ReferenceImplementation/2011-03-15/Documentation.pdf</vt:lpwstr>
      </vt:variant>
      <vt:variant>
        <vt:lpwstr/>
      </vt:variant>
      <vt:variant>
        <vt:i4>4587590</vt:i4>
      </vt:variant>
      <vt:variant>
        <vt:i4>1068</vt:i4>
      </vt:variant>
      <vt:variant>
        <vt:i4>0</vt:i4>
      </vt:variant>
      <vt:variant>
        <vt:i4>5</vt:i4>
      </vt:variant>
      <vt:variant>
        <vt:lpwstr>http://www.xbrlsite.com/US-GAAP-2011/ReferenceImplementation/2011-03-15/Landing.html</vt:lpwstr>
      </vt:variant>
      <vt:variant>
        <vt:lpwstr/>
      </vt:variant>
      <vt:variant>
        <vt:i4>983054</vt:i4>
      </vt:variant>
      <vt:variant>
        <vt:i4>1065</vt:i4>
      </vt:variant>
      <vt:variant>
        <vt:i4>0</vt:i4>
      </vt:variant>
      <vt:variant>
        <vt:i4>5</vt:i4>
      </vt:variant>
      <vt:variant>
        <vt:lpwstr>http://www.sec.gov/Archives/edgar/data/859139/000095012310103206</vt:lpwstr>
      </vt:variant>
      <vt:variant>
        <vt:lpwstr/>
      </vt:variant>
      <vt:variant>
        <vt:i4>1638426</vt:i4>
      </vt:variant>
      <vt:variant>
        <vt:i4>1062</vt:i4>
      </vt:variant>
      <vt:variant>
        <vt:i4>0</vt:i4>
      </vt:variant>
      <vt:variant>
        <vt:i4>5</vt:i4>
      </vt:variant>
      <vt:variant>
        <vt:lpwstr>http://www.sec.gov/Archives/edgar/data/1168213/000116821310000075</vt:lpwstr>
      </vt:variant>
      <vt:variant>
        <vt:lpwstr/>
      </vt:variant>
      <vt:variant>
        <vt:i4>7733362</vt:i4>
      </vt:variant>
      <vt:variant>
        <vt:i4>1059</vt:i4>
      </vt:variant>
      <vt:variant>
        <vt:i4>0</vt:i4>
      </vt:variant>
      <vt:variant>
        <vt:i4>5</vt:i4>
      </vt:variant>
      <vt:variant>
        <vt:lpwstr>http://www.xbrlsite.com/2011/Analysis/</vt:lpwstr>
      </vt:variant>
      <vt:variant>
        <vt:lpwstr/>
      </vt:variant>
      <vt:variant>
        <vt:i4>4128867</vt:i4>
      </vt:variant>
      <vt:variant>
        <vt:i4>1056</vt:i4>
      </vt:variant>
      <vt:variant>
        <vt:i4>0</vt:i4>
      </vt:variant>
      <vt:variant>
        <vt:i4>5</vt:i4>
      </vt:variant>
      <vt:variant>
        <vt:lpwstr>http://www.xbrlsite.com/Metapatterns/2010-08-01/Matrix.html</vt:lpwstr>
      </vt:variant>
      <vt:variant>
        <vt:lpwstr/>
      </vt:variant>
      <vt:variant>
        <vt:i4>917608</vt:i4>
      </vt:variant>
      <vt:variant>
        <vt:i4>1053</vt:i4>
      </vt:variant>
      <vt:variant>
        <vt:i4>0</vt:i4>
      </vt:variant>
      <vt:variant>
        <vt:i4>5</vt:i4>
      </vt:variant>
      <vt:variant>
        <vt:lpwstr>http://en.wikipedia.org/wiki/Concept_learning</vt:lpwstr>
      </vt:variant>
      <vt:variant>
        <vt:lpwstr/>
      </vt:variant>
      <vt:variant>
        <vt:i4>6881336</vt:i4>
      </vt:variant>
      <vt:variant>
        <vt:i4>1050</vt:i4>
      </vt:variant>
      <vt:variant>
        <vt:i4>0</vt:i4>
      </vt:variant>
      <vt:variant>
        <vt:i4>5</vt:i4>
      </vt:variant>
      <vt:variant>
        <vt:lpwstr>http://courses.umass.edu/psy315/prototype.html</vt:lpwstr>
      </vt:variant>
      <vt:variant>
        <vt:lpwstr/>
      </vt:variant>
      <vt:variant>
        <vt:i4>1048687</vt:i4>
      </vt:variant>
      <vt:variant>
        <vt:i4>1047</vt:i4>
      </vt:variant>
      <vt:variant>
        <vt:i4>0</vt:i4>
      </vt:variant>
      <vt:variant>
        <vt:i4>5</vt:i4>
      </vt:variant>
      <vt:variant>
        <vt:lpwstr>http://en.wikipedia.org/wiki/Prototype_theory</vt:lpwstr>
      </vt:variant>
      <vt:variant>
        <vt:lpwstr/>
      </vt:variant>
      <vt:variant>
        <vt:i4>5046283</vt:i4>
      </vt:variant>
      <vt:variant>
        <vt:i4>1044</vt:i4>
      </vt:variant>
      <vt:variant>
        <vt:i4>0</vt:i4>
      </vt:variant>
      <vt:variant>
        <vt:i4>5</vt:i4>
      </vt:variant>
      <vt:variant>
        <vt:lpwstr>http://www.xbrlsite.com/US-GAAP/ReferenceImplementation/Comparison/Index.html</vt:lpwstr>
      </vt:variant>
      <vt:variant>
        <vt:lpwstr/>
      </vt:variant>
      <vt:variant>
        <vt:i4>3342379</vt:i4>
      </vt:variant>
      <vt:variant>
        <vt:i4>1041</vt:i4>
      </vt:variant>
      <vt:variant>
        <vt:i4>0</vt:i4>
      </vt:variant>
      <vt:variant>
        <vt:i4>5</vt:i4>
      </vt:variant>
      <vt:variant>
        <vt:lpwstr>http://www.xbrlsite.com/US-GAAP-2011/Exemplars/Viewer3.html</vt:lpwstr>
      </vt:variant>
      <vt:variant>
        <vt:lpwstr/>
      </vt:variant>
      <vt:variant>
        <vt:i4>3342452</vt:i4>
      </vt:variant>
      <vt:variant>
        <vt:i4>1038</vt:i4>
      </vt:variant>
      <vt:variant>
        <vt:i4>0</vt:i4>
      </vt:variant>
      <vt:variant>
        <vt:i4>5</vt:i4>
      </vt:variant>
      <vt:variant>
        <vt:lpwstr>http://www.xbrlsite.com/US-GAAP-2011/Exemplars/Viewer.html</vt:lpwstr>
      </vt:variant>
      <vt:variant>
        <vt:lpwstr/>
      </vt:variant>
      <vt:variant>
        <vt:i4>6160474</vt:i4>
      </vt:variant>
      <vt:variant>
        <vt:i4>1032</vt:i4>
      </vt:variant>
      <vt:variant>
        <vt:i4>0</vt:i4>
      </vt:variant>
      <vt:variant>
        <vt:i4>5</vt:i4>
      </vt:variant>
      <vt:variant>
        <vt:lpwstr>http://stexx.files.wordpress.com/2010/07/combining_unstructured_semistructured_fullystructured_data.pdf</vt:lpwstr>
      </vt:variant>
      <vt:variant>
        <vt:lpwstr/>
      </vt:variant>
      <vt:variant>
        <vt:i4>8126563</vt:i4>
      </vt:variant>
      <vt:variant>
        <vt:i4>1029</vt:i4>
      </vt:variant>
      <vt:variant>
        <vt:i4>0</vt:i4>
      </vt:variant>
      <vt:variant>
        <vt:i4>5</vt:i4>
      </vt:variant>
      <vt:variant>
        <vt:lpwstr>http://goo.gl/4fSqO</vt:lpwstr>
      </vt:variant>
      <vt:variant>
        <vt:lpwstr/>
      </vt:variant>
      <vt:variant>
        <vt:i4>7798887</vt:i4>
      </vt:variant>
      <vt:variant>
        <vt:i4>1026</vt:i4>
      </vt:variant>
      <vt:variant>
        <vt:i4>0</vt:i4>
      </vt:variant>
      <vt:variant>
        <vt:i4>5</vt:i4>
      </vt:variant>
      <vt:variant>
        <vt:lpwstr>http://xasb.org/roles/BalanceSheet</vt:lpwstr>
      </vt:variant>
      <vt:variant>
        <vt:lpwstr/>
      </vt:variant>
      <vt:variant>
        <vt:i4>1835093</vt:i4>
      </vt:variant>
      <vt:variant>
        <vt:i4>1023</vt:i4>
      </vt:variant>
      <vt:variant>
        <vt:i4>0</vt:i4>
      </vt:variant>
      <vt:variant>
        <vt:i4>5</vt:i4>
      </vt:variant>
      <vt:variant>
        <vt:lpwstr>http://www.xbrlsite.com/US-GAAP-2011/LogicalModel/SEC-LogicalModel-2011-02-01.pdf</vt:lpwstr>
      </vt:variant>
      <vt:variant>
        <vt:lpwstr/>
      </vt:variant>
      <vt:variant>
        <vt:i4>7471201</vt:i4>
      </vt:variant>
      <vt:variant>
        <vt:i4>1017</vt:i4>
      </vt:variant>
      <vt:variant>
        <vt:i4>0</vt:i4>
      </vt:variant>
      <vt:variant>
        <vt:i4>5</vt:i4>
      </vt:variant>
      <vt:variant>
        <vt:lpwstr>http://goo.gl/qQ4Hx</vt:lpwstr>
      </vt:variant>
      <vt:variant>
        <vt:lpwstr/>
      </vt:variant>
      <vt:variant>
        <vt:i4>458762</vt:i4>
      </vt:variant>
      <vt:variant>
        <vt:i4>1014</vt:i4>
      </vt:variant>
      <vt:variant>
        <vt:i4>0</vt:i4>
      </vt:variant>
      <vt:variant>
        <vt:i4>5</vt:i4>
      </vt:variant>
      <vt:variant>
        <vt:lpwstr>http://xbrl.squarespace.com/</vt:lpwstr>
      </vt:variant>
      <vt:variant>
        <vt:lpwstr/>
      </vt:variant>
      <vt:variant>
        <vt:i4>1310783</vt:i4>
      </vt:variant>
      <vt:variant>
        <vt:i4>1007</vt:i4>
      </vt:variant>
      <vt:variant>
        <vt:i4>0</vt:i4>
      </vt:variant>
      <vt:variant>
        <vt:i4>5</vt:i4>
      </vt:variant>
      <vt:variant>
        <vt:lpwstr/>
      </vt:variant>
      <vt:variant>
        <vt:lpwstr>_Toc291850929</vt:lpwstr>
      </vt:variant>
      <vt:variant>
        <vt:i4>1310783</vt:i4>
      </vt:variant>
      <vt:variant>
        <vt:i4>1001</vt:i4>
      </vt:variant>
      <vt:variant>
        <vt:i4>0</vt:i4>
      </vt:variant>
      <vt:variant>
        <vt:i4>5</vt:i4>
      </vt:variant>
      <vt:variant>
        <vt:lpwstr/>
      </vt:variant>
      <vt:variant>
        <vt:lpwstr>_Toc291850928</vt:lpwstr>
      </vt:variant>
      <vt:variant>
        <vt:i4>1310783</vt:i4>
      </vt:variant>
      <vt:variant>
        <vt:i4>995</vt:i4>
      </vt:variant>
      <vt:variant>
        <vt:i4>0</vt:i4>
      </vt:variant>
      <vt:variant>
        <vt:i4>5</vt:i4>
      </vt:variant>
      <vt:variant>
        <vt:lpwstr/>
      </vt:variant>
      <vt:variant>
        <vt:lpwstr>_Toc291850927</vt:lpwstr>
      </vt:variant>
      <vt:variant>
        <vt:i4>1310783</vt:i4>
      </vt:variant>
      <vt:variant>
        <vt:i4>989</vt:i4>
      </vt:variant>
      <vt:variant>
        <vt:i4>0</vt:i4>
      </vt:variant>
      <vt:variant>
        <vt:i4>5</vt:i4>
      </vt:variant>
      <vt:variant>
        <vt:lpwstr/>
      </vt:variant>
      <vt:variant>
        <vt:lpwstr>_Toc291850926</vt:lpwstr>
      </vt:variant>
      <vt:variant>
        <vt:i4>1310783</vt:i4>
      </vt:variant>
      <vt:variant>
        <vt:i4>983</vt:i4>
      </vt:variant>
      <vt:variant>
        <vt:i4>0</vt:i4>
      </vt:variant>
      <vt:variant>
        <vt:i4>5</vt:i4>
      </vt:variant>
      <vt:variant>
        <vt:lpwstr/>
      </vt:variant>
      <vt:variant>
        <vt:lpwstr>_Toc291850925</vt:lpwstr>
      </vt:variant>
      <vt:variant>
        <vt:i4>1310783</vt:i4>
      </vt:variant>
      <vt:variant>
        <vt:i4>977</vt:i4>
      </vt:variant>
      <vt:variant>
        <vt:i4>0</vt:i4>
      </vt:variant>
      <vt:variant>
        <vt:i4>5</vt:i4>
      </vt:variant>
      <vt:variant>
        <vt:lpwstr/>
      </vt:variant>
      <vt:variant>
        <vt:lpwstr>_Toc291850924</vt:lpwstr>
      </vt:variant>
      <vt:variant>
        <vt:i4>1310783</vt:i4>
      </vt:variant>
      <vt:variant>
        <vt:i4>971</vt:i4>
      </vt:variant>
      <vt:variant>
        <vt:i4>0</vt:i4>
      </vt:variant>
      <vt:variant>
        <vt:i4>5</vt:i4>
      </vt:variant>
      <vt:variant>
        <vt:lpwstr/>
      </vt:variant>
      <vt:variant>
        <vt:lpwstr>_Toc291850923</vt:lpwstr>
      </vt:variant>
      <vt:variant>
        <vt:i4>1310783</vt:i4>
      </vt:variant>
      <vt:variant>
        <vt:i4>965</vt:i4>
      </vt:variant>
      <vt:variant>
        <vt:i4>0</vt:i4>
      </vt:variant>
      <vt:variant>
        <vt:i4>5</vt:i4>
      </vt:variant>
      <vt:variant>
        <vt:lpwstr/>
      </vt:variant>
      <vt:variant>
        <vt:lpwstr>_Toc291850922</vt:lpwstr>
      </vt:variant>
      <vt:variant>
        <vt:i4>1310783</vt:i4>
      </vt:variant>
      <vt:variant>
        <vt:i4>959</vt:i4>
      </vt:variant>
      <vt:variant>
        <vt:i4>0</vt:i4>
      </vt:variant>
      <vt:variant>
        <vt:i4>5</vt:i4>
      </vt:variant>
      <vt:variant>
        <vt:lpwstr/>
      </vt:variant>
      <vt:variant>
        <vt:lpwstr>_Toc291850921</vt:lpwstr>
      </vt:variant>
      <vt:variant>
        <vt:i4>1310783</vt:i4>
      </vt:variant>
      <vt:variant>
        <vt:i4>953</vt:i4>
      </vt:variant>
      <vt:variant>
        <vt:i4>0</vt:i4>
      </vt:variant>
      <vt:variant>
        <vt:i4>5</vt:i4>
      </vt:variant>
      <vt:variant>
        <vt:lpwstr/>
      </vt:variant>
      <vt:variant>
        <vt:lpwstr>_Toc291850920</vt:lpwstr>
      </vt:variant>
      <vt:variant>
        <vt:i4>1507391</vt:i4>
      </vt:variant>
      <vt:variant>
        <vt:i4>947</vt:i4>
      </vt:variant>
      <vt:variant>
        <vt:i4>0</vt:i4>
      </vt:variant>
      <vt:variant>
        <vt:i4>5</vt:i4>
      </vt:variant>
      <vt:variant>
        <vt:lpwstr/>
      </vt:variant>
      <vt:variant>
        <vt:lpwstr>_Toc291850919</vt:lpwstr>
      </vt:variant>
      <vt:variant>
        <vt:i4>1507391</vt:i4>
      </vt:variant>
      <vt:variant>
        <vt:i4>941</vt:i4>
      </vt:variant>
      <vt:variant>
        <vt:i4>0</vt:i4>
      </vt:variant>
      <vt:variant>
        <vt:i4>5</vt:i4>
      </vt:variant>
      <vt:variant>
        <vt:lpwstr/>
      </vt:variant>
      <vt:variant>
        <vt:lpwstr>_Toc291850918</vt:lpwstr>
      </vt:variant>
      <vt:variant>
        <vt:i4>1507391</vt:i4>
      </vt:variant>
      <vt:variant>
        <vt:i4>935</vt:i4>
      </vt:variant>
      <vt:variant>
        <vt:i4>0</vt:i4>
      </vt:variant>
      <vt:variant>
        <vt:i4>5</vt:i4>
      </vt:variant>
      <vt:variant>
        <vt:lpwstr/>
      </vt:variant>
      <vt:variant>
        <vt:lpwstr>_Toc291850917</vt:lpwstr>
      </vt:variant>
      <vt:variant>
        <vt:i4>1507391</vt:i4>
      </vt:variant>
      <vt:variant>
        <vt:i4>929</vt:i4>
      </vt:variant>
      <vt:variant>
        <vt:i4>0</vt:i4>
      </vt:variant>
      <vt:variant>
        <vt:i4>5</vt:i4>
      </vt:variant>
      <vt:variant>
        <vt:lpwstr/>
      </vt:variant>
      <vt:variant>
        <vt:lpwstr>_Toc291850916</vt:lpwstr>
      </vt:variant>
      <vt:variant>
        <vt:i4>1507391</vt:i4>
      </vt:variant>
      <vt:variant>
        <vt:i4>923</vt:i4>
      </vt:variant>
      <vt:variant>
        <vt:i4>0</vt:i4>
      </vt:variant>
      <vt:variant>
        <vt:i4>5</vt:i4>
      </vt:variant>
      <vt:variant>
        <vt:lpwstr/>
      </vt:variant>
      <vt:variant>
        <vt:lpwstr>_Toc291850915</vt:lpwstr>
      </vt:variant>
      <vt:variant>
        <vt:i4>1507391</vt:i4>
      </vt:variant>
      <vt:variant>
        <vt:i4>917</vt:i4>
      </vt:variant>
      <vt:variant>
        <vt:i4>0</vt:i4>
      </vt:variant>
      <vt:variant>
        <vt:i4>5</vt:i4>
      </vt:variant>
      <vt:variant>
        <vt:lpwstr/>
      </vt:variant>
      <vt:variant>
        <vt:lpwstr>_Toc291850914</vt:lpwstr>
      </vt:variant>
      <vt:variant>
        <vt:i4>1507391</vt:i4>
      </vt:variant>
      <vt:variant>
        <vt:i4>911</vt:i4>
      </vt:variant>
      <vt:variant>
        <vt:i4>0</vt:i4>
      </vt:variant>
      <vt:variant>
        <vt:i4>5</vt:i4>
      </vt:variant>
      <vt:variant>
        <vt:lpwstr/>
      </vt:variant>
      <vt:variant>
        <vt:lpwstr>_Toc291850913</vt:lpwstr>
      </vt:variant>
      <vt:variant>
        <vt:i4>1507391</vt:i4>
      </vt:variant>
      <vt:variant>
        <vt:i4>905</vt:i4>
      </vt:variant>
      <vt:variant>
        <vt:i4>0</vt:i4>
      </vt:variant>
      <vt:variant>
        <vt:i4>5</vt:i4>
      </vt:variant>
      <vt:variant>
        <vt:lpwstr/>
      </vt:variant>
      <vt:variant>
        <vt:lpwstr>_Toc291850912</vt:lpwstr>
      </vt:variant>
      <vt:variant>
        <vt:i4>1507391</vt:i4>
      </vt:variant>
      <vt:variant>
        <vt:i4>899</vt:i4>
      </vt:variant>
      <vt:variant>
        <vt:i4>0</vt:i4>
      </vt:variant>
      <vt:variant>
        <vt:i4>5</vt:i4>
      </vt:variant>
      <vt:variant>
        <vt:lpwstr/>
      </vt:variant>
      <vt:variant>
        <vt:lpwstr>_Toc291850911</vt:lpwstr>
      </vt:variant>
      <vt:variant>
        <vt:i4>1507391</vt:i4>
      </vt:variant>
      <vt:variant>
        <vt:i4>893</vt:i4>
      </vt:variant>
      <vt:variant>
        <vt:i4>0</vt:i4>
      </vt:variant>
      <vt:variant>
        <vt:i4>5</vt:i4>
      </vt:variant>
      <vt:variant>
        <vt:lpwstr/>
      </vt:variant>
      <vt:variant>
        <vt:lpwstr>_Toc291850910</vt:lpwstr>
      </vt:variant>
      <vt:variant>
        <vt:i4>1441855</vt:i4>
      </vt:variant>
      <vt:variant>
        <vt:i4>887</vt:i4>
      </vt:variant>
      <vt:variant>
        <vt:i4>0</vt:i4>
      </vt:variant>
      <vt:variant>
        <vt:i4>5</vt:i4>
      </vt:variant>
      <vt:variant>
        <vt:lpwstr/>
      </vt:variant>
      <vt:variant>
        <vt:lpwstr>_Toc291850909</vt:lpwstr>
      </vt:variant>
      <vt:variant>
        <vt:i4>1441855</vt:i4>
      </vt:variant>
      <vt:variant>
        <vt:i4>881</vt:i4>
      </vt:variant>
      <vt:variant>
        <vt:i4>0</vt:i4>
      </vt:variant>
      <vt:variant>
        <vt:i4>5</vt:i4>
      </vt:variant>
      <vt:variant>
        <vt:lpwstr/>
      </vt:variant>
      <vt:variant>
        <vt:lpwstr>_Toc291850908</vt:lpwstr>
      </vt:variant>
      <vt:variant>
        <vt:i4>1441855</vt:i4>
      </vt:variant>
      <vt:variant>
        <vt:i4>875</vt:i4>
      </vt:variant>
      <vt:variant>
        <vt:i4>0</vt:i4>
      </vt:variant>
      <vt:variant>
        <vt:i4>5</vt:i4>
      </vt:variant>
      <vt:variant>
        <vt:lpwstr/>
      </vt:variant>
      <vt:variant>
        <vt:lpwstr>_Toc291850907</vt:lpwstr>
      </vt:variant>
      <vt:variant>
        <vt:i4>1441855</vt:i4>
      </vt:variant>
      <vt:variant>
        <vt:i4>869</vt:i4>
      </vt:variant>
      <vt:variant>
        <vt:i4>0</vt:i4>
      </vt:variant>
      <vt:variant>
        <vt:i4>5</vt:i4>
      </vt:variant>
      <vt:variant>
        <vt:lpwstr/>
      </vt:variant>
      <vt:variant>
        <vt:lpwstr>_Toc291850906</vt:lpwstr>
      </vt:variant>
      <vt:variant>
        <vt:i4>1441855</vt:i4>
      </vt:variant>
      <vt:variant>
        <vt:i4>863</vt:i4>
      </vt:variant>
      <vt:variant>
        <vt:i4>0</vt:i4>
      </vt:variant>
      <vt:variant>
        <vt:i4>5</vt:i4>
      </vt:variant>
      <vt:variant>
        <vt:lpwstr/>
      </vt:variant>
      <vt:variant>
        <vt:lpwstr>_Toc291850905</vt:lpwstr>
      </vt:variant>
      <vt:variant>
        <vt:i4>1441855</vt:i4>
      </vt:variant>
      <vt:variant>
        <vt:i4>857</vt:i4>
      </vt:variant>
      <vt:variant>
        <vt:i4>0</vt:i4>
      </vt:variant>
      <vt:variant>
        <vt:i4>5</vt:i4>
      </vt:variant>
      <vt:variant>
        <vt:lpwstr/>
      </vt:variant>
      <vt:variant>
        <vt:lpwstr>_Toc291850904</vt:lpwstr>
      </vt:variant>
      <vt:variant>
        <vt:i4>1441855</vt:i4>
      </vt:variant>
      <vt:variant>
        <vt:i4>851</vt:i4>
      </vt:variant>
      <vt:variant>
        <vt:i4>0</vt:i4>
      </vt:variant>
      <vt:variant>
        <vt:i4>5</vt:i4>
      </vt:variant>
      <vt:variant>
        <vt:lpwstr/>
      </vt:variant>
      <vt:variant>
        <vt:lpwstr>_Toc291850903</vt:lpwstr>
      </vt:variant>
      <vt:variant>
        <vt:i4>1441855</vt:i4>
      </vt:variant>
      <vt:variant>
        <vt:i4>845</vt:i4>
      </vt:variant>
      <vt:variant>
        <vt:i4>0</vt:i4>
      </vt:variant>
      <vt:variant>
        <vt:i4>5</vt:i4>
      </vt:variant>
      <vt:variant>
        <vt:lpwstr/>
      </vt:variant>
      <vt:variant>
        <vt:lpwstr>_Toc291850902</vt:lpwstr>
      </vt:variant>
      <vt:variant>
        <vt:i4>1441855</vt:i4>
      </vt:variant>
      <vt:variant>
        <vt:i4>839</vt:i4>
      </vt:variant>
      <vt:variant>
        <vt:i4>0</vt:i4>
      </vt:variant>
      <vt:variant>
        <vt:i4>5</vt:i4>
      </vt:variant>
      <vt:variant>
        <vt:lpwstr/>
      </vt:variant>
      <vt:variant>
        <vt:lpwstr>_Toc291850901</vt:lpwstr>
      </vt:variant>
      <vt:variant>
        <vt:i4>1441855</vt:i4>
      </vt:variant>
      <vt:variant>
        <vt:i4>833</vt:i4>
      </vt:variant>
      <vt:variant>
        <vt:i4>0</vt:i4>
      </vt:variant>
      <vt:variant>
        <vt:i4>5</vt:i4>
      </vt:variant>
      <vt:variant>
        <vt:lpwstr/>
      </vt:variant>
      <vt:variant>
        <vt:lpwstr>_Toc291850900</vt:lpwstr>
      </vt:variant>
      <vt:variant>
        <vt:i4>2031678</vt:i4>
      </vt:variant>
      <vt:variant>
        <vt:i4>827</vt:i4>
      </vt:variant>
      <vt:variant>
        <vt:i4>0</vt:i4>
      </vt:variant>
      <vt:variant>
        <vt:i4>5</vt:i4>
      </vt:variant>
      <vt:variant>
        <vt:lpwstr/>
      </vt:variant>
      <vt:variant>
        <vt:lpwstr>_Toc291850899</vt:lpwstr>
      </vt:variant>
      <vt:variant>
        <vt:i4>2031678</vt:i4>
      </vt:variant>
      <vt:variant>
        <vt:i4>821</vt:i4>
      </vt:variant>
      <vt:variant>
        <vt:i4>0</vt:i4>
      </vt:variant>
      <vt:variant>
        <vt:i4>5</vt:i4>
      </vt:variant>
      <vt:variant>
        <vt:lpwstr/>
      </vt:variant>
      <vt:variant>
        <vt:lpwstr>_Toc291850898</vt:lpwstr>
      </vt:variant>
      <vt:variant>
        <vt:i4>2031678</vt:i4>
      </vt:variant>
      <vt:variant>
        <vt:i4>815</vt:i4>
      </vt:variant>
      <vt:variant>
        <vt:i4>0</vt:i4>
      </vt:variant>
      <vt:variant>
        <vt:i4>5</vt:i4>
      </vt:variant>
      <vt:variant>
        <vt:lpwstr/>
      </vt:variant>
      <vt:variant>
        <vt:lpwstr>_Toc291850897</vt:lpwstr>
      </vt:variant>
      <vt:variant>
        <vt:i4>2031678</vt:i4>
      </vt:variant>
      <vt:variant>
        <vt:i4>809</vt:i4>
      </vt:variant>
      <vt:variant>
        <vt:i4>0</vt:i4>
      </vt:variant>
      <vt:variant>
        <vt:i4>5</vt:i4>
      </vt:variant>
      <vt:variant>
        <vt:lpwstr/>
      </vt:variant>
      <vt:variant>
        <vt:lpwstr>_Toc291850896</vt:lpwstr>
      </vt:variant>
      <vt:variant>
        <vt:i4>2031678</vt:i4>
      </vt:variant>
      <vt:variant>
        <vt:i4>803</vt:i4>
      </vt:variant>
      <vt:variant>
        <vt:i4>0</vt:i4>
      </vt:variant>
      <vt:variant>
        <vt:i4>5</vt:i4>
      </vt:variant>
      <vt:variant>
        <vt:lpwstr/>
      </vt:variant>
      <vt:variant>
        <vt:lpwstr>_Toc291850895</vt:lpwstr>
      </vt:variant>
      <vt:variant>
        <vt:i4>2031678</vt:i4>
      </vt:variant>
      <vt:variant>
        <vt:i4>797</vt:i4>
      </vt:variant>
      <vt:variant>
        <vt:i4>0</vt:i4>
      </vt:variant>
      <vt:variant>
        <vt:i4>5</vt:i4>
      </vt:variant>
      <vt:variant>
        <vt:lpwstr/>
      </vt:variant>
      <vt:variant>
        <vt:lpwstr>_Toc291850894</vt:lpwstr>
      </vt:variant>
      <vt:variant>
        <vt:i4>2031678</vt:i4>
      </vt:variant>
      <vt:variant>
        <vt:i4>791</vt:i4>
      </vt:variant>
      <vt:variant>
        <vt:i4>0</vt:i4>
      </vt:variant>
      <vt:variant>
        <vt:i4>5</vt:i4>
      </vt:variant>
      <vt:variant>
        <vt:lpwstr/>
      </vt:variant>
      <vt:variant>
        <vt:lpwstr>_Toc291850893</vt:lpwstr>
      </vt:variant>
      <vt:variant>
        <vt:i4>2031678</vt:i4>
      </vt:variant>
      <vt:variant>
        <vt:i4>785</vt:i4>
      </vt:variant>
      <vt:variant>
        <vt:i4>0</vt:i4>
      </vt:variant>
      <vt:variant>
        <vt:i4>5</vt:i4>
      </vt:variant>
      <vt:variant>
        <vt:lpwstr/>
      </vt:variant>
      <vt:variant>
        <vt:lpwstr>_Toc291850892</vt:lpwstr>
      </vt:variant>
      <vt:variant>
        <vt:i4>2031678</vt:i4>
      </vt:variant>
      <vt:variant>
        <vt:i4>779</vt:i4>
      </vt:variant>
      <vt:variant>
        <vt:i4>0</vt:i4>
      </vt:variant>
      <vt:variant>
        <vt:i4>5</vt:i4>
      </vt:variant>
      <vt:variant>
        <vt:lpwstr/>
      </vt:variant>
      <vt:variant>
        <vt:lpwstr>_Toc291850891</vt:lpwstr>
      </vt:variant>
      <vt:variant>
        <vt:i4>2031678</vt:i4>
      </vt:variant>
      <vt:variant>
        <vt:i4>773</vt:i4>
      </vt:variant>
      <vt:variant>
        <vt:i4>0</vt:i4>
      </vt:variant>
      <vt:variant>
        <vt:i4>5</vt:i4>
      </vt:variant>
      <vt:variant>
        <vt:lpwstr/>
      </vt:variant>
      <vt:variant>
        <vt:lpwstr>_Toc291850890</vt:lpwstr>
      </vt:variant>
      <vt:variant>
        <vt:i4>1966142</vt:i4>
      </vt:variant>
      <vt:variant>
        <vt:i4>767</vt:i4>
      </vt:variant>
      <vt:variant>
        <vt:i4>0</vt:i4>
      </vt:variant>
      <vt:variant>
        <vt:i4>5</vt:i4>
      </vt:variant>
      <vt:variant>
        <vt:lpwstr/>
      </vt:variant>
      <vt:variant>
        <vt:lpwstr>_Toc291850889</vt:lpwstr>
      </vt:variant>
      <vt:variant>
        <vt:i4>1966142</vt:i4>
      </vt:variant>
      <vt:variant>
        <vt:i4>761</vt:i4>
      </vt:variant>
      <vt:variant>
        <vt:i4>0</vt:i4>
      </vt:variant>
      <vt:variant>
        <vt:i4>5</vt:i4>
      </vt:variant>
      <vt:variant>
        <vt:lpwstr/>
      </vt:variant>
      <vt:variant>
        <vt:lpwstr>_Toc291850888</vt:lpwstr>
      </vt:variant>
      <vt:variant>
        <vt:i4>1966142</vt:i4>
      </vt:variant>
      <vt:variant>
        <vt:i4>755</vt:i4>
      </vt:variant>
      <vt:variant>
        <vt:i4>0</vt:i4>
      </vt:variant>
      <vt:variant>
        <vt:i4>5</vt:i4>
      </vt:variant>
      <vt:variant>
        <vt:lpwstr/>
      </vt:variant>
      <vt:variant>
        <vt:lpwstr>_Toc291850887</vt:lpwstr>
      </vt:variant>
      <vt:variant>
        <vt:i4>1966142</vt:i4>
      </vt:variant>
      <vt:variant>
        <vt:i4>749</vt:i4>
      </vt:variant>
      <vt:variant>
        <vt:i4>0</vt:i4>
      </vt:variant>
      <vt:variant>
        <vt:i4>5</vt:i4>
      </vt:variant>
      <vt:variant>
        <vt:lpwstr/>
      </vt:variant>
      <vt:variant>
        <vt:lpwstr>_Toc291850886</vt:lpwstr>
      </vt:variant>
      <vt:variant>
        <vt:i4>1966142</vt:i4>
      </vt:variant>
      <vt:variant>
        <vt:i4>743</vt:i4>
      </vt:variant>
      <vt:variant>
        <vt:i4>0</vt:i4>
      </vt:variant>
      <vt:variant>
        <vt:i4>5</vt:i4>
      </vt:variant>
      <vt:variant>
        <vt:lpwstr/>
      </vt:variant>
      <vt:variant>
        <vt:lpwstr>_Toc291850885</vt:lpwstr>
      </vt:variant>
      <vt:variant>
        <vt:i4>1966142</vt:i4>
      </vt:variant>
      <vt:variant>
        <vt:i4>737</vt:i4>
      </vt:variant>
      <vt:variant>
        <vt:i4>0</vt:i4>
      </vt:variant>
      <vt:variant>
        <vt:i4>5</vt:i4>
      </vt:variant>
      <vt:variant>
        <vt:lpwstr/>
      </vt:variant>
      <vt:variant>
        <vt:lpwstr>_Toc291850884</vt:lpwstr>
      </vt:variant>
      <vt:variant>
        <vt:i4>1966142</vt:i4>
      </vt:variant>
      <vt:variant>
        <vt:i4>731</vt:i4>
      </vt:variant>
      <vt:variant>
        <vt:i4>0</vt:i4>
      </vt:variant>
      <vt:variant>
        <vt:i4>5</vt:i4>
      </vt:variant>
      <vt:variant>
        <vt:lpwstr/>
      </vt:variant>
      <vt:variant>
        <vt:lpwstr>_Toc291850883</vt:lpwstr>
      </vt:variant>
      <vt:variant>
        <vt:i4>1966142</vt:i4>
      </vt:variant>
      <vt:variant>
        <vt:i4>725</vt:i4>
      </vt:variant>
      <vt:variant>
        <vt:i4>0</vt:i4>
      </vt:variant>
      <vt:variant>
        <vt:i4>5</vt:i4>
      </vt:variant>
      <vt:variant>
        <vt:lpwstr/>
      </vt:variant>
      <vt:variant>
        <vt:lpwstr>_Toc291850882</vt:lpwstr>
      </vt:variant>
      <vt:variant>
        <vt:i4>1966142</vt:i4>
      </vt:variant>
      <vt:variant>
        <vt:i4>719</vt:i4>
      </vt:variant>
      <vt:variant>
        <vt:i4>0</vt:i4>
      </vt:variant>
      <vt:variant>
        <vt:i4>5</vt:i4>
      </vt:variant>
      <vt:variant>
        <vt:lpwstr/>
      </vt:variant>
      <vt:variant>
        <vt:lpwstr>_Toc291850881</vt:lpwstr>
      </vt:variant>
      <vt:variant>
        <vt:i4>1966142</vt:i4>
      </vt:variant>
      <vt:variant>
        <vt:i4>713</vt:i4>
      </vt:variant>
      <vt:variant>
        <vt:i4>0</vt:i4>
      </vt:variant>
      <vt:variant>
        <vt:i4>5</vt:i4>
      </vt:variant>
      <vt:variant>
        <vt:lpwstr/>
      </vt:variant>
      <vt:variant>
        <vt:lpwstr>_Toc291850880</vt:lpwstr>
      </vt:variant>
      <vt:variant>
        <vt:i4>1114174</vt:i4>
      </vt:variant>
      <vt:variant>
        <vt:i4>707</vt:i4>
      </vt:variant>
      <vt:variant>
        <vt:i4>0</vt:i4>
      </vt:variant>
      <vt:variant>
        <vt:i4>5</vt:i4>
      </vt:variant>
      <vt:variant>
        <vt:lpwstr/>
      </vt:variant>
      <vt:variant>
        <vt:lpwstr>_Toc291850879</vt:lpwstr>
      </vt:variant>
      <vt:variant>
        <vt:i4>1114174</vt:i4>
      </vt:variant>
      <vt:variant>
        <vt:i4>701</vt:i4>
      </vt:variant>
      <vt:variant>
        <vt:i4>0</vt:i4>
      </vt:variant>
      <vt:variant>
        <vt:i4>5</vt:i4>
      </vt:variant>
      <vt:variant>
        <vt:lpwstr/>
      </vt:variant>
      <vt:variant>
        <vt:lpwstr>_Toc291850878</vt:lpwstr>
      </vt:variant>
      <vt:variant>
        <vt:i4>1114174</vt:i4>
      </vt:variant>
      <vt:variant>
        <vt:i4>695</vt:i4>
      </vt:variant>
      <vt:variant>
        <vt:i4>0</vt:i4>
      </vt:variant>
      <vt:variant>
        <vt:i4>5</vt:i4>
      </vt:variant>
      <vt:variant>
        <vt:lpwstr/>
      </vt:variant>
      <vt:variant>
        <vt:lpwstr>_Toc291850877</vt:lpwstr>
      </vt:variant>
      <vt:variant>
        <vt:i4>1114174</vt:i4>
      </vt:variant>
      <vt:variant>
        <vt:i4>689</vt:i4>
      </vt:variant>
      <vt:variant>
        <vt:i4>0</vt:i4>
      </vt:variant>
      <vt:variant>
        <vt:i4>5</vt:i4>
      </vt:variant>
      <vt:variant>
        <vt:lpwstr/>
      </vt:variant>
      <vt:variant>
        <vt:lpwstr>_Toc291850876</vt:lpwstr>
      </vt:variant>
      <vt:variant>
        <vt:i4>1114174</vt:i4>
      </vt:variant>
      <vt:variant>
        <vt:i4>683</vt:i4>
      </vt:variant>
      <vt:variant>
        <vt:i4>0</vt:i4>
      </vt:variant>
      <vt:variant>
        <vt:i4>5</vt:i4>
      </vt:variant>
      <vt:variant>
        <vt:lpwstr/>
      </vt:variant>
      <vt:variant>
        <vt:lpwstr>_Toc291850875</vt:lpwstr>
      </vt:variant>
      <vt:variant>
        <vt:i4>1114174</vt:i4>
      </vt:variant>
      <vt:variant>
        <vt:i4>677</vt:i4>
      </vt:variant>
      <vt:variant>
        <vt:i4>0</vt:i4>
      </vt:variant>
      <vt:variant>
        <vt:i4>5</vt:i4>
      </vt:variant>
      <vt:variant>
        <vt:lpwstr/>
      </vt:variant>
      <vt:variant>
        <vt:lpwstr>_Toc291850874</vt:lpwstr>
      </vt:variant>
      <vt:variant>
        <vt:i4>1114174</vt:i4>
      </vt:variant>
      <vt:variant>
        <vt:i4>671</vt:i4>
      </vt:variant>
      <vt:variant>
        <vt:i4>0</vt:i4>
      </vt:variant>
      <vt:variant>
        <vt:i4>5</vt:i4>
      </vt:variant>
      <vt:variant>
        <vt:lpwstr/>
      </vt:variant>
      <vt:variant>
        <vt:lpwstr>_Toc291850873</vt:lpwstr>
      </vt:variant>
      <vt:variant>
        <vt:i4>1114174</vt:i4>
      </vt:variant>
      <vt:variant>
        <vt:i4>665</vt:i4>
      </vt:variant>
      <vt:variant>
        <vt:i4>0</vt:i4>
      </vt:variant>
      <vt:variant>
        <vt:i4>5</vt:i4>
      </vt:variant>
      <vt:variant>
        <vt:lpwstr/>
      </vt:variant>
      <vt:variant>
        <vt:lpwstr>_Toc291850872</vt:lpwstr>
      </vt:variant>
      <vt:variant>
        <vt:i4>1114174</vt:i4>
      </vt:variant>
      <vt:variant>
        <vt:i4>659</vt:i4>
      </vt:variant>
      <vt:variant>
        <vt:i4>0</vt:i4>
      </vt:variant>
      <vt:variant>
        <vt:i4>5</vt:i4>
      </vt:variant>
      <vt:variant>
        <vt:lpwstr/>
      </vt:variant>
      <vt:variant>
        <vt:lpwstr>_Toc291850871</vt:lpwstr>
      </vt:variant>
      <vt:variant>
        <vt:i4>1114174</vt:i4>
      </vt:variant>
      <vt:variant>
        <vt:i4>653</vt:i4>
      </vt:variant>
      <vt:variant>
        <vt:i4>0</vt:i4>
      </vt:variant>
      <vt:variant>
        <vt:i4>5</vt:i4>
      </vt:variant>
      <vt:variant>
        <vt:lpwstr/>
      </vt:variant>
      <vt:variant>
        <vt:lpwstr>_Toc291850870</vt:lpwstr>
      </vt:variant>
      <vt:variant>
        <vt:i4>1048638</vt:i4>
      </vt:variant>
      <vt:variant>
        <vt:i4>647</vt:i4>
      </vt:variant>
      <vt:variant>
        <vt:i4>0</vt:i4>
      </vt:variant>
      <vt:variant>
        <vt:i4>5</vt:i4>
      </vt:variant>
      <vt:variant>
        <vt:lpwstr/>
      </vt:variant>
      <vt:variant>
        <vt:lpwstr>_Toc291850869</vt:lpwstr>
      </vt:variant>
      <vt:variant>
        <vt:i4>1048638</vt:i4>
      </vt:variant>
      <vt:variant>
        <vt:i4>641</vt:i4>
      </vt:variant>
      <vt:variant>
        <vt:i4>0</vt:i4>
      </vt:variant>
      <vt:variant>
        <vt:i4>5</vt:i4>
      </vt:variant>
      <vt:variant>
        <vt:lpwstr/>
      </vt:variant>
      <vt:variant>
        <vt:lpwstr>_Toc291850868</vt:lpwstr>
      </vt:variant>
      <vt:variant>
        <vt:i4>1048638</vt:i4>
      </vt:variant>
      <vt:variant>
        <vt:i4>635</vt:i4>
      </vt:variant>
      <vt:variant>
        <vt:i4>0</vt:i4>
      </vt:variant>
      <vt:variant>
        <vt:i4>5</vt:i4>
      </vt:variant>
      <vt:variant>
        <vt:lpwstr/>
      </vt:variant>
      <vt:variant>
        <vt:lpwstr>_Toc291850867</vt:lpwstr>
      </vt:variant>
      <vt:variant>
        <vt:i4>1048638</vt:i4>
      </vt:variant>
      <vt:variant>
        <vt:i4>629</vt:i4>
      </vt:variant>
      <vt:variant>
        <vt:i4>0</vt:i4>
      </vt:variant>
      <vt:variant>
        <vt:i4>5</vt:i4>
      </vt:variant>
      <vt:variant>
        <vt:lpwstr/>
      </vt:variant>
      <vt:variant>
        <vt:lpwstr>_Toc291850866</vt:lpwstr>
      </vt:variant>
      <vt:variant>
        <vt:i4>1048638</vt:i4>
      </vt:variant>
      <vt:variant>
        <vt:i4>623</vt:i4>
      </vt:variant>
      <vt:variant>
        <vt:i4>0</vt:i4>
      </vt:variant>
      <vt:variant>
        <vt:i4>5</vt:i4>
      </vt:variant>
      <vt:variant>
        <vt:lpwstr/>
      </vt:variant>
      <vt:variant>
        <vt:lpwstr>_Toc291850865</vt:lpwstr>
      </vt:variant>
      <vt:variant>
        <vt:i4>1048638</vt:i4>
      </vt:variant>
      <vt:variant>
        <vt:i4>617</vt:i4>
      </vt:variant>
      <vt:variant>
        <vt:i4>0</vt:i4>
      </vt:variant>
      <vt:variant>
        <vt:i4>5</vt:i4>
      </vt:variant>
      <vt:variant>
        <vt:lpwstr/>
      </vt:variant>
      <vt:variant>
        <vt:lpwstr>_Toc291850864</vt:lpwstr>
      </vt:variant>
      <vt:variant>
        <vt:i4>1048638</vt:i4>
      </vt:variant>
      <vt:variant>
        <vt:i4>611</vt:i4>
      </vt:variant>
      <vt:variant>
        <vt:i4>0</vt:i4>
      </vt:variant>
      <vt:variant>
        <vt:i4>5</vt:i4>
      </vt:variant>
      <vt:variant>
        <vt:lpwstr/>
      </vt:variant>
      <vt:variant>
        <vt:lpwstr>_Toc291850863</vt:lpwstr>
      </vt:variant>
      <vt:variant>
        <vt:i4>1048638</vt:i4>
      </vt:variant>
      <vt:variant>
        <vt:i4>605</vt:i4>
      </vt:variant>
      <vt:variant>
        <vt:i4>0</vt:i4>
      </vt:variant>
      <vt:variant>
        <vt:i4>5</vt:i4>
      </vt:variant>
      <vt:variant>
        <vt:lpwstr/>
      </vt:variant>
      <vt:variant>
        <vt:lpwstr>_Toc291850862</vt:lpwstr>
      </vt:variant>
      <vt:variant>
        <vt:i4>1048638</vt:i4>
      </vt:variant>
      <vt:variant>
        <vt:i4>599</vt:i4>
      </vt:variant>
      <vt:variant>
        <vt:i4>0</vt:i4>
      </vt:variant>
      <vt:variant>
        <vt:i4>5</vt:i4>
      </vt:variant>
      <vt:variant>
        <vt:lpwstr/>
      </vt:variant>
      <vt:variant>
        <vt:lpwstr>_Toc291850861</vt:lpwstr>
      </vt:variant>
      <vt:variant>
        <vt:i4>1048638</vt:i4>
      </vt:variant>
      <vt:variant>
        <vt:i4>593</vt:i4>
      </vt:variant>
      <vt:variant>
        <vt:i4>0</vt:i4>
      </vt:variant>
      <vt:variant>
        <vt:i4>5</vt:i4>
      </vt:variant>
      <vt:variant>
        <vt:lpwstr/>
      </vt:variant>
      <vt:variant>
        <vt:lpwstr>_Toc291850860</vt:lpwstr>
      </vt:variant>
      <vt:variant>
        <vt:i4>1245246</vt:i4>
      </vt:variant>
      <vt:variant>
        <vt:i4>587</vt:i4>
      </vt:variant>
      <vt:variant>
        <vt:i4>0</vt:i4>
      </vt:variant>
      <vt:variant>
        <vt:i4>5</vt:i4>
      </vt:variant>
      <vt:variant>
        <vt:lpwstr/>
      </vt:variant>
      <vt:variant>
        <vt:lpwstr>_Toc291850859</vt:lpwstr>
      </vt:variant>
      <vt:variant>
        <vt:i4>1245246</vt:i4>
      </vt:variant>
      <vt:variant>
        <vt:i4>581</vt:i4>
      </vt:variant>
      <vt:variant>
        <vt:i4>0</vt:i4>
      </vt:variant>
      <vt:variant>
        <vt:i4>5</vt:i4>
      </vt:variant>
      <vt:variant>
        <vt:lpwstr/>
      </vt:variant>
      <vt:variant>
        <vt:lpwstr>_Toc291850858</vt:lpwstr>
      </vt:variant>
      <vt:variant>
        <vt:i4>1245246</vt:i4>
      </vt:variant>
      <vt:variant>
        <vt:i4>575</vt:i4>
      </vt:variant>
      <vt:variant>
        <vt:i4>0</vt:i4>
      </vt:variant>
      <vt:variant>
        <vt:i4>5</vt:i4>
      </vt:variant>
      <vt:variant>
        <vt:lpwstr/>
      </vt:variant>
      <vt:variant>
        <vt:lpwstr>_Toc291850857</vt:lpwstr>
      </vt:variant>
      <vt:variant>
        <vt:i4>1245246</vt:i4>
      </vt:variant>
      <vt:variant>
        <vt:i4>569</vt:i4>
      </vt:variant>
      <vt:variant>
        <vt:i4>0</vt:i4>
      </vt:variant>
      <vt:variant>
        <vt:i4>5</vt:i4>
      </vt:variant>
      <vt:variant>
        <vt:lpwstr/>
      </vt:variant>
      <vt:variant>
        <vt:lpwstr>_Toc291850856</vt:lpwstr>
      </vt:variant>
      <vt:variant>
        <vt:i4>1245246</vt:i4>
      </vt:variant>
      <vt:variant>
        <vt:i4>563</vt:i4>
      </vt:variant>
      <vt:variant>
        <vt:i4>0</vt:i4>
      </vt:variant>
      <vt:variant>
        <vt:i4>5</vt:i4>
      </vt:variant>
      <vt:variant>
        <vt:lpwstr/>
      </vt:variant>
      <vt:variant>
        <vt:lpwstr>_Toc291850855</vt:lpwstr>
      </vt:variant>
      <vt:variant>
        <vt:i4>1245246</vt:i4>
      </vt:variant>
      <vt:variant>
        <vt:i4>557</vt:i4>
      </vt:variant>
      <vt:variant>
        <vt:i4>0</vt:i4>
      </vt:variant>
      <vt:variant>
        <vt:i4>5</vt:i4>
      </vt:variant>
      <vt:variant>
        <vt:lpwstr/>
      </vt:variant>
      <vt:variant>
        <vt:lpwstr>_Toc291850854</vt:lpwstr>
      </vt:variant>
      <vt:variant>
        <vt:i4>1245246</vt:i4>
      </vt:variant>
      <vt:variant>
        <vt:i4>551</vt:i4>
      </vt:variant>
      <vt:variant>
        <vt:i4>0</vt:i4>
      </vt:variant>
      <vt:variant>
        <vt:i4>5</vt:i4>
      </vt:variant>
      <vt:variant>
        <vt:lpwstr/>
      </vt:variant>
      <vt:variant>
        <vt:lpwstr>_Toc291850853</vt:lpwstr>
      </vt:variant>
      <vt:variant>
        <vt:i4>1245246</vt:i4>
      </vt:variant>
      <vt:variant>
        <vt:i4>545</vt:i4>
      </vt:variant>
      <vt:variant>
        <vt:i4>0</vt:i4>
      </vt:variant>
      <vt:variant>
        <vt:i4>5</vt:i4>
      </vt:variant>
      <vt:variant>
        <vt:lpwstr/>
      </vt:variant>
      <vt:variant>
        <vt:lpwstr>_Toc291850852</vt:lpwstr>
      </vt:variant>
      <vt:variant>
        <vt:i4>1245246</vt:i4>
      </vt:variant>
      <vt:variant>
        <vt:i4>539</vt:i4>
      </vt:variant>
      <vt:variant>
        <vt:i4>0</vt:i4>
      </vt:variant>
      <vt:variant>
        <vt:i4>5</vt:i4>
      </vt:variant>
      <vt:variant>
        <vt:lpwstr/>
      </vt:variant>
      <vt:variant>
        <vt:lpwstr>_Toc291850851</vt:lpwstr>
      </vt:variant>
      <vt:variant>
        <vt:i4>1245246</vt:i4>
      </vt:variant>
      <vt:variant>
        <vt:i4>533</vt:i4>
      </vt:variant>
      <vt:variant>
        <vt:i4>0</vt:i4>
      </vt:variant>
      <vt:variant>
        <vt:i4>5</vt:i4>
      </vt:variant>
      <vt:variant>
        <vt:lpwstr/>
      </vt:variant>
      <vt:variant>
        <vt:lpwstr>_Toc291850850</vt:lpwstr>
      </vt:variant>
      <vt:variant>
        <vt:i4>1179710</vt:i4>
      </vt:variant>
      <vt:variant>
        <vt:i4>527</vt:i4>
      </vt:variant>
      <vt:variant>
        <vt:i4>0</vt:i4>
      </vt:variant>
      <vt:variant>
        <vt:i4>5</vt:i4>
      </vt:variant>
      <vt:variant>
        <vt:lpwstr/>
      </vt:variant>
      <vt:variant>
        <vt:lpwstr>_Toc291850849</vt:lpwstr>
      </vt:variant>
      <vt:variant>
        <vt:i4>1179710</vt:i4>
      </vt:variant>
      <vt:variant>
        <vt:i4>521</vt:i4>
      </vt:variant>
      <vt:variant>
        <vt:i4>0</vt:i4>
      </vt:variant>
      <vt:variant>
        <vt:i4>5</vt:i4>
      </vt:variant>
      <vt:variant>
        <vt:lpwstr/>
      </vt:variant>
      <vt:variant>
        <vt:lpwstr>_Toc291850848</vt:lpwstr>
      </vt:variant>
      <vt:variant>
        <vt:i4>1179710</vt:i4>
      </vt:variant>
      <vt:variant>
        <vt:i4>515</vt:i4>
      </vt:variant>
      <vt:variant>
        <vt:i4>0</vt:i4>
      </vt:variant>
      <vt:variant>
        <vt:i4>5</vt:i4>
      </vt:variant>
      <vt:variant>
        <vt:lpwstr/>
      </vt:variant>
      <vt:variant>
        <vt:lpwstr>_Toc291850847</vt:lpwstr>
      </vt:variant>
      <vt:variant>
        <vt:i4>1179710</vt:i4>
      </vt:variant>
      <vt:variant>
        <vt:i4>509</vt:i4>
      </vt:variant>
      <vt:variant>
        <vt:i4>0</vt:i4>
      </vt:variant>
      <vt:variant>
        <vt:i4>5</vt:i4>
      </vt:variant>
      <vt:variant>
        <vt:lpwstr/>
      </vt:variant>
      <vt:variant>
        <vt:lpwstr>_Toc291850846</vt:lpwstr>
      </vt:variant>
      <vt:variant>
        <vt:i4>1179710</vt:i4>
      </vt:variant>
      <vt:variant>
        <vt:i4>503</vt:i4>
      </vt:variant>
      <vt:variant>
        <vt:i4>0</vt:i4>
      </vt:variant>
      <vt:variant>
        <vt:i4>5</vt:i4>
      </vt:variant>
      <vt:variant>
        <vt:lpwstr/>
      </vt:variant>
      <vt:variant>
        <vt:lpwstr>_Toc291850845</vt:lpwstr>
      </vt:variant>
      <vt:variant>
        <vt:i4>1179710</vt:i4>
      </vt:variant>
      <vt:variant>
        <vt:i4>497</vt:i4>
      </vt:variant>
      <vt:variant>
        <vt:i4>0</vt:i4>
      </vt:variant>
      <vt:variant>
        <vt:i4>5</vt:i4>
      </vt:variant>
      <vt:variant>
        <vt:lpwstr/>
      </vt:variant>
      <vt:variant>
        <vt:lpwstr>_Toc291850844</vt:lpwstr>
      </vt:variant>
      <vt:variant>
        <vt:i4>1179710</vt:i4>
      </vt:variant>
      <vt:variant>
        <vt:i4>491</vt:i4>
      </vt:variant>
      <vt:variant>
        <vt:i4>0</vt:i4>
      </vt:variant>
      <vt:variant>
        <vt:i4>5</vt:i4>
      </vt:variant>
      <vt:variant>
        <vt:lpwstr/>
      </vt:variant>
      <vt:variant>
        <vt:lpwstr>_Toc291850843</vt:lpwstr>
      </vt:variant>
      <vt:variant>
        <vt:i4>1179710</vt:i4>
      </vt:variant>
      <vt:variant>
        <vt:i4>485</vt:i4>
      </vt:variant>
      <vt:variant>
        <vt:i4>0</vt:i4>
      </vt:variant>
      <vt:variant>
        <vt:i4>5</vt:i4>
      </vt:variant>
      <vt:variant>
        <vt:lpwstr/>
      </vt:variant>
      <vt:variant>
        <vt:lpwstr>_Toc291850842</vt:lpwstr>
      </vt:variant>
      <vt:variant>
        <vt:i4>1179710</vt:i4>
      </vt:variant>
      <vt:variant>
        <vt:i4>479</vt:i4>
      </vt:variant>
      <vt:variant>
        <vt:i4>0</vt:i4>
      </vt:variant>
      <vt:variant>
        <vt:i4>5</vt:i4>
      </vt:variant>
      <vt:variant>
        <vt:lpwstr/>
      </vt:variant>
      <vt:variant>
        <vt:lpwstr>_Toc291850841</vt:lpwstr>
      </vt:variant>
      <vt:variant>
        <vt:i4>1179710</vt:i4>
      </vt:variant>
      <vt:variant>
        <vt:i4>473</vt:i4>
      </vt:variant>
      <vt:variant>
        <vt:i4>0</vt:i4>
      </vt:variant>
      <vt:variant>
        <vt:i4>5</vt:i4>
      </vt:variant>
      <vt:variant>
        <vt:lpwstr/>
      </vt:variant>
      <vt:variant>
        <vt:lpwstr>_Toc291850840</vt:lpwstr>
      </vt:variant>
      <vt:variant>
        <vt:i4>1376318</vt:i4>
      </vt:variant>
      <vt:variant>
        <vt:i4>467</vt:i4>
      </vt:variant>
      <vt:variant>
        <vt:i4>0</vt:i4>
      </vt:variant>
      <vt:variant>
        <vt:i4>5</vt:i4>
      </vt:variant>
      <vt:variant>
        <vt:lpwstr/>
      </vt:variant>
      <vt:variant>
        <vt:lpwstr>_Toc291850839</vt:lpwstr>
      </vt:variant>
      <vt:variant>
        <vt:i4>1376318</vt:i4>
      </vt:variant>
      <vt:variant>
        <vt:i4>461</vt:i4>
      </vt:variant>
      <vt:variant>
        <vt:i4>0</vt:i4>
      </vt:variant>
      <vt:variant>
        <vt:i4>5</vt:i4>
      </vt:variant>
      <vt:variant>
        <vt:lpwstr/>
      </vt:variant>
      <vt:variant>
        <vt:lpwstr>_Toc291850838</vt:lpwstr>
      </vt:variant>
      <vt:variant>
        <vt:i4>1376318</vt:i4>
      </vt:variant>
      <vt:variant>
        <vt:i4>455</vt:i4>
      </vt:variant>
      <vt:variant>
        <vt:i4>0</vt:i4>
      </vt:variant>
      <vt:variant>
        <vt:i4>5</vt:i4>
      </vt:variant>
      <vt:variant>
        <vt:lpwstr/>
      </vt:variant>
      <vt:variant>
        <vt:lpwstr>_Toc291850837</vt:lpwstr>
      </vt:variant>
      <vt:variant>
        <vt:i4>1376318</vt:i4>
      </vt:variant>
      <vt:variant>
        <vt:i4>449</vt:i4>
      </vt:variant>
      <vt:variant>
        <vt:i4>0</vt:i4>
      </vt:variant>
      <vt:variant>
        <vt:i4>5</vt:i4>
      </vt:variant>
      <vt:variant>
        <vt:lpwstr/>
      </vt:variant>
      <vt:variant>
        <vt:lpwstr>_Toc291850836</vt:lpwstr>
      </vt:variant>
      <vt:variant>
        <vt:i4>1376318</vt:i4>
      </vt:variant>
      <vt:variant>
        <vt:i4>443</vt:i4>
      </vt:variant>
      <vt:variant>
        <vt:i4>0</vt:i4>
      </vt:variant>
      <vt:variant>
        <vt:i4>5</vt:i4>
      </vt:variant>
      <vt:variant>
        <vt:lpwstr/>
      </vt:variant>
      <vt:variant>
        <vt:lpwstr>_Toc291850835</vt:lpwstr>
      </vt:variant>
      <vt:variant>
        <vt:i4>1376318</vt:i4>
      </vt:variant>
      <vt:variant>
        <vt:i4>437</vt:i4>
      </vt:variant>
      <vt:variant>
        <vt:i4>0</vt:i4>
      </vt:variant>
      <vt:variant>
        <vt:i4>5</vt:i4>
      </vt:variant>
      <vt:variant>
        <vt:lpwstr/>
      </vt:variant>
      <vt:variant>
        <vt:lpwstr>_Toc291850834</vt:lpwstr>
      </vt:variant>
      <vt:variant>
        <vt:i4>1376318</vt:i4>
      </vt:variant>
      <vt:variant>
        <vt:i4>431</vt:i4>
      </vt:variant>
      <vt:variant>
        <vt:i4>0</vt:i4>
      </vt:variant>
      <vt:variant>
        <vt:i4>5</vt:i4>
      </vt:variant>
      <vt:variant>
        <vt:lpwstr/>
      </vt:variant>
      <vt:variant>
        <vt:lpwstr>_Toc291850833</vt:lpwstr>
      </vt:variant>
      <vt:variant>
        <vt:i4>1376318</vt:i4>
      </vt:variant>
      <vt:variant>
        <vt:i4>425</vt:i4>
      </vt:variant>
      <vt:variant>
        <vt:i4>0</vt:i4>
      </vt:variant>
      <vt:variant>
        <vt:i4>5</vt:i4>
      </vt:variant>
      <vt:variant>
        <vt:lpwstr/>
      </vt:variant>
      <vt:variant>
        <vt:lpwstr>_Toc291850832</vt:lpwstr>
      </vt:variant>
      <vt:variant>
        <vt:i4>1376318</vt:i4>
      </vt:variant>
      <vt:variant>
        <vt:i4>419</vt:i4>
      </vt:variant>
      <vt:variant>
        <vt:i4>0</vt:i4>
      </vt:variant>
      <vt:variant>
        <vt:i4>5</vt:i4>
      </vt:variant>
      <vt:variant>
        <vt:lpwstr/>
      </vt:variant>
      <vt:variant>
        <vt:lpwstr>_Toc291850831</vt:lpwstr>
      </vt:variant>
      <vt:variant>
        <vt:i4>1376318</vt:i4>
      </vt:variant>
      <vt:variant>
        <vt:i4>413</vt:i4>
      </vt:variant>
      <vt:variant>
        <vt:i4>0</vt:i4>
      </vt:variant>
      <vt:variant>
        <vt:i4>5</vt:i4>
      </vt:variant>
      <vt:variant>
        <vt:lpwstr/>
      </vt:variant>
      <vt:variant>
        <vt:lpwstr>_Toc291850830</vt:lpwstr>
      </vt:variant>
      <vt:variant>
        <vt:i4>1310782</vt:i4>
      </vt:variant>
      <vt:variant>
        <vt:i4>407</vt:i4>
      </vt:variant>
      <vt:variant>
        <vt:i4>0</vt:i4>
      </vt:variant>
      <vt:variant>
        <vt:i4>5</vt:i4>
      </vt:variant>
      <vt:variant>
        <vt:lpwstr/>
      </vt:variant>
      <vt:variant>
        <vt:lpwstr>_Toc291850829</vt:lpwstr>
      </vt:variant>
      <vt:variant>
        <vt:i4>1310782</vt:i4>
      </vt:variant>
      <vt:variant>
        <vt:i4>401</vt:i4>
      </vt:variant>
      <vt:variant>
        <vt:i4>0</vt:i4>
      </vt:variant>
      <vt:variant>
        <vt:i4>5</vt:i4>
      </vt:variant>
      <vt:variant>
        <vt:lpwstr/>
      </vt:variant>
      <vt:variant>
        <vt:lpwstr>_Toc291850828</vt:lpwstr>
      </vt:variant>
      <vt:variant>
        <vt:i4>1310782</vt:i4>
      </vt:variant>
      <vt:variant>
        <vt:i4>395</vt:i4>
      </vt:variant>
      <vt:variant>
        <vt:i4>0</vt:i4>
      </vt:variant>
      <vt:variant>
        <vt:i4>5</vt:i4>
      </vt:variant>
      <vt:variant>
        <vt:lpwstr/>
      </vt:variant>
      <vt:variant>
        <vt:lpwstr>_Toc291850827</vt:lpwstr>
      </vt:variant>
      <vt:variant>
        <vt:i4>1310782</vt:i4>
      </vt:variant>
      <vt:variant>
        <vt:i4>389</vt:i4>
      </vt:variant>
      <vt:variant>
        <vt:i4>0</vt:i4>
      </vt:variant>
      <vt:variant>
        <vt:i4>5</vt:i4>
      </vt:variant>
      <vt:variant>
        <vt:lpwstr/>
      </vt:variant>
      <vt:variant>
        <vt:lpwstr>_Toc291850826</vt:lpwstr>
      </vt:variant>
      <vt:variant>
        <vt:i4>1310782</vt:i4>
      </vt:variant>
      <vt:variant>
        <vt:i4>383</vt:i4>
      </vt:variant>
      <vt:variant>
        <vt:i4>0</vt:i4>
      </vt:variant>
      <vt:variant>
        <vt:i4>5</vt:i4>
      </vt:variant>
      <vt:variant>
        <vt:lpwstr/>
      </vt:variant>
      <vt:variant>
        <vt:lpwstr>_Toc291850825</vt:lpwstr>
      </vt:variant>
      <vt:variant>
        <vt:i4>1310782</vt:i4>
      </vt:variant>
      <vt:variant>
        <vt:i4>377</vt:i4>
      </vt:variant>
      <vt:variant>
        <vt:i4>0</vt:i4>
      </vt:variant>
      <vt:variant>
        <vt:i4>5</vt:i4>
      </vt:variant>
      <vt:variant>
        <vt:lpwstr/>
      </vt:variant>
      <vt:variant>
        <vt:lpwstr>_Toc291850824</vt:lpwstr>
      </vt:variant>
      <vt:variant>
        <vt:i4>1310782</vt:i4>
      </vt:variant>
      <vt:variant>
        <vt:i4>371</vt:i4>
      </vt:variant>
      <vt:variant>
        <vt:i4>0</vt:i4>
      </vt:variant>
      <vt:variant>
        <vt:i4>5</vt:i4>
      </vt:variant>
      <vt:variant>
        <vt:lpwstr/>
      </vt:variant>
      <vt:variant>
        <vt:lpwstr>_Toc291850823</vt:lpwstr>
      </vt:variant>
      <vt:variant>
        <vt:i4>1310782</vt:i4>
      </vt:variant>
      <vt:variant>
        <vt:i4>365</vt:i4>
      </vt:variant>
      <vt:variant>
        <vt:i4>0</vt:i4>
      </vt:variant>
      <vt:variant>
        <vt:i4>5</vt:i4>
      </vt:variant>
      <vt:variant>
        <vt:lpwstr/>
      </vt:variant>
      <vt:variant>
        <vt:lpwstr>_Toc291850822</vt:lpwstr>
      </vt:variant>
      <vt:variant>
        <vt:i4>1310782</vt:i4>
      </vt:variant>
      <vt:variant>
        <vt:i4>359</vt:i4>
      </vt:variant>
      <vt:variant>
        <vt:i4>0</vt:i4>
      </vt:variant>
      <vt:variant>
        <vt:i4>5</vt:i4>
      </vt:variant>
      <vt:variant>
        <vt:lpwstr/>
      </vt:variant>
      <vt:variant>
        <vt:lpwstr>_Toc291850821</vt:lpwstr>
      </vt:variant>
      <vt:variant>
        <vt:i4>1310782</vt:i4>
      </vt:variant>
      <vt:variant>
        <vt:i4>353</vt:i4>
      </vt:variant>
      <vt:variant>
        <vt:i4>0</vt:i4>
      </vt:variant>
      <vt:variant>
        <vt:i4>5</vt:i4>
      </vt:variant>
      <vt:variant>
        <vt:lpwstr/>
      </vt:variant>
      <vt:variant>
        <vt:lpwstr>_Toc291850820</vt:lpwstr>
      </vt:variant>
      <vt:variant>
        <vt:i4>1507390</vt:i4>
      </vt:variant>
      <vt:variant>
        <vt:i4>347</vt:i4>
      </vt:variant>
      <vt:variant>
        <vt:i4>0</vt:i4>
      </vt:variant>
      <vt:variant>
        <vt:i4>5</vt:i4>
      </vt:variant>
      <vt:variant>
        <vt:lpwstr/>
      </vt:variant>
      <vt:variant>
        <vt:lpwstr>_Toc291850819</vt:lpwstr>
      </vt:variant>
      <vt:variant>
        <vt:i4>1507390</vt:i4>
      </vt:variant>
      <vt:variant>
        <vt:i4>341</vt:i4>
      </vt:variant>
      <vt:variant>
        <vt:i4>0</vt:i4>
      </vt:variant>
      <vt:variant>
        <vt:i4>5</vt:i4>
      </vt:variant>
      <vt:variant>
        <vt:lpwstr/>
      </vt:variant>
      <vt:variant>
        <vt:lpwstr>_Toc291850818</vt:lpwstr>
      </vt:variant>
      <vt:variant>
        <vt:i4>1507390</vt:i4>
      </vt:variant>
      <vt:variant>
        <vt:i4>335</vt:i4>
      </vt:variant>
      <vt:variant>
        <vt:i4>0</vt:i4>
      </vt:variant>
      <vt:variant>
        <vt:i4>5</vt:i4>
      </vt:variant>
      <vt:variant>
        <vt:lpwstr/>
      </vt:variant>
      <vt:variant>
        <vt:lpwstr>_Toc291850817</vt:lpwstr>
      </vt:variant>
      <vt:variant>
        <vt:i4>1507390</vt:i4>
      </vt:variant>
      <vt:variant>
        <vt:i4>329</vt:i4>
      </vt:variant>
      <vt:variant>
        <vt:i4>0</vt:i4>
      </vt:variant>
      <vt:variant>
        <vt:i4>5</vt:i4>
      </vt:variant>
      <vt:variant>
        <vt:lpwstr/>
      </vt:variant>
      <vt:variant>
        <vt:lpwstr>_Toc291850816</vt:lpwstr>
      </vt:variant>
      <vt:variant>
        <vt:i4>1507390</vt:i4>
      </vt:variant>
      <vt:variant>
        <vt:i4>323</vt:i4>
      </vt:variant>
      <vt:variant>
        <vt:i4>0</vt:i4>
      </vt:variant>
      <vt:variant>
        <vt:i4>5</vt:i4>
      </vt:variant>
      <vt:variant>
        <vt:lpwstr/>
      </vt:variant>
      <vt:variant>
        <vt:lpwstr>_Toc291850815</vt:lpwstr>
      </vt:variant>
      <vt:variant>
        <vt:i4>1507390</vt:i4>
      </vt:variant>
      <vt:variant>
        <vt:i4>317</vt:i4>
      </vt:variant>
      <vt:variant>
        <vt:i4>0</vt:i4>
      </vt:variant>
      <vt:variant>
        <vt:i4>5</vt:i4>
      </vt:variant>
      <vt:variant>
        <vt:lpwstr/>
      </vt:variant>
      <vt:variant>
        <vt:lpwstr>_Toc291850814</vt:lpwstr>
      </vt:variant>
      <vt:variant>
        <vt:i4>1507390</vt:i4>
      </vt:variant>
      <vt:variant>
        <vt:i4>311</vt:i4>
      </vt:variant>
      <vt:variant>
        <vt:i4>0</vt:i4>
      </vt:variant>
      <vt:variant>
        <vt:i4>5</vt:i4>
      </vt:variant>
      <vt:variant>
        <vt:lpwstr/>
      </vt:variant>
      <vt:variant>
        <vt:lpwstr>_Toc291850813</vt:lpwstr>
      </vt:variant>
      <vt:variant>
        <vt:i4>1507390</vt:i4>
      </vt:variant>
      <vt:variant>
        <vt:i4>305</vt:i4>
      </vt:variant>
      <vt:variant>
        <vt:i4>0</vt:i4>
      </vt:variant>
      <vt:variant>
        <vt:i4>5</vt:i4>
      </vt:variant>
      <vt:variant>
        <vt:lpwstr/>
      </vt:variant>
      <vt:variant>
        <vt:lpwstr>_Toc291850812</vt:lpwstr>
      </vt:variant>
      <vt:variant>
        <vt:i4>1507390</vt:i4>
      </vt:variant>
      <vt:variant>
        <vt:i4>299</vt:i4>
      </vt:variant>
      <vt:variant>
        <vt:i4>0</vt:i4>
      </vt:variant>
      <vt:variant>
        <vt:i4>5</vt:i4>
      </vt:variant>
      <vt:variant>
        <vt:lpwstr/>
      </vt:variant>
      <vt:variant>
        <vt:lpwstr>_Toc291850811</vt:lpwstr>
      </vt:variant>
      <vt:variant>
        <vt:i4>1507390</vt:i4>
      </vt:variant>
      <vt:variant>
        <vt:i4>293</vt:i4>
      </vt:variant>
      <vt:variant>
        <vt:i4>0</vt:i4>
      </vt:variant>
      <vt:variant>
        <vt:i4>5</vt:i4>
      </vt:variant>
      <vt:variant>
        <vt:lpwstr/>
      </vt:variant>
      <vt:variant>
        <vt:lpwstr>_Toc291850810</vt:lpwstr>
      </vt:variant>
      <vt:variant>
        <vt:i4>1441854</vt:i4>
      </vt:variant>
      <vt:variant>
        <vt:i4>287</vt:i4>
      </vt:variant>
      <vt:variant>
        <vt:i4>0</vt:i4>
      </vt:variant>
      <vt:variant>
        <vt:i4>5</vt:i4>
      </vt:variant>
      <vt:variant>
        <vt:lpwstr/>
      </vt:variant>
      <vt:variant>
        <vt:lpwstr>_Toc291850809</vt:lpwstr>
      </vt:variant>
      <vt:variant>
        <vt:i4>1441854</vt:i4>
      </vt:variant>
      <vt:variant>
        <vt:i4>281</vt:i4>
      </vt:variant>
      <vt:variant>
        <vt:i4>0</vt:i4>
      </vt:variant>
      <vt:variant>
        <vt:i4>5</vt:i4>
      </vt:variant>
      <vt:variant>
        <vt:lpwstr/>
      </vt:variant>
      <vt:variant>
        <vt:lpwstr>_Toc291850808</vt:lpwstr>
      </vt:variant>
      <vt:variant>
        <vt:i4>1441854</vt:i4>
      </vt:variant>
      <vt:variant>
        <vt:i4>275</vt:i4>
      </vt:variant>
      <vt:variant>
        <vt:i4>0</vt:i4>
      </vt:variant>
      <vt:variant>
        <vt:i4>5</vt:i4>
      </vt:variant>
      <vt:variant>
        <vt:lpwstr/>
      </vt:variant>
      <vt:variant>
        <vt:lpwstr>_Toc291850807</vt:lpwstr>
      </vt:variant>
      <vt:variant>
        <vt:i4>1441854</vt:i4>
      </vt:variant>
      <vt:variant>
        <vt:i4>269</vt:i4>
      </vt:variant>
      <vt:variant>
        <vt:i4>0</vt:i4>
      </vt:variant>
      <vt:variant>
        <vt:i4>5</vt:i4>
      </vt:variant>
      <vt:variant>
        <vt:lpwstr/>
      </vt:variant>
      <vt:variant>
        <vt:lpwstr>_Toc291850806</vt:lpwstr>
      </vt:variant>
      <vt:variant>
        <vt:i4>1441854</vt:i4>
      </vt:variant>
      <vt:variant>
        <vt:i4>263</vt:i4>
      </vt:variant>
      <vt:variant>
        <vt:i4>0</vt:i4>
      </vt:variant>
      <vt:variant>
        <vt:i4>5</vt:i4>
      </vt:variant>
      <vt:variant>
        <vt:lpwstr/>
      </vt:variant>
      <vt:variant>
        <vt:lpwstr>_Toc291850805</vt:lpwstr>
      </vt:variant>
      <vt:variant>
        <vt:i4>1441854</vt:i4>
      </vt:variant>
      <vt:variant>
        <vt:i4>257</vt:i4>
      </vt:variant>
      <vt:variant>
        <vt:i4>0</vt:i4>
      </vt:variant>
      <vt:variant>
        <vt:i4>5</vt:i4>
      </vt:variant>
      <vt:variant>
        <vt:lpwstr/>
      </vt:variant>
      <vt:variant>
        <vt:lpwstr>_Toc291850804</vt:lpwstr>
      </vt:variant>
      <vt:variant>
        <vt:i4>1441854</vt:i4>
      </vt:variant>
      <vt:variant>
        <vt:i4>251</vt:i4>
      </vt:variant>
      <vt:variant>
        <vt:i4>0</vt:i4>
      </vt:variant>
      <vt:variant>
        <vt:i4>5</vt:i4>
      </vt:variant>
      <vt:variant>
        <vt:lpwstr/>
      </vt:variant>
      <vt:variant>
        <vt:lpwstr>_Toc291850803</vt:lpwstr>
      </vt:variant>
      <vt:variant>
        <vt:i4>1441854</vt:i4>
      </vt:variant>
      <vt:variant>
        <vt:i4>245</vt:i4>
      </vt:variant>
      <vt:variant>
        <vt:i4>0</vt:i4>
      </vt:variant>
      <vt:variant>
        <vt:i4>5</vt:i4>
      </vt:variant>
      <vt:variant>
        <vt:lpwstr/>
      </vt:variant>
      <vt:variant>
        <vt:lpwstr>_Toc291850802</vt:lpwstr>
      </vt:variant>
      <vt:variant>
        <vt:i4>1441854</vt:i4>
      </vt:variant>
      <vt:variant>
        <vt:i4>239</vt:i4>
      </vt:variant>
      <vt:variant>
        <vt:i4>0</vt:i4>
      </vt:variant>
      <vt:variant>
        <vt:i4>5</vt:i4>
      </vt:variant>
      <vt:variant>
        <vt:lpwstr/>
      </vt:variant>
      <vt:variant>
        <vt:lpwstr>_Toc291850801</vt:lpwstr>
      </vt:variant>
      <vt:variant>
        <vt:i4>1441854</vt:i4>
      </vt:variant>
      <vt:variant>
        <vt:i4>233</vt:i4>
      </vt:variant>
      <vt:variant>
        <vt:i4>0</vt:i4>
      </vt:variant>
      <vt:variant>
        <vt:i4>5</vt:i4>
      </vt:variant>
      <vt:variant>
        <vt:lpwstr/>
      </vt:variant>
      <vt:variant>
        <vt:lpwstr>_Toc291850800</vt:lpwstr>
      </vt:variant>
      <vt:variant>
        <vt:i4>2031665</vt:i4>
      </vt:variant>
      <vt:variant>
        <vt:i4>227</vt:i4>
      </vt:variant>
      <vt:variant>
        <vt:i4>0</vt:i4>
      </vt:variant>
      <vt:variant>
        <vt:i4>5</vt:i4>
      </vt:variant>
      <vt:variant>
        <vt:lpwstr/>
      </vt:variant>
      <vt:variant>
        <vt:lpwstr>_Toc291850799</vt:lpwstr>
      </vt:variant>
      <vt:variant>
        <vt:i4>2031665</vt:i4>
      </vt:variant>
      <vt:variant>
        <vt:i4>221</vt:i4>
      </vt:variant>
      <vt:variant>
        <vt:i4>0</vt:i4>
      </vt:variant>
      <vt:variant>
        <vt:i4>5</vt:i4>
      </vt:variant>
      <vt:variant>
        <vt:lpwstr/>
      </vt:variant>
      <vt:variant>
        <vt:lpwstr>_Toc291850798</vt:lpwstr>
      </vt:variant>
      <vt:variant>
        <vt:i4>2031665</vt:i4>
      </vt:variant>
      <vt:variant>
        <vt:i4>215</vt:i4>
      </vt:variant>
      <vt:variant>
        <vt:i4>0</vt:i4>
      </vt:variant>
      <vt:variant>
        <vt:i4>5</vt:i4>
      </vt:variant>
      <vt:variant>
        <vt:lpwstr/>
      </vt:variant>
      <vt:variant>
        <vt:lpwstr>_Toc291850797</vt:lpwstr>
      </vt:variant>
      <vt:variant>
        <vt:i4>2031665</vt:i4>
      </vt:variant>
      <vt:variant>
        <vt:i4>209</vt:i4>
      </vt:variant>
      <vt:variant>
        <vt:i4>0</vt:i4>
      </vt:variant>
      <vt:variant>
        <vt:i4>5</vt:i4>
      </vt:variant>
      <vt:variant>
        <vt:lpwstr/>
      </vt:variant>
      <vt:variant>
        <vt:lpwstr>_Toc291850796</vt:lpwstr>
      </vt:variant>
      <vt:variant>
        <vt:i4>2031665</vt:i4>
      </vt:variant>
      <vt:variant>
        <vt:i4>203</vt:i4>
      </vt:variant>
      <vt:variant>
        <vt:i4>0</vt:i4>
      </vt:variant>
      <vt:variant>
        <vt:i4>5</vt:i4>
      </vt:variant>
      <vt:variant>
        <vt:lpwstr/>
      </vt:variant>
      <vt:variant>
        <vt:lpwstr>_Toc291850795</vt:lpwstr>
      </vt:variant>
      <vt:variant>
        <vt:i4>2031665</vt:i4>
      </vt:variant>
      <vt:variant>
        <vt:i4>197</vt:i4>
      </vt:variant>
      <vt:variant>
        <vt:i4>0</vt:i4>
      </vt:variant>
      <vt:variant>
        <vt:i4>5</vt:i4>
      </vt:variant>
      <vt:variant>
        <vt:lpwstr/>
      </vt:variant>
      <vt:variant>
        <vt:lpwstr>_Toc291850794</vt:lpwstr>
      </vt:variant>
      <vt:variant>
        <vt:i4>2031665</vt:i4>
      </vt:variant>
      <vt:variant>
        <vt:i4>191</vt:i4>
      </vt:variant>
      <vt:variant>
        <vt:i4>0</vt:i4>
      </vt:variant>
      <vt:variant>
        <vt:i4>5</vt:i4>
      </vt:variant>
      <vt:variant>
        <vt:lpwstr/>
      </vt:variant>
      <vt:variant>
        <vt:lpwstr>_Toc291850793</vt:lpwstr>
      </vt:variant>
      <vt:variant>
        <vt:i4>2031665</vt:i4>
      </vt:variant>
      <vt:variant>
        <vt:i4>185</vt:i4>
      </vt:variant>
      <vt:variant>
        <vt:i4>0</vt:i4>
      </vt:variant>
      <vt:variant>
        <vt:i4>5</vt:i4>
      </vt:variant>
      <vt:variant>
        <vt:lpwstr/>
      </vt:variant>
      <vt:variant>
        <vt:lpwstr>_Toc291850792</vt:lpwstr>
      </vt:variant>
      <vt:variant>
        <vt:i4>2031665</vt:i4>
      </vt:variant>
      <vt:variant>
        <vt:i4>179</vt:i4>
      </vt:variant>
      <vt:variant>
        <vt:i4>0</vt:i4>
      </vt:variant>
      <vt:variant>
        <vt:i4>5</vt:i4>
      </vt:variant>
      <vt:variant>
        <vt:lpwstr/>
      </vt:variant>
      <vt:variant>
        <vt:lpwstr>_Toc291850791</vt:lpwstr>
      </vt:variant>
      <vt:variant>
        <vt:i4>2031665</vt:i4>
      </vt:variant>
      <vt:variant>
        <vt:i4>173</vt:i4>
      </vt:variant>
      <vt:variant>
        <vt:i4>0</vt:i4>
      </vt:variant>
      <vt:variant>
        <vt:i4>5</vt:i4>
      </vt:variant>
      <vt:variant>
        <vt:lpwstr/>
      </vt:variant>
      <vt:variant>
        <vt:lpwstr>_Toc291850790</vt:lpwstr>
      </vt:variant>
      <vt:variant>
        <vt:i4>1966129</vt:i4>
      </vt:variant>
      <vt:variant>
        <vt:i4>167</vt:i4>
      </vt:variant>
      <vt:variant>
        <vt:i4>0</vt:i4>
      </vt:variant>
      <vt:variant>
        <vt:i4>5</vt:i4>
      </vt:variant>
      <vt:variant>
        <vt:lpwstr/>
      </vt:variant>
      <vt:variant>
        <vt:lpwstr>_Toc291850789</vt:lpwstr>
      </vt:variant>
      <vt:variant>
        <vt:i4>1966129</vt:i4>
      </vt:variant>
      <vt:variant>
        <vt:i4>161</vt:i4>
      </vt:variant>
      <vt:variant>
        <vt:i4>0</vt:i4>
      </vt:variant>
      <vt:variant>
        <vt:i4>5</vt:i4>
      </vt:variant>
      <vt:variant>
        <vt:lpwstr/>
      </vt:variant>
      <vt:variant>
        <vt:lpwstr>_Toc291850788</vt:lpwstr>
      </vt:variant>
      <vt:variant>
        <vt:i4>1966129</vt:i4>
      </vt:variant>
      <vt:variant>
        <vt:i4>155</vt:i4>
      </vt:variant>
      <vt:variant>
        <vt:i4>0</vt:i4>
      </vt:variant>
      <vt:variant>
        <vt:i4>5</vt:i4>
      </vt:variant>
      <vt:variant>
        <vt:lpwstr/>
      </vt:variant>
      <vt:variant>
        <vt:lpwstr>_Toc291850787</vt:lpwstr>
      </vt:variant>
      <vt:variant>
        <vt:i4>1966129</vt:i4>
      </vt:variant>
      <vt:variant>
        <vt:i4>149</vt:i4>
      </vt:variant>
      <vt:variant>
        <vt:i4>0</vt:i4>
      </vt:variant>
      <vt:variant>
        <vt:i4>5</vt:i4>
      </vt:variant>
      <vt:variant>
        <vt:lpwstr/>
      </vt:variant>
      <vt:variant>
        <vt:lpwstr>_Toc291850786</vt:lpwstr>
      </vt:variant>
      <vt:variant>
        <vt:i4>1966129</vt:i4>
      </vt:variant>
      <vt:variant>
        <vt:i4>143</vt:i4>
      </vt:variant>
      <vt:variant>
        <vt:i4>0</vt:i4>
      </vt:variant>
      <vt:variant>
        <vt:i4>5</vt:i4>
      </vt:variant>
      <vt:variant>
        <vt:lpwstr/>
      </vt:variant>
      <vt:variant>
        <vt:lpwstr>_Toc291850785</vt:lpwstr>
      </vt:variant>
      <vt:variant>
        <vt:i4>1966129</vt:i4>
      </vt:variant>
      <vt:variant>
        <vt:i4>137</vt:i4>
      </vt:variant>
      <vt:variant>
        <vt:i4>0</vt:i4>
      </vt:variant>
      <vt:variant>
        <vt:i4>5</vt:i4>
      </vt:variant>
      <vt:variant>
        <vt:lpwstr/>
      </vt:variant>
      <vt:variant>
        <vt:lpwstr>_Toc291850784</vt:lpwstr>
      </vt:variant>
      <vt:variant>
        <vt:i4>1966129</vt:i4>
      </vt:variant>
      <vt:variant>
        <vt:i4>131</vt:i4>
      </vt:variant>
      <vt:variant>
        <vt:i4>0</vt:i4>
      </vt:variant>
      <vt:variant>
        <vt:i4>5</vt:i4>
      </vt:variant>
      <vt:variant>
        <vt:lpwstr/>
      </vt:variant>
      <vt:variant>
        <vt:lpwstr>_Toc291850783</vt:lpwstr>
      </vt:variant>
      <vt:variant>
        <vt:i4>1966129</vt:i4>
      </vt:variant>
      <vt:variant>
        <vt:i4>125</vt:i4>
      </vt:variant>
      <vt:variant>
        <vt:i4>0</vt:i4>
      </vt:variant>
      <vt:variant>
        <vt:i4>5</vt:i4>
      </vt:variant>
      <vt:variant>
        <vt:lpwstr/>
      </vt:variant>
      <vt:variant>
        <vt:lpwstr>_Toc291850782</vt:lpwstr>
      </vt:variant>
      <vt:variant>
        <vt:i4>1966129</vt:i4>
      </vt:variant>
      <vt:variant>
        <vt:i4>119</vt:i4>
      </vt:variant>
      <vt:variant>
        <vt:i4>0</vt:i4>
      </vt:variant>
      <vt:variant>
        <vt:i4>5</vt:i4>
      </vt:variant>
      <vt:variant>
        <vt:lpwstr/>
      </vt:variant>
      <vt:variant>
        <vt:lpwstr>_Toc291850781</vt:lpwstr>
      </vt:variant>
      <vt:variant>
        <vt:i4>1966129</vt:i4>
      </vt:variant>
      <vt:variant>
        <vt:i4>113</vt:i4>
      </vt:variant>
      <vt:variant>
        <vt:i4>0</vt:i4>
      </vt:variant>
      <vt:variant>
        <vt:i4>5</vt:i4>
      </vt:variant>
      <vt:variant>
        <vt:lpwstr/>
      </vt:variant>
      <vt:variant>
        <vt:lpwstr>_Toc291850780</vt:lpwstr>
      </vt:variant>
      <vt:variant>
        <vt:i4>1114161</vt:i4>
      </vt:variant>
      <vt:variant>
        <vt:i4>107</vt:i4>
      </vt:variant>
      <vt:variant>
        <vt:i4>0</vt:i4>
      </vt:variant>
      <vt:variant>
        <vt:i4>5</vt:i4>
      </vt:variant>
      <vt:variant>
        <vt:lpwstr/>
      </vt:variant>
      <vt:variant>
        <vt:lpwstr>_Toc291850779</vt:lpwstr>
      </vt:variant>
      <vt:variant>
        <vt:i4>1114161</vt:i4>
      </vt:variant>
      <vt:variant>
        <vt:i4>101</vt:i4>
      </vt:variant>
      <vt:variant>
        <vt:i4>0</vt:i4>
      </vt:variant>
      <vt:variant>
        <vt:i4>5</vt:i4>
      </vt:variant>
      <vt:variant>
        <vt:lpwstr/>
      </vt:variant>
      <vt:variant>
        <vt:lpwstr>_Toc291850778</vt:lpwstr>
      </vt:variant>
      <vt:variant>
        <vt:i4>1114161</vt:i4>
      </vt:variant>
      <vt:variant>
        <vt:i4>95</vt:i4>
      </vt:variant>
      <vt:variant>
        <vt:i4>0</vt:i4>
      </vt:variant>
      <vt:variant>
        <vt:i4>5</vt:i4>
      </vt:variant>
      <vt:variant>
        <vt:lpwstr/>
      </vt:variant>
      <vt:variant>
        <vt:lpwstr>_Toc291850777</vt:lpwstr>
      </vt:variant>
      <vt:variant>
        <vt:i4>1114161</vt:i4>
      </vt:variant>
      <vt:variant>
        <vt:i4>89</vt:i4>
      </vt:variant>
      <vt:variant>
        <vt:i4>0</vt:i4>
      </vt:variant>
      <vt:variant>
        <vt:i4>5</vt:i4>
      </vt:variant>
      <vt:variant>
        <vt:lpwstr/>
      </vt:variant>
      <vt:variant>
        <vt:lpwstr>_Toc291850776</vt:lpwstr>
      </vt:variant>
      <vt:variant>
        <vt:i4>1114161</vt:i4>
      </vt:variant>
      <vt:variant>
        <vt:i4>83</vt:i4>
      </vt:variant>
      <vt:variant>
        <vt:i4>0</vt:i4>
      </vt:variant>
      <vt:variant>
        <vt:i4>5</vt:i4>
      </vt:variant>
      <vt:variant>
        <vt:lpwstr/>
      </vt:variant>
      <vt:variant>
        <vt:lpwstr>_Toc291850775</vt:lpwstr>
      </vt:variant>
      <vt:variant>
        <vt:i4>1114161</vt:i4>
      </vt:variant>
      <vt:variant>
        <vt:i4>77</vt:i4>
      </vt:variant>
      <vt:variant>
        <vt:i4>0</vt:i4>
      </vt:variant>
      <vt:variant>
        <vt:i4>5</vt:i4>
      </vt:variant>
      <vt:variant>
        <vt:lpwstr/>
      </vt:variant>
      <vt:variant>
        <vt:lpwstr>_Toc291850774</vt:lpwstr>
      </vt:variant>
      <vt:variant>
        <vt:i4>1114161</vt:i4>
      </vt:variant>
      <vt:variant>
        <vt:i4>71</vt:i4>
      </vt:variant>
      <vt:variant>
        <vt:i4>0</vt:i4>
      </vt:variant>
      <vt:variant>
        <vt:i4>5</vt:i4>
      </vt:variant>
      <vt:variant>
        <vt:lpwstr/>
      </vt:variant>
      <vt:variant>
        <vt:lpwstr>_Toc291850773</vt:lpwstr>
      </vt:variant>
      <vt:variant>
        <vt:i4>1114161</vt:i4>
      </vt:variant>
      <vt:variant>
        <vt:i4>65</vt:i4>
      </vt:variant>
      <vt:variant>
        <vt:i4>0</vt:i4>
      </vt:variant>
      <vt:variant>
        <vt:i4>5</vt:i4>
      </vt:variant>
      <vt:variant>
        <vt:lpwstr/>
      </vt:variant>
      <vt:variant>
        <vt:lpwstr>_Toc291850772</vt:lpwstr>
      </vt:variant>
      <vt:variant>
        <vt:i4>1114161</vt:i4>
      </vt:variant>
      <vt:variant>
        <vt:i4>59</vt:i4>
      </vt:variant>
      <vt:variant>
        <vt:i4>0</vt:i4>
      </vt:variant>
      <vt:variant>
        <vt:i4>5</vt:i4>
      </vt:variant>
      <vt:variant>
        <vt:lpwstr/>
      </vt:variant>
      <vt:variant>
        <vt:lpwstr>_Toc291850771</vt:lpwstr>
      </vt:variant>
      <vt:variant>
        <vt:i4>1114161</vt:i4>
      </vt:variant>
      <vt:variant>
        <vt:i4>53</vt:i4>
      </vt:variant>
      <vt:variant>
        <vt:i4>0</vt:i4>
      </vt:variant>
      <vt:variant>
        <vt:i4>5</vt:i4>
      </vt:variant>
      <vt:variant>
        <vt:lpwstr/>
      </vt:variant>
      <vt:variant>
        <vt:lpwstr>_Toc291850770</vt:lpwstr>
      </vt:variant>
      <vt:variant>
        <vt:i4>1048625</vt:i4>
      </vt:variant>
      <vt:variant>
        <vt:i4>47</vt:i4>
      </vt:variant>
      <vt:variant>
        <vt:i4>0</vt:i4>
      </vt:variant>
      <vt:variant>
        <vt:i4>5</vt:i4>
      </vt:variant>
      <vt:variant>
        <vt:lpwstr/>
      </vt:variant>
      <vt:variant>
        <vt:lpwstr>_Toc291850769</vt:lpwstr>
      </vt:variant>
      <vt:variant>
        <vt:i4>1048625</vt:i4>
      </vt:variant>
      <vt:variant>
        <vt:i4>41</vt:i4>
      </vt:variant>
      <vt:variant>
        <vt:i4>0</vt:i4>
      </vt:variant>
      <vt:variant>
        <vt:i4>5</vt:i4>
      </vt:variant>
      <vt:variant>
        <vt:lpwstr/>
      </vt:variant>
      <vt:variant>
        <vt:lpwstr>_Toc291850768</vt:lpwstr>
      </vt:variant>
      <vt:variant>
        <vt:i4>1048625</vt:i4>
      </vt:variant>
      <vt:variant>
        <vt:i4>35</vt:i4>
      </vt:variant>
      <vt:variant>
        <vt:i4>0</vt:i4>
      </vt:variant>
      <vt:variant>
        <vt:i4>5</vt:i4>
      </vt:variant>
      <vt:variant>
        <vt:lpwstr/>
      </vt:variant>
      <vt:variant>
        <vt:lpwstr>_Toc291850767</vt:lpwstr>
      </vt:variant>
      <vt:variant>
        <vt:i4>1048625</vt:i4>
      </vt:variant>
      <vt:variant>
        <vt:i4>29</vt:i4>
      </vt:variant>
      <vt:variant>
        <vt:i4>0</vt:i4>
      </vt:variant>
      <vt:variant>
        <vt:i4>5</vt:i4>
      </vt:variant>
      <vt:variant>
        <vt:lpwstr/>
      </vt:variant>
      <vt:variant>
        <vt:lpwstr>_Toc291850766</vt:lpwstr>
      </vt:variant>
      <vt:variant>
        <vt:i4>1048625</vt:i4>
      </vt:variant>
      <vt:variant>
        <vt:i4>23</vt:i4>
      </vt:variant>
      <vt:variant>
        <vt:i4>0</vt:i4>
      </vt:variant>
      <vt:variant>
        <vt:i4>5</vt:i4>
      </vt:variant>
      <vt:variant>
        <vt:lpwstr/>
      </vt:variant>
      <vt:variant>
        <vt:lpwstr>_Toc291850765</vt:lpwstr>
      </vt:variant>
      <vt:variant>
        <vt:i4>1048625</vt:i4>
      </vt:variant>
      <vt:variant>
        <vt:i4>17</vt:i4>
      </vt:variant>
      <vt:variant>
        <vt:i4>0</vt:i4>
      </vt:variant>
      <vt:variant>
        <vt:i4>5</vt:i4>
      </vt:variant>
      <vt:variant>
        <vt:lpwstr/>
      </vt:variant>
      <vt:variant>
        <vt:lpwstr>_Toc291850764</vt:lpwstr>
      </vt:variant>
      <vt:variant>
        <vt:i4>1048625</vt:i4>
      </vt:variant>
      <vt:variant>
        <vt:i4>11</vt:i4>
      </vt:variant>
      <vt:variant>
        <vt:i4>0</vt:i4>
      </vt:variant>
      <vt:variant>
        <vt:i4>5</vt:i4>
      </vt:variant>
      <vt:variant>
        <vt:lpwstr/>
      </vt:variant>
      <vt:variant>
        <vt:lpwstr>_Toc291850763</vt:lpwstr>
      </vt:variant>
      <vt:variant>
        <vt:i4>1048625</vt:i4>
      </vt:variant>
      <vt:variant>
        <vt:i4>5</vt:i4>
      </vt:variant>
      <vt:variant>
        <vt:i4>0</vt:i4>
      </vt:variant>
      <vt:variant>
        <vt:i4>5</vt:i4>
      </vt:variant>
      <vt:variant>
        <vt:lpwstr/>
      </vt:variant>
      <vt:variant>
        <vt:lpwstr>_Toc291850762</vt:lpwstr>
      </vt:variant>
      <vt:variant>
        <vt:i4>458762</vt:i4>
      </vt:variant>
      <vt:variant>
        <vt:i4>0</vt:i4>
      </vt:variant>
      <vt:variant>
        <vt:i4>0</vt:i4>
      </vt:variant>
      <vt:variant>
        <vt:i4>5</vt:i4>
      </vt:variant>
      <vt:variant>
        <vt:lpwstr>http://xbrl.squarespace.com/</vt:lpwstr>
      </vt:variant>
      <vt:variant>
        <vt:lpwstr/>
      </vt:variant>
      <vt:variant>
        <vt:i4>1572870</vt:i4>
      </vt:variant>
      <vt:variant>
        <vt:i4>0</vt:i4>
      </vt:variant>
      <vt:variant>
        <vt:i4>0</vt:i4>
      </vt:variant>
      <vt:variant>
        <vt:i4>5</vt:i4>
      </vt:variant>
      <vt:variant>
        <vt:lpwstr>http://www.xbrlsite.com/US-GAAP-2011/LogicalModel/SEC-XBRL-Primer-2011-02-15.pdf</vt:lpwstr>
      </vt:variant>
      <vt:variant>
        <vt:lpwstr/>
      </vt:variant>
      <vt:variant>
        <vt:i4>6553702</vt:i4>
      </vt:variant>
      <vt:variant>
        <vt:i4>6</vt:i4>
      </vt:variant>
      <vt:variant>
        <vt:i4>0</vt:i4>
      </vt:variant>
      <vt:variant>
        <vt:i4>5</vt:i4>
      </vt:variant>
      <vt:variant>
        <vt:lpwstr>http://creativecommons.org/licenses/by/3.0/</vt:lpwstr>
      </vt:variant>
      <vt:variant>
        <vt:lpwstr/>
      </vt:variant>
      <vt:variant>
        <vt:i4>6553702</vt:i4>
      </vt:variant>
      <vt:variant>
        <vt:i4>0</vt:i4>
      </vt:variant>
      <vt:variant>
        <vt:i4>0</vt:i4>
      </vt:variant>
      <vt:variant>
        <vt:i4>5</vt:i4>
      </vt:variant>
      <vt:variant>
        <vt:lpwstr>http://creativecommons.org/licenses/by/3.0/</vt:lpwstr>
      </vt:variant>
      <vt:variant>
        <vt:lpwstr/>
      </vt:variant>
      <vt:variant>
        <vt:i4>6553702</vt:i4>
      </vt:variant>
      <vt:variant>
        <vt:i4>220875</vt:i4>
      </vt:variant>
      <vt:variant>
        <vt:i4>1065</vt:i4>
      </vt:variant>
      <vt:variant>
        <vt:i4>4</vt:i4>
      </vt:variant>
      <vt:variant>
        <vt:lpwstr>http://creativecommons.org/licenses/by/3.0/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Financial Reporting Using XBRL</dc:title>
  <dc:creator>Charles Hoffman</dc:creator>
  <cp:lastModifiedBy>Charles Hoffman</cp:lastModifiedBy>
  <cp:revision>18</cp:revision>
  <cp:lastPrinted>2017-05-27T13:45:00Z</cp:lastPrinted>
  <dcterms:created xsi:type="dcterms:W3CDTF">2016-12-18T21:29:00Z</dcterms:created>
  <dcterms:modified xsi:type="dcterms:W3CDTF">2020-06-11T20:48:00Z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