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6F4A50" w14:textId="77777777" w:rsidR="00DA4EFA" w:rsidRDefault="00DA4EFA" w:rsidP="00C20FE0">
      <w:pPr>
        <w:pStyle w:val="Heading1"/>
        <w:tabs>
          <w:tab w:val="num" w:pos="360"/>
        </w:tabs>
        <w:autoSpaceDE w:val="0"/>
        <w:autoSpaceDN w:val="0"/>
        <w:ind w:left="360" w:hanging="360"/>
      </w:pPr>
      <w:r>
        <w:t>Reconciliation of Models</w:t>
      </w:r>
    </w:p>
    <w:p w14:paraId="0D829E4E" w14:textId="77777777" w:rsidR="00DA4EFA" w:rsidRDefault="00DA4EFA" w:rsidP="004609E6">
      <w:pPr>
        <w:pStyle w:val="BodyText"/>
        <w:rPr>
          <w:lang w:val="en-GB"/>
        </w:rPr>
      </w:pPr>
      <w:r>
        <w:rPr>
          <w:lang w:val="en-GB"/>
        </w:rPr>
        <w:t>This section reconciles various models to each other which can be very useful when implementing software.</w:t>
      </w:r>
    </w:p>
    <w:p w14:paraId="66FFD580" w14:textId="311C902B" w:rsidR="00DA4EFA" w:rsidRDefault="00DA4EFA" w:rsidP="004609E6">
      <w:pPr>
        <w:pStyle w:val="Heading2"/>
        <w:rPr>
          <w:lang w:val="en-GB"/>
        </w:rPr>
      </w:pPr>
      <w:r>
        <w:rPr>
          <w:lang w:val="en-GB"/>
        </w:rPr>
        <w:t>OMG</w:t>
      </w:r>
      <w:r w:rsidR="003E1007">
        <w:rPr>
          <w:lang w:val="en-GB"/>
        </w:rPr>
        <w:t>’s Forthcoming</w:t>
      </w:r>
      <w:r>
        <w:rPr>
          <w:lang w:val="en-GB"/>
        </w:rPr>
        <w:t xml:space="preserve"> Standard Business Report Model to XBRL technical syntax</w:t>
      </w:r>
    </w:p>
    <w:p w14:paraId="7FAE6E0E" w14:textId="3241F25D" w:rsidR="00DA4EFA" w:rsidRDefault="00DA4EFA" w:rsidP="004609E6">
      <w:r>
        <w:t xml:space="preserve">The following is a reconciliation between the logical </w:t>
      </w:r>
      <w:r w:rsidR="003E1007">
        <w:t xml:space="preserve">conceptualization </w:t>
      </w:r>
      <w:r>
        <w:t xml:space="preserve">terminology used to describe a report by the </w:t>
      </w:r>
      <w:r w:rsidR="003E1007">
        <w:t xml:space="preserve">forthcoming </w:t>
      </w:r>
      <w:r>
        <w:t>OMG Standard Business Report Model (SBRM) and the XBRL syntax used to implement that logical object.</w:t>
      </w:r>
    </w:p>
    <w:p w14:paraId="61C11821" w14:textId="77777777" w:rsidR="00DA4EFA" w:rsidRDefault="00DA4EFA" w:rsidP="004609E6"/>
    <w:tbl>
      <w:tblPr>
        <w:tblW w:w="87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30"/>
        <w:gridCol w:w="4500"/>
      </w:tblGrid>
      <w:tr w:rsidR="00DA4EFA" w:rsidRPr="00201438" w14:paraId="386122D8" w14:textId="77777777" w:rsidTr="00161849">
        <w:trPr>
          <w:cantSplit/>
          <w:tblHeader/>
        </w:trPr>
        <w:tc>
          <w:tcPr>
            <w:tcW w:w="4230" w:type="dxa"/>
            <w:shd w:val="pct20" w:color="auto" w:fill="auto"/>
          </w:tcPr>
          <w:p w14:paraId="47C78C5E" w14:textId="77777777" w:rsidR="00DA4EFA" w:rsidRDefault="00DA4EFA" w:rsidP="00161849">
            <w:pPr>
              <w:pStyle w:val="BodyText"/>
              <w:spacing w:before="0" w:after="0"/>
              <w:jc w:val="left"/>
              <w:rPr>
                <w:b/>
                <w:sz w:val="14"/>
                <w:szCs w:val="16"/>
                <w:lang w:val="en-GB"/>
              </w:rPr>
            </w:pPr>
          </w:p>
          <w:p w14:paraId="4D60DEF2" w14:textId="77777777" w:rsidR="00DA4EFA" w:rsidRPr="00201438" w:rsidRDefault="00DA4EFA" w:rsidP="00161849">
            <w:pPr>
              <w:pStyle w:val="BodyText"/>
              <w:spacing w:before="0" w:after="0"/>
              <w:jc w:val="center"/>
              <w:rPr>
                <w:b/>
                <w:sz w:val="14"/>
                <w:szCs w:val="16"/>
                <w:lang w:val="en-GB"/>
              </w:rPr>
            </w:pPr>
            <w:r>
              <w:rPr>
                <w:b/>
                <w:sz w:val="14"/>
                <w:szCs w:val="16"/>
                <w:lang w:val="en-GB"/>
              </w:rPr>
              <w:t xml:space="preserve">OMG SBRM (Not yet published) and </w:t>
            </w:r>
            <w:r w:rsidRPr="0066021D">
              <w:rPr>
                <w:b/>
                <w:sz w:val="14"/>
                <w:szCs w:val="16"/>
                <w:lang w:val="en-GB"/>
              </w:rPr>
              <w:t>Logical Theory Describing Business Report Term/Object</w:t>
            </w:r>
            <w:r w:rsidRPr="00A3682B">
              <w:rPr>
                <w:rStyle w:val="FootnoteReference"/>
                <w:sz w:val="14"/>
                <w:szCs w:val="16"/>
                <w:lang w:val="en-GB"/>
              </w:rPr>
              <w:footnoteReference w:id="1"/>
            </w:r>
          </w:p>
        </w:tc>
        <w:tc>
          <w:tcPr>
            <w:tcW w:w="4500" w:type="dxa"/>
            <w:shd w:val="pct20" w:color="auto" w:fill="auto"/>
          </w:tcPr>
          <w:p w14:paraId="1855B9DE" w14:textId="77777777" w:rsidR="00DA4EFA" w:rsidRDefault="00DA4EFA" w:rsidP="00161849">
            <w:pPr>
              <w:pStyle w:val="BodyText"/>
              <w:spacing w:before="0" w:after="0"/>
              <w:jc w:val="center"/>
              <w:rPr>
                <w:b/>
                <w:sz w:val="14"/>
                <w:szCs w:val="16"/>
                <w:lang w:val="en-GB"/>
              </w:rPr>
            </w:pPr>
          </w:p>
          <w:p w14:paraId="2BC825DC" w14:textId="77777777" w:rsidR="00DA4EFA" w:rsidRPr="00201438" w:rsidRDefault="00DA4EFA" w:rsidP="00161849">
            <w:pPr>
              <w:pStyle w:val="BodyText"/>
              <w:spacing w:before="0" w:after="0"/>
              <w:jc w:val="center"/>
              <w:rPr>
                <w:b/>
                <w:sz w:val="14"/>
                <w:szCs w:val="16"/>
                <w:lang w:val="en-GB"/>
              </w:rPr>
            </w:pPr>
            <w:r w:rsidRPr="00C61E70">
              <w:rPr>
                <w:b/>
                <w:sz w:val="14"/>
                <w:szCs w:val="16"/>
                <w:lang w:val="en-GB"/>
              </w:rPr>
              <w:t>XBRL Technical Syntax Term/Object</w:t>
            </w:r>
            <w:r w:rsidRPr="00A3682B">
              <w:rPr>
                <w:rStyle w:val="FootnoteReference"/>
                <w:sz w:val="14"/>
                <w:szCs w:val="16"/>
                <w:lang w:val="en-GB"/>
              </w:rPr>
              <w:footnoteReference w:id="2"/>
            </w:r>
          </w:p>
        </w:tc>
      </w:tr>
      <w:tr w:rsidR="00DA4EFA" w:rsidRPr="00266575" w14:paraId="6785AF8C" w14:textId="77777777" w:rsidTr="00161849">
        <w:trPr>
          <w:cantSplit/>
        </w:trPr>
        <w:tc>
          <w:tcPr>
            <w:tcW w:w="4230" w:type="dxa"/>
          </w:tcPr>
          <w:p w14:paraId="01827B9C" w14:textId="77777777" w:rsidR="00DA4EFA" w:rsidRDefault="00DA4EFA" w:rsidP="00161849">
            <w:pPr>
              <w:pStyle w:val="BodyText"/>
              <w:spacing w:before="0" w:after="0"/>
              <w:jc w:val="left"/>
              <w:rPr>
                <w:sz w:val="14"/>
                <w:szCs w:val="16"/>
                <w:lang w:val="en-GB"/>
              </w:rPr>
            </w:pPr>
            <w:r>
              <w:rPr>
                <w:b/>
                <w:sz w:val="14"/>
                <w:szCs w:val="16"/>
                <w:lang w:val="en-GB"/>
              </w:rPr>
              <w:t>R</w:t>
            </w:r>
            <w:r w:rsidRPr="00205DB8">
              <w:rPr>
                <w:b/>
                <w:sz w:val="14"/>
                <w:szCs w:val="16"/>
                <w:lang w:val="en-GB"/>
              </w:rPr>
              <w:t>eport</w:t>
            </w:r>
            <w:r w:rsidRPr="0066021D">
              <w:rPr>
                <w:sz w:val="14"/>
                <w:szCs w:val="16"/>
                <w:lang w:val="en-GB"/>
              </w:rPr>
              <w:t xml:space="preserve">: </w:t>
            </w:r>
            <w:r>
              <w:rPr>
                <w:sz w:val="14"/>
                <w:szCs w:val="16"/>
                <w:lang w:val="en-GB"/>
              </w:rPr>
              <w:t xml:space="preserve">Information published by a reporting entity at some point in time for some purpose.  </w:t>
            </w:r>
            <w:r w:rsidRPr="0066021D">
              <w:rPr>
                <w:sz w:val="14"/>
                <w:szCs w:val="16"/>
                <w:lang w:val="en-GB"/>
              </w:rPr>
              <w:t>For example a financial report</w:t>
            </w:r>
            <w:r>
              <w:rPr>
                <w:sz w:val="14"/>
                <w:szCs w:val="16"/>
                <w:lang w:val="en-GB"/>
              </w:rPr>
              <w:t xml:space="preserve"> is a type of report.  A report can be broken down into information fragments.</w:t>
            </w:r>
          </w:p>
        </w:tc>
        <w:tc>
          <w:tcPr>
            <w:tcW w:w="4500" w:type="dxa"/>
          </w:tcPr>
          <w:p w14:paraId="05CCB990" w14:textId="77777777" w:rsidR="00DA4EFA" w:rsidRDefault="00DA4EFA" w:rsidP="00161849">
            <w:pPr>
              <w:pStyle w:val="BodyText"/>
              <w:spacing w:before="0" w:after="0"/>
              <w:jc w:val="left"/>
              <w:rPr>
                <w:sz w:val="14"/>
                <w:szCs w:val="16"/>
                <w:lang w:val="en-GB"/>
              </w:rPr>
            </w:pPr>
            <w:r>
              <w:rPr>
                <w:sz w:val="14"/>
                <w:szCs w:val="16"/>
                <w:lang w:val="en-GB"/>
              </w:rPr>
              <w:t>Not explicitly defined; implied to be XBRL instance + XBRL taxonomy</w:t>
            </w:r>
          </w:p>
          <w:p w14:paraId="19F76B09" w14:textId="77777777" w:rsidR="00DA4EFA" w:rsidRDefault="00DA4EFA" w:rsidP="00161849">
            <w:pPr>
              <w:pStyle w:val="BodyText"/>
              <w:spacing w:before="0" w:after="0"/>
              <w:jc w:val="left"/>
              <w:rPr>
                <w:sz w:val="14"/>
                <w:szCs w:val="16"/>
                <w:lang w:val="en-GB"/>
              </w:rPr>
            </w:pPr>
          </w:p>
          <w:p w14:paraId="43D1ED34" w14:textId="77777777" w:rsidR="00DA4EFA" w:rsidRPr="00266575" w:rsidRDefault="00DA4EFA" w:rsidP="00161849">
            <w:pPr>
              <w:pStyle w:val="BodyText"/>
              <w:spacing w:before="0" w:after="0"/>
              <w:jc w:val="left"/>
              <w:rPr>
                <w:sz w:val="14"/>
                <w:szCs w:val="16"/>
                <w:lang w:val="en-GB"/>
              </w:rPr>
            </w:pPr>
            <w:r>
              <w:rPr>
                <w:sz w:val="14"/>
                <w:szCs w:val="16"/>
                <w:lang w:val="en-GB"/>
              </w:rPr>
              <w:t xml:space="preserve">(Note that XBRL taxonomy includes the taxonomy schema and all </w:t>
            </w:r>
            <w:proofErr w:type="spellStart"/>
            <w:r>
              <w:rPr>
                <w:sz w:val="14"/>
                <w:szCs w:val="16"/>
                <w:lang w:val="en-GB"/>
              </w:rPr>
              <w:t>linkbases</w:t>
            </w:r>
            <w:proofErr w:type="spellEnd"/>
            <w:r>
              <w:rPr>
                <w:sz w:val="14"/>
                <w:szCs w:val="16"/>
                <w:lang w:val="en-GB"/>
              </w:rPr>
              <w:t>)</w:t>
            </w:r>
          </w:p>
        </w:tc>
      </w:tr>
      <w:tr w:rsidR="00DA4EFA" w14:paraId="088C585B" w14:textId="77777777" w:rsidTr="00161849">
        <w:trPr>
          <w:cantSplit/>
        </w:trPr>
        <w:tc>
          <w:tcPr>
            <w:tcW w:w="4230" w:type="dxa"/>
          </w:tcPr>
          <w:p w14:paraId="0EAC811A" w14:textId="77777777" w:rsidR="00DA4EFA" w:rsidRDefault="00DA4EFA" w:rsidP="00161849">
            <w:pPr>
              <w:pStyle w:val="BodyText"/>
              <w:spacing w:before="0" w:after="0"/>
              <w:jc w:val="left"/>
              <w:rPr>
                <w:b/>
                <w:sz w:val="14"/>
                <w:szCs w:val="16"/>
                <w:lang w:val="en-GB"/>
              </w:rPr>
            </w:pPr>
            <w:r w:rsidRPr="003407C5">
              <w:rPr>
                <w:b/>
                <w:sz w:val="14"/>
                <w:szCs w:val="16"/>
                <w:lang w:val="en-GB"/>
              </w:rPr>
              <w:t>Fragment</w:t>
            </w:r>
            <w:r w:rsidRPr="003407C5">
              <w:rPr>
                <w:sz w:val="14"/>
                <w:szCs w:val="16"/>
                <w:lang w:val="en-GB"/>
              </w:rPr>
              <w:t xml:space="preserve">: </w:t>
            </w:r>
            <w:r w:rsidRPr="00355E45">
              <w:rPr>
                <w:sz w:val="14"/>
                <w:szCs w:val="16"/>
                <w:lang w:val="en-GB"/>
              </w:rPr>
              <w:t xml:space="preserve">A fragment is a set of </w:t>
            </w:r>
            <w:r>
              <w:rPr>
                <w:sz w:val="14"/>
                <w:szCs w:val="16"/>
                <w:lang w:val="en-GB"/>
              </w:rPr>
              <w:t xml:space="preserve">one to many </w:t>
            </w:r>
            <w:r w:rsidRPr="00355E45">
              <w:rPr>
                <w:sz w:val="14"/>
                <w:szCs w:val="16"/>
                <w:lang w:val="en-GB"/>
              </w:rPr>
              <w:t>Fact Sets which go together some specific purpose within a report.</w:t>
            </w:r>
          </w:p>
        </w:tc>
        <w:tc>
          <w:tcPr>
            <w:tcW w:w="4500" w:type="dxa"/>
          </w:tcPr>
          <w:p w14:paraId="0AE183DC" w14:textId="77777777" w:rsidR="00DA4EFA" w:rsidRDefault="00DA4EFA" w:rsidP="00161849">
            <w:pPr>
              <w:pStyle w:val="BodyText"/>
              <w:spacing w:before="0" w:after="0"/>
              <w:jc w:val="left"/>
              <w:rPr>
                <w:sz w:val="14"/>
                <w:szCs w:val="16"/>
                <w:lang w:val="en-GB"/>
              </w:rPr>
            </w:pPr>
            <w:r>
              <w:rPr>
                <w:sz w:val="14"/>
                <w:szCs w:val="16"/>
                <w:lang w:val="en-GB"/>
              </w:rPr>
              <w:t xml:space="preserve">No explicitly defined term for fragment, but you can use </w:t>
            </w:r>
            <w:r w:rsidRPr="00A3682B">
              <w:rPr>
                <w:b/>
                <w:sz w:val="14"/>
                <w:szCs w:val="16"/>
                <w:lang w:val="en-GB"/>
              </w:rPr>
              <w:t>Networks</w:t>
            </w:r>
            <w:r>
              <w:rPr>
                <w:sz w:val="14"/>
                <w:szCs w:val="16"/>
                <w:lang w:val="en-GB"/>
              </w:rPr>
              <w:t xml:space="preserve"> or </w:t>
            </w:r>
            <w:r w:rsidRPr="00A3682B">
              <w:rPr>
                <w:b/>
                <w:sz w:val="14"/>
                <w:szCs w:val="16"/>
                <w:lang w:val="en-GB"/>
              </w:rPr>
              <w:t>Hypercubes</w:t>
            </w:r>
            <w:r>
              <w:rPr>
                <w:sz w:val="14"/>
                <w:szCs w:val="16"/>
                <w:lang w:val="en-GB"/>
              </w:rPr>
              <w:t xml:space="preserve"> to essentially break a full report into fragments.</w:t>
            </w:r>
          </w:p>
        </w:tc>
      </w:tr>
      <w:tr w:rsidR="00DA4EFA" w14:paraId="2F640D17" w14:textId="77777777" w:rsidTr="00161849">
        <w:trPr>
          <w:cantSplit/>
        </w:trPr>
        <w:tc>
          <w:tcPr>
            <w:tcW w:w="4230" w:type="dxa"/>
          </w:tcPr>
          <w:p w14:paraId="0B264ED6" w14:textId="77777777" w:rsidR="00DA4EFA" w:rsidRDefault="00DA4EFA" w:rsidP="00161849">
            <w:pPr>
              <w:pStyle w:val="BodyText"/>
              <w:spacing w:before="0" w:after="0"/>
              <w:jc w:val="left"/>
              <w:rPr>
                <w:sz w:val="14"/>
                <w:szCs w:val="16"/>
                <w:lang w:val="en-GB"/>
              </w:rPr>
            </w:pPr>
            <w:r w:rsidRPr="0015053E">
              <w:rPr>
                <w:b/>
                <w:sz w:val="14"/>
                <w:szCs w:val="16"/>
                <w:lang w:val="en-GB"/>
              </w:rPr>
              <w:t xml:space="preserve">Fact </w:t>
            </w:r>
            <w:r>
              <w:rPr>
                <w:b/>
                <w:sz w:val="14"/>
                <w:szCs w:val="16"/>
                <w:lang w:val="en-GB"/>
              </w:rPr>
              <w:t>S</w:t>
            </w:r>
            <w:r w:rsidRPr="0015053E">
              <w:rPr>
                <w:b/>
                <w:sz w:val="14"/>
                <w:szCs w:val="16"/>
                <w:lang w:val="en-GB"/>
              </w:rPr>
              <w:t>et</w:t>
            </w:r>
            <w:r w:rsidRPr="0015053E">
              <w:rPr>
                <w:sz w:val="14"/>
                <w:szCs w:val="16"/>
                <w:lang w:val="en-GB"/>
              </w:rPr>
              <w:t>: A fact set is a set of facts which go together (tend to be cohesive and share a certain common nature) for some specific purpose within a report.</w:t>
            </w:r>
            <w:r>
              <w:rPr>
                <w:sz w:val="14"/>
                <w:szCs w:val="16"/>
                <w:lang w:val="en-GB"/>
              </w:rPr>
              <w:t xml:space="preserve"> (Common synonym for Fact Set is Fact Table)</w:t>
            </w:r>
          </w:p>
          <w:p w14:paraId="57AB2EEC" w14:textId="77777777" w:rsidR="00DA4EFA" w:rsidRDefault="00DA4EFA" w:rsidP="00161849">
            <w:pPr>
              <w:pStyle w:val="BodyText"/>
              <w:spacing w:before="0" w:after="0"/>
              <w:jc w:val="left"/>
              <w:rPr>
                <w:b/>
                <w:sz w:val="14"/>
                <w:szCs w:val="16"/>
                <w:lang w:val="en-GB"/>
              </w:rPr>
            </w:pPr>
          </w:p>
        </w:tc>
        <w:tc>
          <w:tcPr>
            <w:tcW w:w="4500" w:type="dxa"/>
          </w:tcPr>
          <w:p w14:paraId="5D340300" w14:textId="77777777" w:rsidR="00DA4EFA" w:rsidRDefault="00DA4EFA" w:rsidP="00161849">
            <w:pPr>
              <w:pStyle w:val="BodyText"/>
              <w:spacing w:before="0" w:after="0"/>
              <w:jc w:val="left"/>
              <w:rPr>
                <w:b/>
                <w:sz w:val="14"/>
                <w:szCs w:val="16"/>
                <w:lang w:val="en-GB"/>
              </w:rPr>
            </w:pPr>
            <w:r>
              <w:rPr>
                <w:sz w:val="14"/>
                <w:szCs w:val="16"/>
                <w:lang w:val="en-GB"/>
              </w:rPr>
              <w:t>No explicitly defined term; Network + Hypercube or if there are concepts outside of a hypercube, then Network + set of all concepts not within a hypercube (i.e. implied hypercube of all concepts not within an explicit hypercube).</w:t>
            </w:r>
          </w:p>
        </w:tc>
      </w:tr>
      <w:tr w:rsidR="00DA4EFA" w14:paraId="47E0043E" w14:textId="77777777" w:rsidTr="00161849">
        <w:trPr>
          <w:cantSplit/>
        </w:trPr>
        <w:tc>
          <w:tcPr>
            <w:tcW w:w="4230" w:type="dxa"/>
          </w:tcPr>
          <w:p w14:paraId="2C56E906" w14:textId="77777777" w:rsidR="00DA4EFA" w:rsidRDefault="00DA4EFA" w:rsidP="00161849">
            <w:pPr>
              <w:pStyle w:val="BodyText"/>
              <w:spacing w:before="0" w:after="0"/>
              <w:jc w:val="left"/>
              <w:rPr>
                <w:sz w:val="14"/>
                <w:szCs w:val="16"/>
                <w:lang w:val="en-GB"/>
              </w:rPr>
            </w:pPr>
            <w:r w:rsidRPr="0036310B">
              <w:rPr>
                <w:sz w:val="14"/>
                <w:szCs w:val="16"/>
                <w:lang w:val="en-GB"/>
              </w:rPr>
              <w:t>No explicitly defined term, but a</w:t>
            </w:r>
            <w:r>
              <w:rPr>
                <w:b/>
                <w:sz w:val="14"/>
                <w:szCs w:val="16"/>
                <w:lang w:val="en-GB"/>
              </w:rPr>
              <w:t xml:space="preserve"> </w:t>
            </w:r>
            <w:r>
              <w:rPr>
                <w:sz w:val="14"/>
                <w:szCs w:val="16"/>
                <w:lang w:val="en-GB"/>
              </w:rPr>
              <w:t xml:space="preserve">fragment can be used to describe any portion of a report.  Made up of facts which go together for some specific purpose. Informally, I refer to this as a </w:t>
            </w:r>
            <w:r w:rsidRPr="0036310B">
              <w:rPr>
                <w:b/>
                <w:sz w:val="14"/>
                <w:szCs w:val="16"/>
                <w:lang w:val="en-GB"/>
              </w:rPr>
              <w:t>component</w:t>
            </w:r>
            <w:r>
              <w:rPr>
                <w:sz w:val="14"/>
                <w:szCs w:val="16"/>
                <w:lang w:val="en-GB"/>
              </w:rPr>
              <w:t>.</w:t>
            </w:r>
          </w:p>
        </w:tc>
        <w:tc>
          <w:tcPr>
            <w:tcW w:w="4500" w:type="dxa"/>
          </w:tcPr>
          <w:p w14:paraId="1D365177" w14:textId="77777777" w:rsidR="00DA4EFA" w:rsidRDefault="00DA4EFA" w:rsidP="00161849">
            <w:pPr>
              <w:pStyle w:val="BodyText"/>
              <w:spacing w:before="0" w:after="0"/>
              <w:jc w:val="left"/>
              <w:rPr>
                <w:sz w:val="14"/>
                <w:szCs w:val="16"/>
                <w:lang w:val="en-GB"/>
              </w:rPr>
            </w:pPr>
            <w:r>
              <w:rPr>
                <w:sz w:val="14"/>
                <w:szCs w:val="16"/>
                <w:lang w:val="en-GB"/>
              </w:rPr>
              <w:t xml:space="preserve">No explicitly defined term; </w:t>
            </w:r>
            <w:r w:rsidRPr="00C0419B">
              <w:rPr>
                <w:b/>
                <w:sz w:val="14"/>
                <w:szCs w:val="16"/>
                <w:lang w:val="en-GB"/>
              </w:rPr>
              <w:t>Network + Hypercube</w:t>
            </w:r>
            <w:r>
              <w:rPr>
                <w:sz w:val="14"/>
                <w:szCs w:val="16"/>
                <w:lang w:val="en-GB"/>
              </w:rPr>
              <w:t xml:space="preserve"> or if there are concepts outside of a hypercube, then Network + set of all concepts not within a hypercube (i.e. implied hypercube of all concepts not within an explicit hypercube).</w:t>
            </w:r>
          </w:p>
        </w:tc>
      </w:tr>
      <w:tr w:rsidR="00DA4EFA" w:rsidRPr="00266575" w14:paraId="3586378C" w14:textId="77777777" w:rsidTr="00161849">
        <w:trPr>
          <w:cantSplit/>
        </w:trPr>
        <w:tc>
          <w:tcPr>
            <w:tcW w:w="4230" w:type="dxa"/>
          </w:tcPr>
          <w:p w14:paraId="780F9955" w14:textId="77777777" w:rsidR="00DA4EFA" w:rsidRPr="004F644B" w:rsidRDefault="00DA4EFA" w:rsidP="00161849">
            <w:pPr>
              <w:pStyle w:val="BodyText"/>
              <w:spacing w:before="0" w:after="0"/>
              <w:jc w:val="left"/>
              <w:rPr>
                <w:sz w:val="14"/>
                <w:szCs w:val="16"/>
                <w:lang w:val="en-GB"/>
              </w:rPr>
            </w:pPr>
            <w:r w:rsidRPr="003E1B6B">
              <w:rPr>
                <w:b/>
                <w:sz w:val="14"/>
                <w:szCs w:val="16"/>
                <w:lang w:val="en-GB"/>
              </w:rPr>
              <w:t>Aspect</w:t>
            </w:r>
            <w:r w:rsidRPr="003E1B6B">
              <w:rPr>
                <w:sz w:val="14"/>
                <w:szCs w:val="16"/>
                <w:lang w:val="en-GB"/>
              </w:rPr>
              <w:t xml:space="preserve">: </w:t>
            </w:r>
            <w:r w:rsidRPr="00355E45">
              <w:rPr>
                <w:sz w:val="14"/>
                <w:szCs w:val="16"/>
                <w:lang w:val="en-GB"/>
              </w:rPr>
              <w:t xml:space="preserve">An aspect describes a fact (an aspect is a property of a fact). An aspect or distinguishing aspect provides information necessary to describe a fact or distinguish one fact from another fact within a report. A fact may have only the three core aspects (entity, calendar period, concept) or zero to many additional distinguishing aspects. </w:t>
            </w:r>
            <w:r w:rsidRPr="00B3590B">
              <w:rPr>
                <w:sz w:val="14"/>
                <w:szCs w:val="16"/>
                <w:lang w:val="en-GB"/>
              </w:rPr>
              <w:t>(Common synonyms for aspect are characteristic, dimension, and [Axis].)</w:t>
            </w:r>
          </w:p>
        </w:tc>
        <w:tc>
          <w:tcPr>
            <w:tcW w:w="4500" w:type="dxa"/>
          </w:tcPr>
          <w:p w14:paraId="097A57C8" w14:textId="77777777" w:rsidR="00DA4EFA" w:rsidRPr="00266575" w:rsidRDefault="00DA4EFA" w:rsidP="00161849">
            <w:pPr>
              <w:pStyle w:val="BodyText"/>
              <w:spacing w:before="0" w:after="0"/>
              <w:jc w:val="left"/>
              <w:rPr>
                <w:sz w:val="14"/>
                <w:szCs w:val="16"/>
                <w:lang w:val="en-GB"/>
              </w:rPr>
            </w:pPr>
            <w:r w:rsidRPr="0036310B">
              <w:rPr>
                <w:b/>
                <w:sz w:val="14"/>
                <w:szCs w:val="16"/>
                <w:lang w:val="en-GB"/>
              </w:rPr>
              <w:t>Aspect as defined by XBRL Formula</w:t>
            </w:r>
            <w:r>
              <w:rPr>
                <w:sz w:val="14"/>
                <w:szCs w:val="16"/>
                <w:lang w:val="en-GB"/>
              </w:rPr>
              <w:t xml:space="preserve">: Dimension + Member is one approach used; Primary Items (defined as XML schema element with the </w:t>
            </w:r>
            <w:proofErr w:type="spellStart"/>
            <w:r>
              <w:rPr>
                <w:sz w:val="14"/>
                <w:szCs w:val="16"/>
                <w:lang w:val="en-GB"/>
              </w:rPr>
              <w:t>substitutionGroup</w:t>
            </w:r>
            <w:proofErr w:type="spellEnd"/>
            <w:r>
              <w:rPr>
                <w:sz w:val="14"/>
                <w:szCs w:val="16"/>
                <w:lang w:val="en-GB"/>
              </w:rPr>
              <w:t xml:space="preserve"> value of “</w:t>
            </w:r>
            <w:proofErr w:type="spellStart"/>
            <w:r>
              <w:rPr>
                <w:sz w:val="14"/>
                <w:szCs w:val="16"/>
                <w:lang w:val="en-GB"/>
              </w:rPr>
              <w:t>xbrli:item</w:t>
            </w:r>
            <w:proofErr w:type="spellEnd"/>
            <w:r>
              <w:rPr>
                <w:sz w:val="14"/>
                <w:szCs w:val="16"/>
                <w:lang w:val="en-GB"/>
              </w:rPr>
              <w:t>”; a specific type, a specific period, and a specific balance; must NOT be abstract) is another approach; entity identifier portion of an XBRL instance context is how reporting entity is implemented; period portion of XBRL instance context is how period is implemented</w:t>
            </w:r>
          </w:p>
        </w:tc>
      </w:tr>
      <w:tr w:rsidR="00DA4EFA" w14:paraId="5464052A" w14:textId="77777777" w:rsidTr="00161849">
        <w:trPr>
          <w:cantSplit/>
        </w:trPr>
        <w:tc>
          <w:tcPr>
            <w:tcW w:w="4230" w:type="dxa"/>
          </w:tcPr>
          <w:p w14:paraId="790DCFEC" w14:textId="77777777" w:rsidR="00DA4EFA" w:rsidRDefault="00DA4EFA" w:rsidP="00161849">
            <w:pPr>
              <w:pStyle w:val="BodyText"/>
              <w:spacing w:before="0" w:after="0"/>
              <w:jc w:val="left"/>
              <w:rPr>
                <w:sz w:val="14"/>
                <w:szCs w:val="16"/>
                <w:lang w:val="en-GB"/>
              </w:rPr>
            </w:pPr>
            <w:r>
              <w:rPr>
                <w:b/>
                <w:sz w:val="14"/>
                <w:szCs w:val="16"/>
                <w:lang w:val="en-GB"/>
              </w:rPr>
              <w:t>Relation:</w:t>
            </w:r>
            <w:r>
              <w:rPr>
                <w:sz w:val="14"/>
                <w:szCs w:val="16"/>
                <w:lang w:val="en-GB"/>
              </w:rPr>
              <w:t xml:space="preserve"> The relation from one object of a report to another object or objects. </w:t>
            </w:r>
            <w:r w:rsidRPr="00165523">
              <w:rPr>
                <w:sz w:val="14"/>
                <w:szCs w:val="16"/>
                <w:highlight w:val="yellow"/>
                <w:lang w:val="en-GB"/>
              </w:rPr>
              <w:t>Is-A; Has-A; Part-Of; Class-</w:t>
            </w:r>
            <w:proofErr w:type="spellStart"/>
            <w:r w:rsidRPr="00165523">
              <w:rPr>
                <w:sz w:val="14"/>
                <w:szCs w:val="16"/>
                <w:highlight w:val="yellow"/>
                <w:lang w:val="en-GB"/>
              </w:rPr>
              <w:t>SubClass</w:t>
            </w:r>
            <w:proofErr w:type="spellEnd"/>
          </w:p>
        </w:tc>
        <w:tc>
          <w:tcPr>
            <w:tcW w:w="4500" w:type="dxa"/>
          </w:tcPr>
          <w:p w14:paraId="21EE7750" w14:textId="77777777" w:rsidR="00DA4EFA" w:rsidRDefault="00DA4EFA" w:rsidP="00161849">
            <w:pPr>
              <w:pStyle w:val="BodyText"/>
              <w:spacing w:before="0" w:after="0"/>
              <w:jc w:val="left"/>
              <w:rPr>
                <w:sz w:val="14"/>
                <w:szCs w:val="16"/>
                <w:lang w:val="en-GB"/>
              </w:rPr>
            </w:pPr>
            <w:r w:rsidRPr="00C0419B">
              <w:rPr>
                <w:b/>
                <w:sz w:val="14"/>
                <w:szCs w:val="16"/>
                <w:lang w:val="en-GB"/>
              </w:rPr>
              <w:t>Relation</w:t>
            </w:r>
            <w:r>
              <w:rPr>
                <w:sz w:val="14"/>
                <w:szCs w:val="16"/>
                <w:lang w:val="en-GB"/>
              </w:rPr>
              <w:t xml:space="preserve">: Presentation relations, calculation relations, definition relations, XBRL Formula; </w:t>
            </w:r>
            <w:r w:rsidRPr="00165523">
              <w:rPr>
                <w:sz w:val="14"/>
                <w:szCs w:val="16"/>
                <w:highlight w:val="yellow"/>
                <w:lang w:val="en-GB"/>
              </w:rPr>
              <w:t>“essence-alias”; “general-special”.</w:t>
            </w:r>
          </w:p>
        </w:tc>
      </w:tr>
      <w:tr w:rsidR="00DA4EFA" w:rsidRPr="0036310B" w14:paraId="0ED5CAA5" w14:textId="77777777" w:rsidTr="00161849">
        <w:trPr>
          <w:cantSplit/>
        </w:trPr>
        <w:tc>
          <w:tcPr>
            <w:tcW w:w="4230" w:type="dxa"/>
            <w:tcBorders>
              <w:top w:val="single" w:sz="4" w:space="0" w:color="auto"/>
              <w:left w:val="single" w:sz="4" w:space="0" w:color="auto"/>
              <w:bottom w:val="single" w:sz="4" w:space="0" w:color="auto"/>
              <w:right w:val="single" w:sz="4" w:space="0" w:color="auto"/>
            </w:tcBorders>
          </w:tcPr>
          <w:p w14:paraId="1C26F294" w14:textId="77777777" w:rsidR="00DA4EFA" w:rsidRPr="003E1B6B" w:rsidRDefault="00DA4EFA" w:rsidP="00161849">
            <w:pPr>
              <w:pStyle w:val="BodyText"/>
              <w:spacing w:before="0" w:after="0"/>
              <w:jc w:val="left"/>
              <w:rPr>
                <w:b/>
                <w:sz w:val="14"/>
                <w:szCs w:val="16"/>
                <w:lang w:val="en-GB"/>
              </w:rPr>
            </w:pPr>
            <w:r>
              <w:rPr>
                <w:b/>
                <w:sz w:val="14"/>
                <w:szCs w:val="16"/>
                <w:lang w:val="en-GB"/>
              </w:rPr>
              <w:t>Aspect Set</w:t>
            </w:r>
            <w:r w:rsidRPr="00971D0C">
              <w:rPr>
                <w:sz w:val="14"/>
                <w:szCs w:val="16"/>
                <w:lang w:val="en-GB"/>
              </w:rPr>
              <w:t xml:space="preserve">: </w:t>
            </w:r>
            <w:r>
              <w:rPr>
                <w:sz w:val="14"/>
                <w:szCs w:val="16"/>
                <w:lang w:val="en-GB"/>
              </w:rPr>
              <w:t>Set of aspects that are used to describe a fact within a fact set.</w:t>
            </w:r>
          </w:p>
        </w:tc>
        <w:tc>
          <w:tcPr>
            <w:tcW w:w="4500" w:type="dxa"/>
            <w:tcBorders>
              <w:top w:val="single" w:sz="4" w:space="0" w:color="auto"/>
              <w:left w:val="single" w:sz="4" w:space="0" w:color="auto"/>
              <w:bottom w:val="single" w:sz="4" w:space="0" w:color="auto"/>
              <w:right w:val="single" w:sz="4" w:space="0" w:color="auto"/>
            </w:tcBorders>
          </w:tcPr>
          <w:p w14:paraId="1D34D4D6" w14:textId="77777777" w:rsidR="00DA4EFA" w:rsidRPr="00A3682B" w:rsidRDefault="00DA4EFA" w:rsidP="00161849">
            <w:pPr>
              <w:pStyle w:val="BodyText"/>
              <w:spacing w:before="0" w:after="0"/>
              <w:jc w:val="left"/>
              <w:rPr>
                <w:sz w:val="14"/>
                <w:szCs w:val="16"/>
                <w:lang w:val="en-GB"/>
              </w:rPr>
            </w:pPr>
            <w:r w:rsidRPr="00A3682B">
              <w:rPr>
                <w:sz w:val="14"/>
                <w:szCs w:val="16"/>
                <w:lang w:val="en-GB"/>
              </w:rPr>
              <w:t>Undefined</w:t>
            </w:r>
          </w:p>
        </w:tc>
      </w:tr>
      <w:tr w:rsidR="00DA4EFA" w14:paraId="5D5FDD8C" w14:textId="77777777" w:rsidTr="00161849">
        <w:trPr>
          <w:cantSplit/>
        </w:trPr>
        <w:tc>
          <w:tcPr>
            <w:tcW w:w="4230" w:type="dxa"/>
            <w:tcBorders>
              <w:top w:val="single" w:sz="4" w:space="0" w:color="auto"/>
              <w:left w:val="single" w:sz="4" w:space="0" w:color="auto"/>
              <w:bottom w:val="single" w:sz="4" w:space="0" w:color="auto"/>
              <w:right w:val="single" w:sz="4" w:space="0" w:color="auto"/>
            </w:tcBorders>
          </w:tcPr>
          <w:p w14:paraId="3ACBD88F" w14:textId="77777777" w:rsidR="00DA4EFA" w:rsidRPr="00F17FB0" w:rsidRDefault="00DA4EFA" w:rsidP="00161849">
            <w:pPr>
              <w:pStyle w:val="BodyText"/>
              <w:spacing w:before="0" w:after="0"/>
              <w:jc w:val="left"/>
              <w:rPr>
                <w:b/>
                <w:sz w:val="14"/>
                <w:szCs w:val="16"/>
                <w:lang w:val="en-GB"/>
              </w:rPr>
            </w:pPr>
            <w:r w:rsidRPr="003E1B6B">
              <w:rPr>
                <w:b/>
                <w:sz w:val="14"/>
                <w:szCs w:val="16"/>
                <w:lang w:val="en-GB"/>
              </w:rPr>
              <w:t>Fact</w:t>
            </w:r>
            <w:r w:rsidRPr="0036310B">
              <w:rPr>
                <w:sz w:val="14"/>
                <w:szCs w:val="16"/>
                <w:lang w:val="en-GB"/>
              </w:rPr>
              <w:t xml:space="preserve">: </w:t>
            </w:r>
            <w:r w:rsidRPr="00355E45">
              <w:rPr>
                <w:sz w:val="14"/>
                <w:szCs w:val="16"/>
                <w:lang w:val="en-GB"/>
              </w:rPr>
              <w:t>A fact is reported. A fact defines a single, observable, reportable piece of information contained within a business report, or fact value, contextualized for unambiguous interpretation or analysis by one or more distinguishing aspects (properties of the fact). A fact value is one property of a fact. Every fa</w:t>
            </w:r>
            <w:r>
              <w:rPr>
                <w:sz w:val="14"/>
                <w:szCs w:val="16"/>
                <w:lang w:val="en-GB"/>
              </w:rPr>
              <w:t>ct has exactly one fact value.</w:t>
            </w:r>
          </w:p>
        </w:tc>
        <w:tc>
          <w:tcPr>
            <w:tcW w:w="4500" w:type="dxa"/>
            <w:tcBorders>
              <w:top w:val="single" w:sz="4" w:space="0" w:color="auto"/>
              <w:left w:val="single" w:sz="4" w:space="0" w:color="auto"/>
              <w:bottom w:val="single" w:sz="4" w:space="0" w:color="auto"/>
              <w:right w:val="single" w:sz="4" w:space="0" w:color="auto"/>
            </w:tcBorders>
          </w:tcPr>
          <w:p w14:paraId="393FBDC4" w14:textId="77777777" w:rsidR="00DA4EFA" w:rsidRDefault="00DA4EFA" w:rsidP="00161849">
            <w:pPr>
              <w:pStyle w:val="BodyText"/>
              <w:spacing w:before="0" w:after="0"/>
              <w:jc w:val="left"/>
              <w:rPr>
                <w:sz w:val="14"/>
                <w:szCs w:val="16"/>
                <w:lang w:val="en-GB"/>
              </w:rPr>
            </w:pPr>
            <w:r w:rsidRPr="0036310B">
              <w:rPr>
                <w:b/>
                <w:sz w:val="14"/>
                <w:szCs w:val="16"/>
                <w:lang w:val="en-GB"/>
              </w:rPr>
              <w:t>Simple fact</w:t>
            </w:r>
            <w:r>
              <w:rPr>
                <w:sz w:val="14"/>
                <w:szCs w:val="16"/>
                <w:lang w:val="en-GB"/>
              </w:rPr>
              <w:t>: Defined by XBRL 2.1; note that compound facts, or tuples, are not allowed by US GAAP Taxonomy Architecture.</w:t>
            </w:r>
          </w:p>
        </w:tc>
      </w:tr>
      <w:tr w:rsidR="00DA4EFA" w:rsidRPr="00FC1D74" w14:paraId="1ED371A7" w14:textId="77777777" w:rsidTr="00161849">
        <w:trPr>
          <w:cantSplit/>
        </w:trPr>
        <w:tc>
          <w:tcPr>
            <w:tcW w:w="4230" w:type="dxa"/>
          </w:tcPr>
          <w:p w14:paraId="41C3196D" w14:textId="77777777" w:rsidR="00DA4EFA" w:rsidRPr="00FC1D74" w:rsidRDefault="00DA4EFA" w:rsidP="00161849">
            <w:pPr>
              <w:pStyle w:val="BodyText"/>
              <w:spacing w:before="0" w:after="0"/>
              <w:jc w:val="left"/>
              <w:rPr>
                <w:b/>
                <w:sz w:val="14"/>
                <w:szCs w:val="16"/>
                <w:lang w:val="en-GB"/>
              </w:rPr>
            </w:pPr>
            <w:r>
              <w:rPr>
                <w:b/>
                <w:sz w:val="14"/>
                <w:szCs w:val="16"/>
                <w:lang w:val="en-GB"/>
              </w:rPr>
              <w:t>Parenthetical explanation:</w:t>
            </w:r>
            <w:r w:rsidRPr="00BD6D28">
              <w:rPr>
                <w:sz w:val="14"/>
                <w:szCs w:val="16"/>
                <w:lang w:val="en-GB"/>
              </w:rPr>
              <w:t xml:space="preserve"> </w:t>
            </w:r>
            <w:r>
              <w:rPr>
                <w:sz w:val="14"/>
                <w:szCs w:val="16"/>
                <w:lang w:val="en-GB"/>
              </w:rPr>
              <w:t>A parenthetical explanation p</w:t>
            </w:r>
            <w:r w:rsidRPr="00BD6D28">
              <w:rPr>
                <w:sz w:val="14"/>
                <w:szCs w:val="16"/>
                <w:lang w:val="en-GB"/>
              </w:rPr>
              <w:t>rovide additional descriptive information about a fact.</w:t>
            </w:r>
          </w:p>
        </w:tc>
        <w:tc>
          <w:tcPr>
            <w:tcW w:w="4500" w:type="dxa"/>
          </w:tcPr>
          <w:p w14:paraId="74B35511" w14:textId="77777777" w:rsidR="00DA4EFA" w:rsidRPr="00FC1D74" w:rsidRDefault="00DA4EFA" w:rsidP="00161849">
            <w:pPr>
              <w:pStyle w:val="BodyText"/>
              <w:spacing w:before="0" w:after="0"/>
              <w:jc w:val="left"/>
              <w:rPr>
                <w:i/>
                <w:sz w:val="14"/>
                <w:szCs w:val="16"/>
                <w:lang w:val="en-GB"/>
              </w:rPr>
            </w:pPr>
            <w:r w:rsidRPr="00C0419B">
              <w:rPr>
                <w:b/>
                <w:sz w:val="14"/>
                <w:szCs w:val="16"/>
                <w:lang w:val="en-GB"/>
              </w:rPr>
              <w:t>XBRL Footnote</w:t>
            </w:r>
            <w:r>
              <w:rPr>
                <w:sz w:val="14"/>
                <w:szCs w:val="16"/>
                <w:lang w:val="en-GB"/>
              </w:rPr>
              <w:t>: Implements what amounts to a comment.</w:t>
            </w:r>
          </w:p>
        </w:tc>
      </w:tr>
      <w:tr w:rsidR="00DA4EFA" w:rsidRPr="00FC1D74" w14:paraId="0CB3020E" w14:textId="77777777" w:rsidTr="00161849">
        <w:trPr>
          <w:cantSplit/>
        </w:trPr>
        <w:tc>
          <w:tcPr>
            <w:tcW w:w="4230" w:type="dxa"/>
          </w:tcPr>
          <w:p w14:paraId="30BBCC8A" w14:textId="77777777" w:rsidR="00DA4EFA" w:rsidRPr="00E930BD" w:rsidRDefault="00DA4EFA" w:rsidP="00161849">
            <w:pPr>
              <w:pStyle w:val="BodyText"/>
              <w:spacing w:before="0" w:after="0"/>
              <w:jc w:val="left"/>
              <w:rPr>
                <w:b/>
                <w:sz w:val="14"/>
                <w:szCs w:val="16"/>
                <w:lang w:val="en-GB"/>
              </w:rPr>
            </w:pPr>
            <w:r>
              <w:rPr>
                <w:b/>
                <w:sz w:val="14"/>
                <w:szCs w:val="16"/>
                <w:lang w:val="en-GB"/>
              </w:rPr>
              <w:t>Information Model</w:t>
            </w:r>
            <w:r w:rsidRPr="00386C31">
              <w:rPr>
                <w:sz w:val="14"/>
                <w:szCs w:val="16"/>
                <w:lang w:val="en-GB"/>
              </w:rPr>
              <w:t>: Combination of Concept Arrangement Pattern and Member Arrangement Pattern.</w:t>
            </w:r>
          </w:p>
        </w:tc>
        <w:tc>
          <w:tcPr>
            <w:tcW w:w="4500" w:type="dxa"/>
          </w:tcPr>
          <w:p w14:paraId="2FA29ECE" w14:textId="77777777" w:rsidR="00DA4EFA" w:rsidRPr="00FC1D74" w:rsidRDefault="00DA4EFA" w:rsidP="00161849">
            <w:pPr>
              <w:pStyle w:val="BodyText"/>
              <w:spacing w:before="0" w:after="0"/>
              <w:jc w:val="center"/>
              <w:rPr>
                <w:i/>
                <w:sz w:val="14"/>
                <w:szCs w:val="16"/>
                <w:lang w:val="en-GB"/>
              </w:rPr>
            </w:pPr>
            <w:r w:rsidRPr="00FC1D74">
              <w:rPr>
                <w:i/>
                <w:sz w:val="14"/>
                <w:szCs w:val="16"/>
                <w:lang w:val="en-GB"/>
              </w:rPr>
              <w:t xml:space="preserve">--Does not have this </w:t>
            </w:r>
            <w:r>
              <w:rPr>
                <w:i/>
                <w:sz w:val="14"/>
                <w:szCs w:val="16"/>
                <w:lang w:val="en-GB"/>
              </w:rPr>
              <w:t>term</w:t>
            </w:r>
            <w:r w:rsidRPr="00FC1D74">
              <w:rPr>
                <w:i/>
                <w:sz w:val="14"/>
                <w:szCs w:val="16"/>
                <w:lang w:val="en-GB"/>
              </w:rPr>
              <w:t>--</w:t>
            </w:r>
          </w:p>
        </w:tc>
      </w:tr>
      <w:tr w:rsidR="00DA4EFA" w:rsidRPr="00FC1D74" w14:paraId="7E5B4F85" w14:textId="77777777" w:rsidTr="00161849">
        <w:trPr>
          <w:cantSplit/>
        </w:trPr>
        <w:tc>
          <w:tcPr>
            <w:tcW w:w="4230" w:type="dxa"/>
          </w:tcPr>
          <w:p w14:paraId="4A6295EC" w14:textId="77777777" w:rsidR="00DA4EFA" w:rsidRDefault="00DA4EFA" w:rsidP="00161849">
            <w:pPr>
              <w:pStyle w:val="BodyText"/>
              <w:spacing w:before="0" w:after="0"/>
              <w:jc w:val="left"/>
              <w:rPr>
                <w:sz w:val="14"/>
                <w:szCs w:val="16"/>
                <w:lang w:val="en-GB"/>
              </w:rPr>
            </w:pPr>
            <w:r w:rsidRPr="00E930BD">
              <w:rPr>
                <w:b/>
                <w:sz w:val="14"/>
                <w:szCs w:val="16"/>
                <w:lang w:val="en-GB"/>
              </w:rPr>
              <w:t>Concept Arrangement Pattern</w:t>
            </w:r>
            <w:r>
              <w:rPr>
                <w:sz w:val="14"/>
                <w:szCs w:val="16"/>
                <w:lang w:val="en-GB"/>
              </w:rPr>
              <w:t>: Relation between concepts within the concept aspect.</w:t>
            </w:r>
          </w:p>
        </w:tc>
        <w:tc>
          <w:tcPr>
            <w:tcW w:w="4500" w:type="dxa"/>
          </w:tcPr>
          <w:p w14:paraId="431E5979" w14:textId="77777777" w:rsidR="00DA4EFA" w:rsidRPr="00FC1D74" w:rsidRDefault="00DA4EFA" w:rsidP="00161849">
            <w:pPr>
              <w:pStyle w:val="BodyText"/>
              <w:spacing w:before="0" w:after="0"/>
              <w:jc w:val="center"/>
              <w:rPr>
                <w:i/>
                <w:sz w:val="14"/>
                <w:szCs w:val="16"/>
                <w:lang w:val="en-GB"/>
              </w:rPr>
            </w:pPr>
            <w:r w:rsidRPr="00FC1D74">
              <w:rPr>
                <w:i/>
                <w:sz w:val="14"/>
                <w:szCs w:val="16"/>
                <w:lang w:val="en-GB"/>
              </w:rPr>
              <w:t xml:space="preserve">--Does not have this </w:t>
            </w:r>
            <w:r>
              <w:rPr>
                <w:i/>
                <w:sz w:val="14"/>
                <w:szCs w:val="16"/>
                <w:lang w:val="en-GB"/>
              </w:rPr>
              <w:t>term</w:t>
            </w:r>
            <w:r w:rsidRPr="00FC1D74">
              <w:rPr>
                <w:i/>
                <w:sz w:val="14"/>
                <w:szCs w:val="16"/>
                <w:lang w:val="en-GB"/>
              </w:rPr>
              <w:t>--</w:t>
            </w:r>
          </w:p>
        </w:tc>
      </w:tr>
      <w:tr w:rsidR="00DA4EFA" w:rsidRPr="00FC1D74" w14:paraId="152ABC03" w14:textId="77777777" w:rsidTr="00161849">
        <w:trPr>
          <w:cantSplit/>
        </w:trPr>
        <w:tc>
          <w:tcPr>
            <w:tcW w:w="4230" w:type="dxa"/>
          </w:tcPr>
          <w:p w14:paraId="100695FC" w14:textId="77777777" w:rsidR="00DA4EFA" w:rsidRDefault="00DA4EFA" w:rsidP="00161849">
            <w:pPr>
              <w:pStyle w:val="BodyText"/>
              <w:spacing w:before="0" w:after="0"/>
              <w:jc w:val="left"/>
              <w:rPr>
                <w:sz w:val="14"/>
                <w:szCs w:val="16"/>
                <w:lang w:val="en-GB"/>
              </w:rPr>
            </w:pPr>
            <w:r w:rsidRPr="003E1B6B">
              <w:rPr>
                <w:b/>
                <w:sz w:val="14"/>
                <w:szCs w:val="16"/>
                <w:lang w:val="en-GB"/>
              </w:rPr>
              <w:lastRenderedPageBreak/>
              <w:t>Member Arrangement Pattern</w:t>
            </w:r>
            <w:r>
              <w:rPr>
                <w:sz w:val="14"/>
                <w:szCs w:val="16"/>
                <w:lang w:val="en-GB"/>
              </w:rPr>
              <w:t>: Relations between members within an aspect other than the concept aspect.</w:t>
            </w:r>
          </w:p>
        </w:tc>
        <w:tc>
          <w:tcPr>
            <w:tcW w:w="4500" w:type="dxa"/>
          </w:tcPr>
          <w:p w14:paraId="67B490FA" w14:textId="77777777" w:rsidR="00DA4EFA" w:rsidRPr="00FC1D74" w:rsidRDefault="00DA4EFA" w:rsidP="00161849">
            <w:pPr>
              <w:pStyle w:val="BodyText"/>
              <w:spacing w:before="0" w:after="0"/>
              <w:jc w:val="center"/>
              <w:rPr>
                <w:i/>
                <w:sz w:val="14"/>
                <w:szCs w:val="16"/>
                <w:lang w:val="en-GB"/>
              </w:rPr>
            </w:pPr>
            <w:r w:rsidRPr="00FC1D74">
              <w:rPr>
                <w:i/>
                <w:sz w:val="14"/>
                <w:szCs w:val="16"/>
                <w:lang w:val="en-GB"/>
              </w:rPr>
              <w:t xml:space="preserve">--Does not have this </w:t>
            </w:r>
            <w:r>
              <w:rPr>
                <w:i/>
                <w:sz w:val="14"/>
                <w:szCs w:val="16"/>
                <w:lang w:val="en-GB"/>
              </w:rPr>
              <w:t>term</w:t>
            </w:r>
            <w:r w:rsidRPr="00FC1D74">
              <w:rPr>
                <w:i/>
                <w:sz w:val="14"/>
                <w:szCs w:val="16"/>
                <w:lang w:val="en-GB"/>
              </w:rPr>
              <w:t xml:space="preserve"> --</w:t>
            </w:r>
          </w:p>
        </w:tc>
      </w:tr>
      <w:tr w:rsidR="00DA4EFA" w:rsidRPr="00FC1D74" w14:paraId="189FC0EA" w14:textId="77777777" w:rsidTr="00161849">
        <w:trPr>
          <w:cantSplit/>
        </w:trPr>
        <w:tc>
          <w:tcPr>
            <w:tcW w:w="4230" w:type="dxa"/>
          </w:tcPr>
          <w:p w14:paraId="237B75DD" w14:textId="77777777" w:rsidR="00DA4EFA" w:rsidRDefault="00DA4EFA" w:rsidP="00161849">
            <w:pPr>
              <w:pStyle w:val="BodyText"/>
              <w:spacing w:before="0" w:after="0"/>
              <w:jc w:val="left"/>
              <w:rPr>
                <w:sz w:val="14"/>
                <w:szCs w:val="16"/>
                <w:lang w:val="en-GB"/>
              </w:rPr>
            </w:pPr>
            <w:r w:rsidRPr="00E930BD">
              <w:rPr>
                <w:b/>
                <w:sz w:val="14"/>
                <w:szCs w:val="16"/>
                <w:lang w:val="en-GB"/>
              </w:rPr>
              <w:t>Fragment Arrangement Pattern</w:t>
            </w:r>
            <w:r>
              <w:rPr>
                <w:sz w:val="14"/>
                <w:szCs w:val="16"/>
                <w:lang w:val="en-GB"/>
              </w:rPr>
              <w:t>: Relationship between fragments or the order or sequence of fragments within a report.</w:t>
            </w:r>
          </w:p>
        </w:tc>
        <w:tc>
          <w:tcPr>
            <w:tcW w:w="4500" w:type="dxa"/>
          </w:tcPr>
          <w:p w14:paraId="526570A8" w14:textId="77777777" w:rsidR="00DA4EFA" w:rsidRPr="00FC1D74" w:rsidRDefault="00DA4EFA" w:rsidP="00161849">
            <w:pPr>
              <w:pStyle w:val="BodyText"/>
              <w:spacing w:before="0" w:after="0"/>
              <w:jc w:val="center"/>
              <w:rPr>
                <w:i/>
                <w:sz w:val="14"/>
                <w:szCs w:val="16"/>
                <w:lang w:val="en-GB"/>
              </w:rPr>
            </w:pPr>
            <w:r w:rsidRPr="00FC1D74">
              <w:rPr>
                <w:i/>
                <w:sz w:val="14"/>
                <w:szCs w:val="16"/>
                <w:lang w:val="en-GB"/>
              </w:rPr>
              <w:t xml:space="preserve">--Does not have this </w:t>
            </w:r>
            <w:r>
              <w:rPr>
                <w:i/>
                <w:sz w:val="14"/>
                <w:szCs w:val="16"/>
                <w:lang w:val="en-GB"/>
              </w:rPr>
              <w:t>term</w:t>
            </w:r>
            <w:r w:rsidRPr="00FC1D74">
              <w:rPr>
                <w:i/>
                <w:sz w:val="14"/>
                <w:szCs w:val="16"/>
                <w:lang w:val="en-GB"/>
              </w:rPr>
              <w:t xml:space="preserve"> --</w:t>
            </w:r>
          </w:p>
        </w:tc>
      </w:tr>
      <w:tr w:rsidR="00DA4EFA" w:rsidRPr="0005385B" w14:paraId="7FE9011F" w14:textId="77777777" w:rsidTr="00161849">
        <w:trPr>
          <w:cantSplit/>
        </w:trPr>
        <w:tc>
          <w:tcPr>
            <w:tcW w:w="4230" w:type="dxa"/>
          </w:tcPr>
          <w:p w14:paraId="43B8895B" w14:textId="77777777" w:rsidR="00DA4EFA" w:rsidRDefault="00DA4EFA" w:rsidP="00161849">
            <w:pPr>
              <w:pStyle w:val="BodyText"/>
              <w:spacing w:before="0" w:after="0"/>
              <w:jc w:val="left"/>
              <w:rPr>
                <w:b/>
                <w:sz w:val="14"/>
                <w:szCs w:val="16"/>
                <w:lang w:val="en-GB"/>
              </w:rPr>
            </w:pPr>
            <w:r>
              <w:rPr>
                <w:b/>
                <w:sz w:val="14"/>
                <w:szCs w:val="16"/>
                <w:lang w:val="en-GB"/>
              </w:rPr>
              <w:t>Property:</w:t>
            </w:r>
            <w:r w:rsidRPr="0005385B">
              <w:rPr>
                <w:sz w:val="14"/>
                <w:szCs w:val="16"/>
                <w:lang w:val="en-GB"/>
              </w:rPr>
              <w:t xml:space="preserve"> </w:t>
            </w:r>
            <w:r>
              <w:rPr>
                <w:sz w:val="14"/>
                <w:szCs w:val="16"/>
                <w:lang w:val="en-GB"/>
              </w:rPr>
              <w:t>A p</w:t>
            </w:r>
            <w:r w:rsidRPr="0005385B">
              <w:rPr>
                <w:sz w:val="14"/>
                <w:szCs w:val="16"/>
                <w:lang w:val="en-GB"/>
              </w:rPr>
              <w:t xml:space="preserve">roperty </w:t>
            </w:r>
            <w:r>
              <w:rPr>
                <w:sz w:val="14"/>
                <w:szCs w:val="16"/>
                <w:lang w:val="en-GB"/>
              </w:rPr>
              <w:t xml:space="preserve">is a trait or quality </w:t>
            </w:r>
            <w:r w:rsidRPr="0005385B">
              <w:rPr>
                <w:sz w:val="14"/>
                <w:szCs w:val="16"/>
                <w:lang w:val="en-GB"/>
              </w:rPr>
              <w:t>of an object</w:t>
            </w:r>
            <w:r>
              <w:rPr>
                <w:sz w:val="14"/>
                <w:szCs w:val="16"/>
                <w:lang w:val="en-GB"/>
              </w:rPr>
              <w:t>.</w:t>
            </w:r>
          </w:p>
        </w:tc>
        <w:tc>
          <w:tcPr>
            <w:tcW w:w="4500" w:type="dxa"/>
          </w:tcPr>
          <w:p w14:paraId="197A3251" w14:textId="77777777" w:rsidR="00DA4EFA" w:rsidRPr="0005385B" w:rsidRDefault="00DA4EFA" w:rsidP="00161849">
            <w:pPr>
              <w:pStyle w:val="BodyText"/>
              <w:spacing w:before="0" w:after="0"/>
              <w:jc w:val="left"/>
              <w:rPr>
                <w:sz w:val="14"/>
                <w:szCs w:val="16"/>
                <w:lang w:val="en-GB"/>
              </w:rPr>
            </w:pPr>
            <w:r w:rsidRPr="00C0419B">
              <w:rPr>
                <w:b/>
                <w:sz w:val="14"/>
                <w:szCs w:val="16"/>
                <w:lang w:val="en-GB"/>
              </w:rPr>
              <w:t>Property</w:t>
            </w:r>
            <w:r>
              <w:rPr>
                <w:sz w:val="14"/>
                <w:szCs w:val="16"/>
                <w:lang w:val="en-GB"/>
              </w:rPr>
              <w:t xml:space="preserve">: Generally an XBRL, XML schema, or </w:t>
            </w:r>
            <w:proofErr w:type="spellStart"/>
            <w:r>
              <w:rPr>
                <w:sz w:val="14"/>
                <w:szCs w:val="16"/>
                <w:lang w:val="en-GB"/>
              </w:rPr>
              <w:t>XLink</w:t>
            </w:r>
            <w:proofErr w:type="spellEnd"/>
            <w:r>
              <w:rPr>
                <w:sz w:val="14"/>
                <w:szCs w:val="16"/>
                <w:lang w:val="en-GB"/>
              </w:rPr>
              <w:t xml:space="preserve"> element or attribute.</w:t>
            </w:r>
          </w:p>
        </w:tc>
      </w:tr>
      <w:tr w:rsidR="00DA4EFA" w14:paraId="7ABB8896" w14:textId="77777777" w:rsidTr="00161849">
        <w:trPr>
          <w:cantSplit/>
        </w:trPr>
        <w:tc>
          <w:tcPr>
            <w:tcW w:w="4230" w:type="dxa"/>
          </w:tcPr>
          <w:p w14:paraId="28DD0F34" w14:textId="77777777" w:rsidR="00DA4EFA" w:rsidRDefault="00DA4EFA" w:rsidP="00161849">
            <w:pPr>
              <w:pStyle w:val="BodyText"/>
              <w:spacing w:before="0" w:after="0"/>
              <w:jc w:val="left"/>
              <w:rPr>
                <w:b/>
                <w:sz w:val="14"/>
                <w:szCs w:val="16"/>
                <w:lang w:val="en-GB"/>
              </w:rPr>
            </w:pPr>
            <w:r>
              <w:rPr>
                <w:sz w:val="14"/>
                <w:szCs w:val="16"/>
                <w:lang w:val="en-GB"/>
              </w:rPr>
              <w:t xml:space="preserve">This is </w:t>
            </w:r>
            <w:r w:rsidRPr="00560862">
              <w:rPr>
                <w:i/>
                <w:sz w:val="14"/>
                <w:szCs w:val="16"/>
                <w:lang w:val="en-GB"/>
              </w:rPr>
              <w:t>part of a component</w:t>
            </w:r>
            <w:r>
              <w:rPr>
                <w:sz w:val="14"/>
                <w:szCs w:val="16"/>
                <w:lang w:val="en-GB"/>
              </w:rPr>
              <w:t>, but because different taxonomies use network, hypercube, or combinations of network/hypercube; this cannot be mapped to one physical technical syntax</w:t>
            </w:r>
          </w:p>
        </w:tc>
        <w:tc>
          <w:tcPr>
            <w:tcW w:w="4500" w:type="dxa"/>
          </w:tcPr>
          <w:p w14:paraId="439D0AFE" w14:textId="77777777" w:rsidR="00DA4EFA" w:rsidRDefault="00DA4EFA" w:rsidP="00161849">
            <w:pPr>
              <w:pStyle w:val="BodyText"/>
              <w:spacing w:before="0" w:after="0"/>
              <w:jc w:val="left"/>
              <w:rPr>
                <w:sz w:val="14"/>
                <w:szCs w:val="16"/>
                <w:lang w:val="en-GB"/>
              </w:rPr>
            </w:pPr>
            <w:r>
              <w:rPr>
                <w:sz w:val="14"/>
                <w:szCs w:val="16"/>
                <w:lang w:val="en-GB"/>
              </w:rPr>
              <w:t xml:space="preserve">Network expressed using the </w:t>
            </w:r>
            <w:proofErr w:type="spellStart"/>
            <w:r>
              <w:rPr>
                <w:sz w:val="14"/>
                <w:szCs w:val="16"/>
                <w:lang w:val="en-GB"/>
              </w:rPr>
              <w:t>XLink</w:t>
            </w:r>
            <w:proofErr w:type="spellEnd"/>
            <w:r>
              <w:rPr>
                <w:sz w:val="14"/>
                <w:szCs w:val="16"/>
                <w:lang w:val="en-GB"/>
              </w:rPr>
              <w:t xml:space="preserve"> extended link with an XBRL extended link role</w:t>
            </w:r>
          </w:p>
        </w:tc>
      </w:tr>
      <w:tr w:rsidR="00DA4EFA" w14:paraId="7E34C681" w14:textId="77777777" w:rsidTr="00161849">
        <w:trPr>
          <w:cantSplit/>
        </w:trPr>
        <w:tc>
          <w:tcPr>
            <w:tcW w:w="4230" w:type="dxa"/>
          </w:tcPr>
          <w:p w14:paraId="0773EC4A" w14:textId="77777777" w:rsidR="00DA4EFA" w:rsidRDefault="00DA4EFA" w:rsidP="00161849">
            <w:pPr>
              <w:pStyle w:val="BodyText"/>
              <w:spacing w:before="0" w:after="0"/>
              <w:jc w:val="left"/>
              <w:rPr>
                <w:sz w:val="14"/>
                <w:szCs w:val="16"/>
                <w:lang w:val="en-GB"/>
              </w:rPr>
            </w:pPr>
            <w:r w:rsidRPr="003E1B6B">
              <w:rPr>
                <w:sz w:val="14"/>
                <w:szCs w:val="16"/>
                <w:lang w:val="en-GB"/>
              </w:rPr>
              <w:t>Implementation of a</w:t>
            </w:r>
            <w:r>
              <w:rPr>
                <w:sz w:val="14"/>
                <w:szCs w:val="16"/>
                <w:lang w:val="en-GB"/>
              </w:rPr>
              <w:t xml:space="preserve"> fact set</w:t>
            </w:r>
            <w:r w:rsidRPr="003E1B6B">
              <w:rPr>
                <w:sz w:val="14"/>
                <w:szCs w:val="16"/>
                <w:lang w:val="en-GB"/>
              </w:rPr>
              <w:t>.</w:t>
            </w:r>
            <w:r>
              <w:rPr>
                <w:sz w:val="14"/>
                <w:szCs w:val="16"/>
                <w:lang w:val="en-GB"/>
              </w:rPr>
              <w:t xml:space="preserve"> A hypercube/Table is used to group together facts by defining XBRL presentation relations, XBRL calculation relations, XBRL definition relations and XBRL Formulas that related to a specific fact set.</w:t>
            </w:r>
          </w:p>
        </w:tc>
        <w:tc>
          <w:tcPr>
            <w:tcW w:w="4500" w:type="dxa"/>
          </w:tcPr>
          <w:p w14:paraId="053C87DC" w14:textId="77777777" w:rsidR="00DA4EFA" w:rsidRDefault="00DA4EFA" w:rsidP="00161849">
            <w:pPr>
              <w:pStyle w:val="BodyText"/>
              <w:spacing w:before="0" w:after="0"/>
              <w:jc w:val="left"/>
              <w:rPr>
                <w:sz w:val="14"/>
                <w:szCs w:val="16"/>
                <w:lang w:val="en-GB"/>
              </w:rPr>
            </w:pPr>
            <w:r w:rsidRPr="003E1B6B">
              <w:rPr>
                <w:b/>
                <w:sz w:val="14"/>
                <w:szCs w:val="16"/>
                <w:lang w:val="en-GB"/>
              </w:rPr>
              <w:t>Hypercube</w:t>
            </w:r>
            <w:r>
              <w:rPr>
                <w:sz w:val="14"/>
                <w:szCs w:val="16"/>
                <w:lang w:val="en-GB"/>
              </w:rPr>
              <w:t xml:space="preserve">: XML schema element with the </w:t>
            </w:r>
            <w:proofErr w:type="spellStart"/>
            <w:r>
              <w:rPr>
                <w:sz w:val="14"/>
                <w:szCs w:val="16"/>
                <w:lang w:val="en-GB"/>
              </w:rPr>
              <w:t>substitutionGroup</w:t>
            </w:r>
            <w:proofErr w:type="spellEnd"/>
            <w:r>
              <w:rPr>
                <w:sz w:val="14"/>
                <w:szCs w:val="16"/>
                <w:lang w:val="en-GB"/>
              </w:rPr>
              <w:t xml:space="preserve"> value of “</w:t>
            </w:r>
            <w:proofErr w:type="spellStart"/>
            <w:r>
              <w:rPr>
                <w:sz w:val="14"/>
                <w:szCs w:val="16"/>
                <w:lang w:val="en-GB"/>
              </w:rPr>
              <w:t>xbrldt:hypercubeItem</w:t>
            </w:r>
            <w:proofErr w:type="spellEnd"/>
            <w:r>
              <w:rPr>
                <w:sz w:val="14"/>
                <w:szCs w:val="16"/>
                <w:lang w:val="en-GB"/>
              </w:rPr>
              <w:t>”</w:t>
            </w:r>
          </w:p>
        </w:tc>
      </w:tr>
      <w:tr w:rsidR="00DA4EFA" w14:paraId="5EE0B70E" w14:textId="77777777" w:rsidTr="00161849">
        <w:trPr>
          <w:cantSplit/>
        </w:trPr>
        <w:tc>
          <w:tcPr>
            <w:tcW w:w="4230" w:type="dxa"/>
          </w:tcPr>
          <w:p w14:paraId="49B03CEC" w14:textId="77777777" w:rsidR="00DA4EFA" w:rsidRPr="003E1B6B" w:rsidRDefault="00DA4EFA" w:rsidP="00161849">
            <w:pPr>
              <w:pStyle w:val="BodyText"/>
              <w:spacing w:before="0" w:after="0"/>
              <w:jc w:val="left"/>
              <w:rPr>
                <w:sz w:val="14"/>
                <w:szCs w:val="16"/>
                <w:lang w:val="en-GB"/>
              </w:rPr>
            </w:pPr>
            <w:r w:rsidRPr="003E1B6B">
              <w:rPr>
                <w:sz w:val="14"/>
                <w:szCs w:val="16"/>
                <w:lang w:val="en-GB"/>
              </w:rPr>
              <w:t>Implementation of an Aspect.</w:t>
            </w:r>
            <w:r>
              <w:rPr>
                <w:sz w:val="14"/>
                <w:szCs w:val="16"/>
                <w:lang w:val="en-GB"/>
              </w:rPr>
              <w:t xml:space="preserve"> A dimension/Axis is the name of the aspect.</w:t>
            </w:r>
          </w:p>
        </w:tc>
        <w:tc>
          <w:tcPr>
            <w:tcW w:w="4500" w:type="dxa"/>
          </w:tcPr>
          <w:p w14:paraId="091DFF88" w14:textId="77777777" w:rsidR="00DA4EFA" w:rsidRDefault="00DA4EFA" w:rsidP="00161849">
            <w:pPr>
              <w:pStyle w:val="BodyText"/>
              <w:spacing w:before="0" w:after="0"/>
              <w:jc w:val="left"/>
              <w:rPr>
                <w:sz w:val="14"/>
                <w:szCs w:val="16"/>
                <w:lang w:val="en-GB"/>
              </w:rPr>
            </w:pPr>
            <w:r w:rsidRPr="003E1B6B">
              <w:rPr>
                <w:b/>
                <w:sz w:val="14"/>
                <w:szCs w:val="16"/>
                <w:lang w:val="en-GB"/>
              </w:rPr>
              <w:t>Dimension</w:t>
            </w:r>
            <w:r>
              <w:rPr>
                <w:sz w:val="14"/>
                <w:szCs w:val="16"/>
                <w:lang w:val="en-GB"/>
              </w:rPr>
              <w:t xml:space="preserve">: XBRL Dimensions dimension which is XML schema element with the </w:t>
            </w:r>
            <w:proofErr w:type="spellStart"/>
            <w:r>
              <w:rPr>
                <w:sz w:val="14"/>
                <w:szCs w:val="16"/>
                <w:lang w:val="en-GB"/>
              </w:rPr>
              <w:t>substitutionGroup</w:t>
            </w:r>
            <w:proofErr w:type="spellEnd"/>
            <w:r>
              <w:rPr>
                <w:sz w:val="14"/>
                <w:szCs w:val="16"/>
                <w:lang w:val="en-GB"/>
              </w:rPr>
              <w:t xml:space="preserve"> value of “</w:t>
            </w:r>
            <w:proofErr w:type="spellStart"/>
            <w:r>
              <w:rPr>
                <w:sz w:val="14"/>
                <w:szCs w:val="16"/>
                <w:lang w:val="en-GB"/>
              </w:rPr>
              <w:t>xbrldt:dimensionItem</w:t>
            </w:r>
            <w:proofErr w:type="spellEnd"/>
            <w:r>
              <w:rPr>
                <w:sz w:val="14"/>
                <w:szCs w:val="16"/>
                <w:lang w:val="en-GB"/>
              </w:rPr>
              <w:t xml:space="preserve">”; some characteristics are expressed within an XBRL instance as a context; the concept is expressed using XML Schema elements which have the </w:t>
            </w:r>
            <w:proofErr w:type="spellStart"/>
            <w:r>
              <w:rPr>
                <w:sz w:val="14"/>
                <w:szCs w:val="16"/>
                <w:lang w:val="en-GB"/>
              </w:rPr>
              <w:t>substitutionGroup</w:t>
            </w:r>
            <w:proofErr w:type="spellEnd"/>
            <w:r>
              <w:rPr>
                <w:sz w:val="14"/>
                <w:szCs w:val="16"/>
                <w:lang w:val="en-GB"/>
              </w:rPr>
              <w:t xml:space="preserve"> value of “</w:t>
            </w:r>
            <w:proofErr w:type="spellStart"/>
            <w:r>
              <w:rPr>
                <w:sz w:val="14"/>
                <w:szCs w:val="16"/>
                <w:lang w:val="en-GB"/>
              </w:rPr>
              <w:t>xbrli:item</w:t>
            </w:r>
            <w:proofErr w:type="spellEnd"/>
            <w:r>
              <w:rPr>
                <w:sz w:val="14"/>
                <w:szCs w:val="16"/>
                <w:lang w:val="en-GB"/>
              </w:rPr>
              <w:t>”.  XBRL Formula refers to this as an “aspect”</w:t>
            </w:r>
          </w:p>
        </w:tc>
      </w:tr>
      <w:tr w:rsidR="00DA4EFA" w14:paraId="4337F0EF" w14:textId="77777777" w:rsidTr="00161849">
        <w:trPr>
          <w:cantSplit/>
        </w:trPr>
        <w:tc>
          <w:tcPr>
            <w:tcW w:w="4230" w:type="dxa"/>
          </w:tcPr>
          <w:p w14:paraId="6DDB8C32" w14:textId="77777777" w:rsidR="00DA4EFA" w:rsidRPr="00A33FB4" w:rsidRDefault="00DA4EFA" w:rsidP="00161849">
            <w:pPr>
              <w:pStyle w:val="BodyText"/>
              <w:spacing w:before="0" w:after="0"/>
              <w:jc w:val="left"/>
              <w:rPr>
                <w:b/>
                <w:sz w:val="14"/>
                <w:szCs w:val="16"/>
                <w:lang w:val="en-GB"/>
              </w:rPr>
            </w:pPr>
            <w:r w:rsidRPr="003E1B6B">
              <w:rPr>
                <w:sz w:val="14"/>
                <w:szCs w:val="16"/>
                <w:lang w:val="en-GB"/>
              </w:rPr>
              <w:t>Implementation of an Aspect.</w:t>
            </w:r>
            <w:r>
              <w:rPr>
                <w:sz w:val="14"/>
                <w:szCs w:val="16"/>
                <w:lang w:val="en-GB"/>
              </w:rPr>
              <w:t xml:space="preserve"> A member or [Member] is the value of the aspect.</w:t>
            </w:r>
          </w:p>
        </w:tc>
        <w:tc>
          <w:tcPr>
            <w:tcW w:w="4500" w:type="dxa"/>
          </w:tcPr>
          <w:p w14:paraId="1A9E3A86" w14:textId="77777777" w:rsidR="00DA4EFA" w:rsidRDefault="00DA4EFA" w:rsidP="00161849">
            <w:pPr>
              <w:pStyle w:val="BodyText"/>
              <w:spacing w:before="0" w:after="0"/>
              <w:jc w:val="left"/>
              <w:rPr>
                <w:sz w:val="14"/>
                <w:szCs w:val="16"/>
                <w:lang w:val="en-GB"/>
              </w:rPr>
            </w:pPr>
            <w:r w:rsidRPr="003E1B6B">
              <w:rPr>
                <w:b/>
                <w:sz w:val="14"/>
                <w:szCs w:val="16"/>
                <w:lang w:val="en-GB"/>
              </w:rPr>
              <w:t>Member</w:t>
            </w:r>
            <w:r>
              <w:rPr>
                <w:sz w:val="14"/>
                <w:szCs w:val="16"/>
                <w:lang w:val="en-GB"/>
              </w:rPr>
              <w:t>: XBRL Dimensions Member</w:t>
            </w:r>
          </w:p>
        </w:tc>
      </w:tr>
      <w:tr w:rsidR="00DA4EFA" w14:paraId="624AFC05" w14:textId="77777777" w:rsidTr="00161849">
        <w:trPr>
          <w:cantSplit/>
        </w:trPr>
        <w:tc>
          <w:tcPr>
            <w:tcW w:w="4230" w:type="dxa"/>
          </w:tcPr>
          <w:p w14:paraId="5422DAE3" w14:textId="77777777" w:rsidR="00DA4EFA" w:rsidRPr="00FC1D74" w:rsidRDefault="00DA4EFA" w:rsidP="00161849">
            <w:pPr>
              <w:pStyle w:val="BodyText"/>
              <w:spacing w:before="0" w:after="0"/>
              <w:jc w:val="left"/>
              <w:rPr>
                <w:b/>
                <w:sz w:val="14"/>
                <w:szCs w:val="16"/>
                <w:lang w:val="en-GB"/>
              </w:rPr>
            </w:pPr>
            <w:r w:rsidRPr="003E1B6B">
              <w:rPr>
                <w:sz w:val="14"/>
                <w:szCs w:val="16"/>
                <w:lang w:val="en-GB"/>
              </w:rPr>
              <w:t>Implementation of an Aspect.</w:t>
            </w:r>
            <w:r>
              <w:rPr>
                <w:sz w:val="14"/>
                <w:szCs w:val="16"/>
                <w:lang w:val="en-GB"/>
              </w:rPr>
              <w:t xml:space="preserve"> A primary item or [Line Items] is essentially a dimension of which the Concept is the member.</w:t>
            </w:r>
          </w:p>
        </w:tc>
        <w:tc>
          <w:tcPr>
            <w:tcW w:w="4500" w:type="dxa"/>
          </w:tcPr>
          <w:p w14:paraId="58341D0A" w14:textId="77777777" w:rsidR="00DA4EFA" w:rsidRDefault="00DA4EFA" w:rsidP="00161849">
            <w:pPr>
              <w:pStyle w:val="BodyText"/>
              <w:spacing w:before="0" w:after="0"/>
              <w:jc w:val="left"/>
              <w:rPr>
                <w:sz w:val="14"/>
                <w:szCs w:val="16"/>
                <w:lang w:val="en-GB"/>
              </w:rPr>
            </w:pPr>
            <w:r w:rsidRPr="006B52F6">
              <w:rPr>
                <w:b/>
                <w:sz w:val="14"/>
                <w:szCs w:val="16"/>
                <w:lang w:val="en-GB"/>
              </w:rPr>
              <w:t>Primary Items</w:t>
            </w:r>
            <w:r>
              <w:rPr>
                <w:sz w:val="14"/>
                <w:szCs w:val="16"/>
                <w:lang w:val="en-GB"/>
              </w:rPr>
              <w:t>: The term primary items is defined by XBRL Dimensions.</w:t>
            </w:r>
          </w:p>
        </w:tc>
      </w:tr>
      <w:tr w:rsidR="00DA4EFA" w14:paraId="7CF40541" w14:textId="77777777" w:rsidTr="00161849">
        <w:trPr>
          <w:cantSplit/>
        </w:trPr>
        <w:tc>
          <w:tcPr>
            <w:tcW w:w="4230" w:type="dxa"/>
          </w:tcPr>
          <w:p w14:paraId="71B34187" w14:textId="77777777" w:rsidR="00DA4EFA" w:rsidRPr="00FC1D74" w:rsidRDefault="00DA4EFA" w:rsidP="00161849">
            <w:pPr>
              <w:pStyle w:val="BodyText"/>
              <w:spacing w:before="0" w:after="0"/>
              <w:jc w:val="left"/>
              <w:rPr>
                <w:b/>
                <w:sz w:val="14"/>
                <w:szCs w:val="16"/>
                <w:lang w:val="en-GB"/>
              </w:rPr>
            </w:pPr>
            <w:r w:rsidRPr="004578EC">
              <w:rPr>
                <w:b/>
                <w:sz w:val="14"/>
                <w:szCs w:val="16"/>
                <w:lang w:val="en-GB"/>
              </w:rPr>
              <w:t>Concept</w:t>
            </w:r>
            <w:r>
              <w:rPr>
                <w:sz w:val="14"/>
                <w:szCs w:val="16"/>
                <w:lang w:val="en-GB"/>
              </w:rPr>
              <w:t xml:space="preserve">: </w:t>
            </w:r>
            <w:r w:rsidRPr="003E1B6B">
              <w:rPr>
                <w:sz w:val="14"/>
                <w:szCs w:val="16"/>
                <w:lang w:val="en-GB"/>
              </w:rPr>
              <w:t>Implementation of an Aspect.</w:t>
            </w:r>
            <w:r>
              <w:rPr>
                <w:sz w:val="14"/>
                <w:szCs w:val="16"/>
                <w:lang w:val="en-GB"/>
              </w:rPr>
              <w:t xml:space="preserve">  A core abstract.  A Concept or Abstract is essentially the member or value of the Primary Item or [Line Items] dimension.</w:t>
            </w:r>
          </w:p>
        </w:tc>
        <w:tc>
          <w:tcPr>
            <w:tcW w:w="4500" w:type="dxa"/>
          </w:tcPr>
          <w:p w14:paraId="04E5BF99" w14:textId="77777777" w:rsidR="00DA4EFA" w:rsidRDefault="00DA4EFA" w:rsidP="00161849">
            <w:pPr>
              <w:pStyle w:val="BodyText"/>
              <w:spacing w:before="0" w:after="0"/>
              <w:jc w:val="left"/>
              <w:rPr>
                <w:sz w:val="14"/>
                <w:szCs w:val="16"/>
                <w:lang w:val="en-GB"/>
              </w:rPr>
            </w:pPr>
            <w:r w:rsidRPr="0036310B">
              <w:rPr>
                <w:b/>
                <w:sz w:val="14"/>
                <w:szCs w:val="16"/>
                <w:lang w:val="en-GB"/>
              </w:rPr>
              <w:t>Primary Items</w:t>
            </w:r>
            <w:r>
              <w:rPr>
                <w:sz w:val="14"/>
                <w:szCs w:val="16"/>
                <w:lang w:val="en-GB"/>
              </w:rPr>
              <w:t xml:space="preserve">: XML schema element with the </w:t>
            </w:r>
            <w:proofErr w:type="spellStart"/>
            <w:r>
              <w:rPr>
                <w:sz w:val="14"/>
                <w:szCs w:val="16"/>
                <w:lang w:val="en-GB"/>
              </w:rPr>
              <w:t>substitutionGroup</w:t>
            </w:r>
            <w:proofErr w:type="spellEnd"/>
            <w:r>
              <w:rPr>
                <w:sz w:val="14"/>
                <w:szCs w:val="16"/>
                <w:lang w:val="en-GB"/>
              </w:rPr>
              <w:t xml:space="preserve"> value of “</w:t>
            </w:r>
            <w:proofErr w:type="spellStart"/>
            <w:r>
              <w:rPr>
                <w:sz w:val="14"/>
                <w:szCs w:val="16"/>
                <w:lang w:val="en-GB"/>
              </w:rPr>
              <w:t>xbrli:item</w:t>
            </w:r>
            <w:proofErr w:type="spellEnd"/>
            <w:r>
              <w:rPr>
                <w:sz w:val="14"/>
                <w:szCs w:val="16"/>
                <w:lang w:val="en-GB"/>
              </w:rPr>
              <w:t>”, a specific type, a specific period, and a specific balance; must NOT be abstract.</w:t>
            </w:r>
          </w:p>
        </w:tc>
      </w:tr>
      <w:tr w:rsidR="00DA4EFA" w14:paraId="2B44CAE1" w14:textId="77777777" w:rsidTr="00161849">
        <w:trPr>
          <w:cantSplit/>
        </w:trPr>
        <w:tc>
          <w:tcPr>
            <w:tcW w:w="4230" w:type="dxa"/>
          </w:tcPr>
          <w:p w14:paraId="387A830D" w14:textId="77777777" w:rsidR="00DA4EFA" w:rsidRDefault="00DA4EFA" w:rsidP="00161849">
            <w:pPr>
              <w:pStyle w:val="BodyText"/>
              <w:spacing w:before="0" w:after="0"/>
              <w:jc w:val="left"/>
              <w:rPr>
                <w:b/>
                <w:sz w:val="14"/>
                <w:szCs w:val="16"/>
                <w:lang w:val="en-GB"/>
              </w:rPr>
            </w:pPr>
            <w:r>
              <w:rPr>
                <w:b/>
                <w:sz w:val="14"/>
                <w:szCs w:val="16"/>
                <w:lang w:val="en-GB"/>
              </w:rPr>
              <w:t>Set</w:t>
            </w:r>
            <w:r w:rsidRPr="00386C31">
              <w:rPr>
                <w:sz w:val="14"/>
                <w:szCs w:val="16"/>
                <w:lang w:val="en-GB"/>
              </w:rPr>
              <w:t>: Type of Concept Arrangement Pattern.</w:t>
            </w:r>
            <w:r>
              <w:rPr>
                <w:sz w:val="14"/>
                <w:szCs w:val="16"/>
                <w:lang w:val="en-GB"/>
              </w:rPr>
              <w:t xml:space="preserve"> (no mathematical relation or undescribed mathematical relation)</w:t>
            </w:r>
          </w:p>
        </w:tc>
        <w:tc>
          <w:tcPr>
            <w:tcW w:w="4500" w:type="dxa"/>
          </w:tcPr>
          <w:p w14:paraId="4F026E0D" w14:textId="77777777" w:rsidR="00DA4EFA" w:rsidRDefault="00DA4EFA" w:rsidP="00161849">
            <w:pPr>
              <w:pStyle w:val="BodyText"/>
              <w:spacing w:before="0" w:after="0"/>
              <w:jc w:val="left"/>
              <w:rPr>
                <w:b/>
                <w:sz w:val="14"/>
                <w:szCs w:val="16"/>
                <w:lang w:val="en-GB"/>
              </w:rPr>
            </w:pPr>
            <w:r>
              <w:rPr>
                <w:sz w:val="14"/>
                <w:szCs w:val="16"/>
                <w:lang w:val="en-GB"/>
              </w:rPr>
              <w:t>Can be implied to exist, set of presentation relations which have no mathematical relations</w:t>
            </w:r>
            <w:r w:rsidRPr="00386C31">
              <w:rPr>
                <w:sz w:val="14"/>
                <w:szCs w:val="16"/>
                <w:lang w:val="en-GB"/>
              </w:rPr>
              <w:t>.</w:t>
            </w:r>
          </w:p>
        </w:tc>
      </w:tr>
      <w:tr w:rsidR="00DA4EFA" w:rsidRPr="0036310B" w14:paraId="714C4EEB" w14:textId="77777777" w:rsidTr="00161849">
        <w:trPr>
          <w:cantSplit/>
        </w:trPr>
        <w:tc>
          <w:tcPr>
            <w:tcW w:w="4230" w:type="dxa"/>
          </w:tcPr>
          <w:p w14:paraId="0927F1A2" w14:textId="77777777" w:rsidR="00DA4EFA" w:rsidRPr="00F17FB0" w:rsidRDefault="00DA4EFA" w:rsidP="00161849">
            <w:pPr>
              <w:pStyle w:val="BodyText"/>
              <w:spacing w:before="0" w:after="0"/>
              <w:jc w:val="left"/>
              <w:rPr>
                <w:b/>
                <w:sz w:val="14"/>
                <w:szCs w:val="16"/>
                <w:lang w:val="en-GB"/>
              </w:rPr>
            </w:pPr>
            <w:r>
              <w:rPr>
                <w:b/>
                <w:sz w:val="14"/>
                <w:szCs w:val="16"/>
                <w:lang w:val="en-GB"/>
              </w:rPr>
              <w:t>Roll Up</w:t>
            </w:r>
            <w:r w:rsidRPr="00386C31">
              <w:rPr>
                <w:sz w:val="14"/>
                <w:szCs w:val="16"/>
                <w:lang w:val="en-GB"/>
              </w:rPr>
              <w:t>: Type of Concept Arrangement pattern.</w:t>
            </w:r>
            <w:r>
              <w:rPr>
                <w:sz w:val="14"/>
                <w:szCs w:val="16"/>
                <w:lang w:val="en-GB"/>
              </w:rPr>
              <w:t xml:space="preserve"> </w:t>
            </w:r>
            <w:r w:rsidRPr="006B52F6">
              <w:rPr>
                <w:sz w:val="14"/>
                <w:szCs w:val="16"/>
                <w:lang w:val="en-GB"/>
              </w:rPr>
              <w:t xml:space="preserve">Fact A + Fact B + Fact C = Fact D (a total) </w:t>
            </w:r>
            <w:r>
              <w:rPr>
                <w:sz w:val="14"/>
                <w:szCs w:val="16"/>
                <w:lang w:val="en-GB"/>
              </w:rPr>
              <w:t>(mathematical relation)</w:t>
            </w:r>
          </w:p>
        </w:tc>
        <w:tc>
          <w:tcPr>
            <w:tcW w:w="4500" w:type="dxa"/>
          </w:tcPr>
          <w:p w14:paraId="5C6D89CC" w14:textId="77777777" w:rsidR="00DA4EFA" w:rsidRPr="0036310B" w:rsidRDefault="00DA4EFA" w:rsidP="00161849">
            <w:pPr>
              <w:pStyle w:val="BodyText"/>
              <w:spacing w:before="0" w:after="0"/>
              <w:jc w:val="left"/>
              <w:rPr>
                <w:b/>
                <w:sz w:val="14"/>
                <w:szCs w:val="16"/>
                <w:lang w:val="en-GB"/>
              </w:rPr>
            </w:pPr>
            <w:r w:rsidRPr="00386C31">
              <w:rPr>
                <w:sz w:val="14"/>
                <w:szCs w:val="16"/>
                <w:lang w:val="en-GB"/>
              </w:rPr>
              <w:t>XBRL Calculation relations implies the definition of the term Roll Up.</w:t>
            </w:r>
          </w:p>
        </w:tc>
      </w:tr>
      <w:tr w:rsidR="00DA4EFA" w14:paraId="76741931" w14:textId="77777777" w:rsidTr="00161849">
        <w:trPr>
          <w:cantSplit/>
        </w:trPr>
        <w:tc>
          <w:tcPr>
            <w:tcW w:w="4230" w:type="dxa"/>
          </w:tcPr>
          <w:p w14:paraId="177C7839" w14:textId="77777777" w:rsidR="00DA4EFA" w:rsidRDefault="00DA4EFA" w:rsidP="00161849">
            <w:pPr>
              <w:pStyle w:val="BodyText"/>
              <w:spacing w:before="0" w:after="0"/>
              <w:jc w:val="left"/>
              <w:rPr>
                <w:b/>
                <w:sz w:val="14"/>
                <w:szCs w:val="16"/>
                <w:lang w:val="en-GB"/>
              </w:rPr>
            </w:pPr>
            <w:r>
              <w:rPr>
                <w:b/>
                <w:sz w:val="14"/>
                <w:szCs w:val="16"/>
                <w:lang w:val="en-GB"/>
              </w:rPr>
              <w:t>Roll Forward</w:t>
            </w:r>
            <w:r w:rsidRPr="00386C31">
              <w:rPr>
                <w:sz w:val="14"/>
                <w:szCs w:val="16"/>
                <w:lang w:val="en-GB"/>
              </w:rPr>
              <w:t>: Type of Concept Arrangement Pattern.</w:t>
            </w:r>
            <w:r>
              <w:rPr>
                <w:sz w:val="14"/>
                <w:szCs w:val="16"/>
                <w:lang w:val="en-GB"/>
              </w:rPr>
              <w:t xml:space="preserve"> </w:t>
            </w:r>
            <w:r w:rsidRPr="006B52F6">
              <w:rPr>
                <w:sz w:val="14"/>
                <w:szCs w:val="16"/>
                <w:lang w:val="en-GB"/>
              </w:rPr>
              <w:t xml:space="preserve">Beginning balance (stock) + changes (flow) = Ending balance (stock) </w:t>
            </w:r>
            <w:r>
              <w:rPr>
                <w:sz w:val="14"/>
                <w:szCs w:val="16"/>
                <w:lang w:val="en-GB"/>
              </w:rPr>
              <w:t>(mathematical relation)</w:t>
            </w:r>
          </w:p>
        </w:tc>
        <w:tc>
          <w:tcPr>
            <w:tcW w:w="4500" w:type="dxa"/>
          </w:tcPr>
          <w:p w14:paraId="1D1CD716" w14:textId="77777777" w:rsidR="00DA4EFA" w:rsidRDefault="00DA4EFA" w:rsidP="00161849">
            <w:pPr>
              <w:pStyle w:val="BodyText"/>
              <w:spacing w:before="0" w:after="0"/>
              <w:jc w:val="left"/>
              <w:rPr>
                <w:b/>
                <w:sz w:val="14"/>
                <w:szCs w:val="16"/>
                <w:lang w:val="en-GB"/>
              </w:rPr>
            </w:pPr>
            <w:r>
              <w:rPr>
                <w:sz w:val="14"/>
                <w:szCs w:val="16"/>
                <w:lang w:val="en-GB"/>
              </w:rPr>
              <w:t>Can be implied to exist, specific pattern of XBRL Formula relations</w:t>
            </w:r>
            <w:r w:rsidRPr="00386C31">
              <w:rPr>
                <w:sz w:val="14"/>
                <w:szCs w:val="16"/>
                <w:lang w:val="en-GB"/>
              </w:rPr>
              <w:t>.</w:t>
            </w:r>
            <w:r>
              <w:rPr>
                <w:sz w:val="14"/>
                <w:szCs w:val="16"/>
                <w:lang w:val="en-GB"/>
              </w:rPr>
              <w:t xml:space="preserve"> A roll forward is defined by the US GAAP and IFRS XBRL Taxonomies.</w:t>
            </w:r>
          </w:p>
        </w:tc>
      </w:tr>
      <w:tr w:rsidR="00DA4EFA" w14:paraId="13F90C5F" w14:textId="77777777" w:rsidTr="00161849">
        <w:trPr>
          <w:cantSplit/>
        </w:trPr>
        <w:tc>
          <w:tcPr>
            <w:tcW w:w="4230" w:type="dxa"/>
          </w:tcPr>
          <w:p w14:paraId="5EF76176" w14:textId="77777777" w:rsidR="00DA4EFA" w:rsidRDefault="00DA4EFA" w:rsidP="00161849">
            <w:pPr>
              <w:pStyle w:val="BodyText"/>
              <w:spacing w:before="0" w:after="0"/>
              <w:jc w:val="left"/>
              <w:rPr>
                <w:b/>
                <w:sz w:val="14"/>
                <w:szCs w:val="16"/>
                <w:lang w:val="en-GB"/>
              </w:rPr>
            </w:pPr>
            <w:r>
              <w:rPr>
                <w:b/>
                <w:sz w:val="14"/>
                <w:szCs w:val="16"/>
                <w:lang w:val="en-GB"/>
              </w:rPr>
              <w:t>Adjustment</w:t>
            </w:r>
            <w:r w:rsidRPr="00386C31">
              <w:rPr>
                <w:sz w:val="14"/>
                <w:szCs w:val="16"/>
                <w:lang w:val="en-GB"/>
              </w:rPr>
              <w:t>: Type of Concept Arrangement Pattern.</w:t>
            </w:r>
            <w:r>
              <w:rPr>
                <w:sz w:val="14"/>
                <w:szCs w:val="16"/>
                <w:lang w:val="en-GB"/>
              </w:rPr>
              <w:t xml:space="preserve"> </w:t>
            </w:r>
            <w:r w:rsidRPr="006B52F6">
              <w:rPr>
                <w:sz w:val="14"/>
                <w:szCs w:val="16"/>
                <w:lang w:val="en-GB"/>
              </w:rPr>
              <w:t xml:space="preserve">Originally stated balance + adjustments = restated balance </w:t>
            </w:r>
            <w:r>
              <w:rPr>
                <w:sz w:val="14"/>
                <w:szCs w:val="16"/>
                <w:lang w:val="en-GB"/>
              </w:rPr>
              <w:t>(mathematical relation)</w:t>
            </w:r>
          </w:p>
        </w:tc>
        <w:tc>
          <w:tcPr>
            <w:tcW w:w="4500" w:type="dxa"/>
          </w:tcPr>
          <w:p w14:paraId="5362E506" w14:textId="77777777" w:rsidR="00DA4EFA" w:rsidRDefault="00DA4EFA" w:rsidP="00161849">
            <w:pPr>
              <w:pStyle w:val="BodyText"/>
              <w:spacing w:before="0" w:after="0"/>
              <w:jc w:val="left"/>
              <w:rPr>
                <w:b/>
                <w:sz w:val="14"/>
                <w:szCs w:val="16"/>
                <w:lang w:val="en-GB"/>
              </w:rPr>
            </w:pPr>
            <w:r>
              <w:rPr>
                <w:sz w:val="14"/>
                <w:szCs w:val="16"/>
                <w:lang w:val="en-GB"/>
              </w:rPr>
              <w:t>Can be implied to exist as the relation between an originally stated balance plus adjustments to that balance which yields a restated balance (instant) as of the same calendar period as the originally stated balance; what changes is the report date.</w:t>
            </w:r>
          </w:p>
        </w:tc>
      </w:tr>
      <w:tr w:rsidR="00DA4EFA" w14:paraId="4D4332B5" w14:textId="77777777" w:rsidTr="00161849">
        <w:trPr>
          <w:cantSplit/>
        </w:trPr>
        <w:tc>
          <w:tcPr>
            <w:tcW w:w="4230" w:type="dxa"/>
          </w:tcPr>
          <w:p w14:paraId="545C4F49" w14:textId="77777777" w:rsidR="00DA4EFA" w:rsidRDefault="00DA4EFA" w:rsidP="00161849">
            <w:pPr>
              <w:pStyle w:val="BodyText"/>
              <w:spacing w:before="0" w:after="0"/>
              <w:jc w:val="left"/>
              <w:rPr>
                <w:b/>
                <w:sz w:val="14"/>
                <w:szCs w:val="16"/>
                <w:lang w:val="en-GB"/>
              </w:rPr>
            </w:pPr>
            <w:r>
              <w:rPr>
                <w:b/>
                <w:sz w:val="14"/>
                <w:szCs w:val="16"/>
                <w:lang w:val="en-GB"/>
              </w:rPr>
              <w:t>Variance</w:t>
            </w:r>
            <w:r w:rsidRPr="00386C31">
              <w:rPr>
                <w:sz w:val="14"/>
                <w:szCs w:val="16"/>
                <w:lang w:val="en-GB"/>
              </w:rPr>
              <w:t>: Type of Concept Arrangement Pattern.</w:t>
            </w:r>
            <w:r w:rsidRPr="006B52F6">
              <w:rPr>
                <w:sz w:val="14"/>
                <w:szCs w:val="16"/>
                <w:lang w:val="en-GB"/>
              </w:rPr>
              <w:t xml:space="preserve"> Amount (actual scenario) – Amount (projected scenario) = variance </w:t>
            </w:r>
            <w:r>
              <w:rPr>
                <w:sz w:val="14"/>
                <w:szCs w:val="16"/>
                <w:lang w:val="en-GB"/>
              </w:rPr>
              <w:t>(mathematical relation)</w:t>
            </w:r>
          </w:p>
        </w:tc>
        <w:tc>
          <w:tcPr>
            <w:tcW w:w="4500" w:type="dxa"/>
          </w:tcPr>
          <w:p w14:paraId="745A74E4" w14:textId="77777777" w:rsidR="00DA4EFA" w:rsidRDefault="00DA4EFA" w:rsidP="00161849">
            <w:pPr>
              <w:pStyle w:val="BodyText"/>
              <w:spacing w:before="0" w:after="0"/>
              <w:jc w:val="left"/>
              <w:rPr>
                <w:b/>
                <w:sz w:val="14"/>
                <w:szCs w:val="16"/>
                <w:lang w:val="en-GB"/>
              </w:rPr>
            </w:pPr>
            <w:r>
              <w:rPr>
                <w:sz w:val="14"/>
                <w:szCs w:val="16"/>
                <w:lang w:val="en-GB"/>
              </w:rPr>
              <w:t>Can be implied to exist as the relation between an a</w:t>
            </w:r>
            <w:r w:rsidRPr="007C544F">
              <w:rPr>
                <w:sz w:val="14"/>
                <w:szCs w:val="16"/>
                <w:lang w:val="en-GB"/>
              </w:rPr>
              <w:t xml:space="preserve">mount (actual scenario) – </w:t>
            </w:r>
            <w:r>
              <w:rPr>
                <w:sz w:val="14"/>
                <w:szCs w:val="16"/>
                <w:lang w:val="en-GB"/>
              </w:rPr>
              <w:t>another a</w:t>
            </w:r>
            <w:r w:rsidRPr="007C544F">
              <w:rPr>
                <w:sz w:val="14"/>
                <w:szCs w:val="16"/>
                <w:lang w:val="en-GB"/>
              </w:rPr>
              <w:t xml:space="preserve">mount (projected scenario) </w:t>
            </w:r>
            <w:r>
              <w:rPr>
                <w:sz w:val="14"/>
                <w:szCs w:val="16"/>
                <w:lang w:val="en-GB"/>
              </w:rPr>
              <w:t>which yields a variance; actual, projected, and variance all exist within the same period.</w:t>
            </w:r>
          </w:p>
        </w:tc>
      </w:tr>
      <w:tr w:rsidR="00DA4EFA" w14:paraId="016C0401" w14:textId="77777777" w:rsidTr="00161849">
        <w:trPr>
          <w:cantSplit/>
        </w:trPr>
        <w:tc>
          <w:tcPr>
            <w:tcW w:w="4230" w:type="dxa"/>
          </w:tcPr>
          <w:p w14:paraId="25FD288A" w14:textId="77777777" w:rsidR="00DA4EFA" w:rsidRDefault="00DA4EFA" w:rsidP="00161849">
            <w:pPr>
              <w:pStyle w:val="BodyText"/>
              <w:spacing w:before="0" w:after="0"/>
              <w:jc w:val="left"/>
              <w:rPr>
                <w:b/>
                <w:sz w:val="14"/>
                <w:szCs w:val="16"/>
                <w:lang w:val="en-GB"/>
              </w:rPr>
            </w:pPr>
            <w:r>
              <w:rPr>
                <w:b/>
                <w:sz w:val="14"/>
                <w:szCs w:val="16"/>
                <w:lang w:val="en-GB"/>
              </w:rPr>
              <w:t>Complex Computation</w:t>
            </w:r>
            <w:r w:rsidRPr="00386C31">
              <w:rPr>
                <w:sz w:val="14"/>
                <w:szCs w:val="16"/>
                <w:lang w:val="en-GB"/>
              </w:rPr>
              <w:t>: Type of Concept Arrangement Pattern.</w:t>
            </w:r>
            <w:r>
              <w:rPr>
                <w:sz w:val="14"/>
                <w:szCs w:val="16"/>
                <w:lang w:val="en-GB"/>
              </w:rPr>
              <w:t xml:space="preserve"> (mathematical relation)</w:t>
            </w:r>
          </w:p>
        </w:tc>
        <w:tc>
          <w:tcPr>
            <w:tcW w:w="4500" w:type="dxa"/>
          </w:tcPr>
          <w:p w14:paraId="7C09075A" w14:textId="77777777" w:rsidR="00DA4EFA" w:rsidRDefault="00DA4EFA" w:rsidP="00161849">
            <w:pPr>
              <w:pStyle w:val="BodyText"/>
              <w:spacing w:before="0" w:after="0"/>
              <w:jc w:val="left"/>
              <w:rPr>
                <w:b/>
                <w:sz w:val="14"/>
                <w:szCs w:val="16"/>
                <w:lang w:val="en-GB"/>
              </w:rPr>
            </w:pPr>
            <w:r>
              <w:rPr>
                <w:sz w:val="14"/>
                <w:szCs w:val="16"/>
                <w:lang w:val="en-GB"/>
              </w:rPr>
              <w:t>Can be implied to exist as any mathematical relation that can be described using XBRL Formula but is not any of the other explicitly defined mathematical computations.</w:t>
            </w:r>
          </w:p>
        </w:tc>
      </w:tr>
      <w:tr w:rsidR="00DA4EFA" w14:paraId="50CD3DF1" w14:textId="77777777" w:rsidTr="00161849">
        <w:trPr>
          <w:cantSplit/>
        </w:trPr>
        <w:tc>
          <w:tcPr>
            <w:tcW w:w="4230" w:type="dxa"/>
          </w:tcPr>
          <w:p w14:paraId="27E25B07" w14:textId="77777777" w:rsidR="00DA4EFA" w:rsidRDefault="00DA4EFA" w:rsidP="00161849">
            <w:pPr>
              <w:pStyle w:val="BodyText"/>
              <w:spacing w:before="0" w:after="0"/>
              <w:jc w:val="left"/>
              <w:rPr>
                <w:b/>
                <w:sz w:val="14"/>
                <w:szCs w:val="16"/>
                <w:lang w:val="en-GB"/>
              </w:rPr>
            </w:pPr>
            <w:r>
              <w:rPr>
                <w:b/>
                <w:sz w:val="14"/>
                <w:szCs w:val="16"/>
                <w:lang w:val="en-GB"/>
              </w:rPr>
              <w:t>Text Block</w:t>
            </w:r>
            <w:r w:rsidRPr="00386C31">
              <w:rPr>
                <w:sz w:val="14"/>
                <w:szCs w:val="16"/>
                <w:lang w:val="en-GB"/>
              </w:rPr>
              <w:t>: Type of Concept Arrangement Pattern.</w:t>
            </w:r>
          </w:p>
        </w:tc>
        <w:tc>
          <w:tcPr>
            <w:tcW w:w="4500" w:type="dxa"/>
          </w:tcPr>
          <w:p w14:paraId="31CAEC05" w14:textId="77777777" w:rsidR="00DA4EFA" w:rsidRDefault="00DA4EFA" w:rsidP="00161849">
            <w:pPr>
              <w:pStyle w:val="BodyText"/>
              <w:spacing w:before="0" w:after="0"/>
              <w:jc w:val="left"/>
              <w:rPr>
                <w:b/>
                <w:sz w:val="14"/>
                <w:szCs w:val="16"/>
                <w:lang w:val="en-GB"/>
              </w:rPr>
            </w:pPr>
            <w:r>
              <w:rPr>
                <w:sz w:val="14"/>
                <w:szCs w:val="16"/>
                <w:lang w:val="en-GB"/>
              </w:rPr>
              <w:t>Can be implied to exist, escaped XHTML data type. Term is defined by US GAAP and IFRS XBRL Taxonomies.</w:t>
            </w:r>
          </w:p>
        </w:tc>
      </w:tr>
      <w:tr w:rsidR="00DA4EFA" w14:paraId="7AB88FC4" w14:textId="77777777" w:rsidTr="00161849">
        <w:trPr>
          <w:cantSplit/>
        </w:trPr>
        <w:tc>
          <w:tcPr>
            <w:tcW w:w="4230" w:type="dxa"/>
          </w:tcPr>
          <w:p w14:paraId="6CCE18A2" w14:textId="77777777" w:rsidR="00DA4EFA" w:rsidRDefault="00DA4EFA" w:rsidP="00161849">
            <w:pPr>
              <w:pStyle w:val="BodyText"/>
              <w:spacing w:before="0" w:after="0"/>
              <w:jc w:val="left"/>
              <w:rPr>
                <w:b/>
                <w:sz w:val="14"/>
                <w:szCs w:val="16"/>
                <w:lang w:val="en-GB"/>
              </w:rPr>
            </w:pPr>
            <w:r>
              <w:rPr>
                <w:b/>
                <w:sz w:val="14"/>
                <w:szCs w:val="16"/>
                <w:lang w:val="en-GB"/>
              </w:rPr>
              <w:t>Roll Forward Info</w:t>
            </w:r>
            <w:r w:rsidRPr="00386C31">
              <w:rPr>
                <w:sz w:val="14"/>
                <w:szCs w:val="16"/>
                <w:lang w:val="en-GB"/>
              </w:rPr>
              <w:t>: Type of Concept Arrangement Pattern.</w:t>
            </w:r>
          </w:p>
        </w:tc>
        <w:tc>
          <w:tcPr>
            <w:tcW w:w="4500" w:type="dxa"/>
          </w:tcPr>
          <w:p w14:paraId="3993EB59" w14:textId="77777777" w:rsidR="00DA4EFA" w:rsidRDefault="00DA4EFA" w:rsidP="00161849">
            <w:pPr>
              <w:pStyle w:val="BodyText"/>
              <w:spacing w:before="0" w:after="0"/>
              <w:jc w:val="left"/>
              <w:rPr>
                <w:b/>
                <w:sz w:val="14"/>
                <w:szCs w:val="16"/>
                <w:lang w:val="en-GB"/>
              </w:rPr>
            </w:pPr>
            <w:r>
              <w:rPr>
                <w:sz w:val="14"/>
                <w:szCs w:val="16"/>
                <w:lang w:val="en-GB"/>
              </w:rPr>
              <w:t>Can be implied to exist as being similar to a Roll Forward in terms of showing a beginning and ending balance; however, there is no mathematical relation between the reported values in this fact set.</w:t>
            </w:r>
          </w:p>
        </w:tc>
      </w:tr>
      <w:tr w:rsidR="00DA4EFA" w14:paraId="174EA8D3" w14:textId="77777777" w:rsidTr="00161849">
        <w:trPr>
          <w:cantSplit/>
        </w:trPr>
        <w:tc>
          <w:tcPr>
            <w:tcW w:w="4230" w:type="dxa"/>
          </w:tcPr>
          <w:p w14:paraId="15705BA0" w14:textId="77777777" w:rsidR="00DA4EFA" w:rsidRPr="006B52F6" w:rsidRDefault="00DA4EFA" w:rsidP="00161849">
            <w:pPr>
              <w:pStyle w:val="BodyText"/>
              <w:spacing w:before="0" w:after="0"/>
              <w:jc w:val="left"/>
              <w:rPr>
                <w:sz w:val="14"/>
                <w:szCs w:val="16"/>
                <w:lang w:val="en-GB"/>
              </w:rPr>
            </w:pPr>
            <w:r w:rsidRPr="006B52F6">
              <w:rPr>
                <w:b/>
                <w:sz w:val="14"/>
                <w:szCs w:val="16"/>
                <w:lang w:val="en-GB"/>
              </w:rPr>
              <w:t>Rule</w:t>
            </w:r>
            <w:r>
              <w:rPr>
                <w:sz w:val="14"/>
                <w:szCs w:val="16"/>
                <w:lang w:val="en-GB"/>
              </w:rPr>
              <w:t>: R</w:t>
            </w:r>
            <w:r w:rsidRPr="006B52F6">
              <w:rPr>
                <w:sz w:val="14"/>
                <w:szCs w:val="16"/>
                <w:lang w:val="en-GB"/>
              </w:rPr>
              <w:t xml:space="preserve">ules guide, control, suggest, or influence behaviour. </w:t>
            </w:r>
            <w:r>
              <w:rPr>
                <w:sz w:val="14"/>
                <w:szCs w:val="16"/>
                <w:lang w:val="en-GB"/>
              </w:rPr>
              <w:t>R</w:t>
            </w:r>
            <w:r w:rsidRPr="006B52F6">
              <w:rPr>
                <w:sz w:val="14"/>
                <w:szCs w:val="16"/>
                <w:lang w:val="en-GB"/>
              </w:rPr>
              <w:t xml:space="preserve">ules cause things to happen, prevent things from happening, or suggest that it might be a good idea if something did or did not happen. </w:t>
            </w:r>
            <w:r>
              <w:rPr>
                <w:sz w:val="14"/>
                <w:szCs w:val="16"/>
                <w:lang w:val="en-GB"/>
              </w:rPr>
              <w:t>R</w:t>
            </w:r>
            <w:r w:rsidRPr="006B52F6">
              <w:rPr>
                <w:sz w:val="14"/>
                <w:szCs w:val="16"/>
                <w:lang w:val="en-GB"/>
              </w:rPr>
              <w:t>ules help shape judgment, help make decisions, help evaluate, help shape behaviour, and help reach conclusions.</w:t>
            </w:r>
          </w:p>
        </w:tc>
        <w:tc>
          <w:tcPr>
            <w:tcW w:w="4500" w:type="dxa"/>
          </w:tcPr>
          <w:p w14:paraId="1277C1B3" w14:textId="77777777" w:rsidR="00DA4EFA" w:rsidRDefault="00DA4EFA" w:rsidP="00161849">
            <w:pPr>
              <w:pStyle w:val="BodyText"/>
              <w:spacing w:before="0" w:after="0"/>
              <w:jc w:val="left"/>
              <w:rPr>
                <w:b/>
                <w:sz w:val="14"/>
                <w:szCs w:val="16"/>
                <w:lang w:val="en-GB"/>
              </w:rPr>
            </w:pPr>
            <w:r>
              <w:rPr>
                <w:sz w:val="14"/>
                <w:szCs w:val="16"/>
                <w:lang w:val="en-GB"/>
              </w:rPr>
              <w:t xml:space="preserve">Implied to exist. </w:t>
            </w:r>
          </w:p>
        </w:tc>
      </w:tr>
      <w:tr w:rsidR="00DA4EFA" w:rsidRPr="006B52F6" w14:paraId="73F07383" w14:textId="77777777" w:rsidTr="00161849">
        <w:trPr>
          <w:cantSplit/>
        </w:trPr>
        <w:tc>
          <w:tcPr>
            <w:tcW w:w="4230" w:type="dxa"/>
          </w:tcPr>
          <w:p w14:paraId="3FAF745A" w14:textId="77777777" w:rsidR="00DA4EFA" w:rsidRPr="006B52F6" w:rsidRDefault="00DA4EFA" w:rsidP="00161849">
            <w:pPr>
              <w:pStyle w:val="BodyText"/>
              <w:spacing w:before="0" w:after="0"/>
              <w:jc w:val="left"/>
              <w:rPr>
                <w:b/>
                <w:sz w:val="14"/>
                <w:szCs w:val="16"/>
                <w:lang w:val="en-GB"/>
              </w:rPr>
            </w:pPr>
            <w:r>
              <w:rPr>
                <w:b/>
                <w:sz w:val="14"/>
                <w:szCs w:val="16"/>
                <w:lang w:val="en-GB"/>
              </w:rPr>
              <w:t>Stock</w:t>
            </w:r>
            <w:r w:rsidRPr="006B52F6">
              <w:rPr>
                <w:sz w:val="14"/>
                <w:szCs w:val="16"/>
                <w:lang w:val="en-GB"/>
              </w:rPr>
              <w:t>: Fact as of a specific point in time.</w:t>
            </w:r>
          </w:p>
        </w:tc>
        <w:tc>
          <w:tcPr>
            <w:tcW w:w="4500" w:type="dxa"/>
          </w:tcPr>
          <w:p w14:paraId="490F8865" w14:textId="77777777" w:rsidR="00DA4EFA" w:rsidRPr="006B52F6" w:rsidRDefault="00DA4EFA" w:rsidP="00161849">
            <w:pPr>
              <w:pStyle w:val="BodyText"/>
              <w:spacing w:before="0" w:after="0"/>
              <w:jc w:val="left"/>
              <w:rPr>
                <w:b/>
                <w:sz w:val="14"/>
                <w:szCs w:val="16"/>
                <w:lang w:val="en-GB"/>
              </w:rPr>
            </w:pPr>
            <w:r>
              <w:rPr>
                <w:b/>
                <w:sz w:val="14"/>
                <w:szCs w:val="16"/>
                <w:lang w:val="en-GB"/>
              </w:rPr>
              <w:t>Instant</w:t>
            </w:r>
            <w:r w:rsidRPr="006B52F6">
              <w:rPr>
                <w:sz w:val="14"/>
                <w:szCs w:val="16"/>
                <w:lang w:val="en-GB"/>
              </w:rPr>
              <w:t>: Fact as of a specific point in time.</w:t>
            </w:r>
            <w:r>
              <w:rPr>
                <w:sz w:val="14"/>
                <w:szCs w:val="16"/>
                <w:lang w:val="en-GB"/>
              </w:rPr>
              <w:t xml:space="preserve"> A stock.</w:t>
            </w:r>
          </w:p>
        </w:tc>
      </w:tr>
      <w:tr w:rsidR="00DA4EFA" w14:paraId="3825DA8D" w14:textId="77777777" w:rsidTr="00161849">
        <w:trPr>
          <w:cantSplit/>
        </w:trPr>
        <w:tc>
          <w:tcPr>
            <w:tcW w:w="4230" w:type="dxa"/>
          </w:tcPr>
          <w:p w14:paraId="6A8C6D36" w14:textId="77777777" w:rsidR="00DA4EFA" w:rsidRDefault="00DA4EFA" w:rsidP="00161849">
            <w:pPr>
              <w:pStyle w:val="BodyText"/>
              <w:spacing w:before="0" w:after="0"/>
              <w:jc w:val="left"/>
              <w:rPr>
                <w:b/>
                <w:sz w:val="14"/>
                <w:szCs w:val="16"/>
                <w:lang w:val="en-GB"/>
              </w:rPr>
            </w:pPr>
            <w:r>
              <w:rPr>
                <w:b/>
                <w:sz w:val="14"/>
                <w:szCs w:val="16"/>
                <w:lang w:val="en-GB"/>
              </w:rPr>
              <w:t>Flow</w:t>
            </w:r>
            <w:r w:rsidRPr="006B52F6">
              <w:rPr>
                <w:sz w:val="14"/>
                <w:szCs w:val="16"/>
                <w:lang w:val="en-GB"/>
              </w:rPr>
              <w:t>: Fact for a period of time.</w:t>
            </w:r>
          </w:p>
        </w:tc>
        <w:tc>
          <w:tcPr>
            <w:tcW w:w="4500" w:type="dxa"/>
          </w:tcPr>
          <w:p w14:paraId="28469DF0" w14:textId="77777777" w:rsidR="00DA4EFA" w:rsidRDefault="00DA4EFA" w:rsidP="00161849">
            <w:pPr>
              <w:pStyle w:val="BodyText"/>
              <w:spacing w:before="0" w:after="0"/>
              <w:jc w:val="left"/>
              <w:rPr>
                <w:b/>
                <w:sz w:val="14"/>
                <w:szCs w:val="16"/>
                <w:lang w:val="en-GB"/>
              </w:rPr>
            </w:pPr>
            <w:r>
              <w:rPr>
                <w:b/>
                <w:sz w:val="14"/>
                <w:szCs w:val="16"/>
                <w:lang w:val="en-GB"/>
              </w:rPr>
              <w:t>Duration</w:t>
            </w:r>
            <w:r w:rsidRPr="006B52F6">
              <w:rPr>
                <w:sz w:val="14"/>
                <w:szCs w:val="16"/>
                <w:lang w:val="en-GB"/>
              </w:rPr>
              <w:t>: Fact for a period of time.</w:t>
            </w:r>
            <w:r>
              <w:rPr>
                <w:sz w:val="14"/>
                <w:szCs w:val="16"/>
                <w:lang w:val="en-GB"/>
              </w:rPr>
              <w:t xml:space="preserve"> A flow.</w:t>
            </w:r>
          </w:p>
        </w:tc>
      </w:tr>
      <w:tr w:rsidR="00DA4EFA" w14:paraId="201B2729" w14:textId="77777777" w:rsidTr="00161849">
        <w:trPr>
          <w:cantSplit/>
        </w:trPr>
        <w:tc>
          <w:tcPr>
            <w:tcW w:w="4230" w:type="dxa"/>
          </w:tcPr>
          <w:p w14:paraId="1F3E2F50" w14:textId="77777777" w:rsidR="00DA4EFA" w:rsidRDefault="00DA4EFA" w:rsidP="00161849">
            <w:pPr>
              <w:pStyle w:val="BodyText"/>
              <w:spacing w:before="0" w:after="0"/>
              <w:jc w:val="left"/>
              <w:rPr>
                <w:b/>
                <w:sz w:val="14"/>
                <w:szCs w:val="16"/>
                <w:lang w:val="en-GB"/>
              </w:rPr>
            </w:pPr>
            <w:r>
              <w:rPr>
                <w:b/>
                <w:sz w:val="14"/>
                <w:szCs w:val="16"/>
                <w:lang w:val="en-GB"/>
              </w:rPr>
              <w:t>Grain</w:t>
            </w:r>
            <w:r w:rsidRPr="00C31037">
              <w:rPr>
                <w:sz w:val="14"/>
                <w:szCs w:val="16"/>
                <w:lang w:val="en-GB"/>
              </w:rPr>
              <w:t>: Grain is the level of depth of information or granularity.</w:t>
            </w:r>
          </w:p>
        </w:tc>
        <w:tc>
          <w:tcPr>
            <w:tcW w:w="4500" w:type="dxa"/>
          </w:tcPr>
          <w:p w14:paraId="2FA9CC9B" w14:textId="77777777" w:rsidR="00DA4EFA" w:rsidRDefault="00DA4EFA" w:rsidP="00161849">
            <w:pPr>
              <w:pStyle w:val="BodyText"/>
              <w:spacing w:before="0" w:after="0"/>
              <w:jc w:val="left"/>
              <w:rPr>
                <w:b/>
                <w:sz w:val="14"/>
                <w:szCs w:val="16"/>
                <w:lang w:val="en-GB"/>
              </w:rPr>
            </w:pPr>
            <w:r w:rsidRPr="00C31037">
              <w:rPr>
                <w:sz w:val="14"/>
                <w:szCs w:val="16"/>
                <w:lang w:val="en-GB"/>
              </w:rPr>
              <w:t>Not explicitly defined, can be implied</w:t>
            </w:r>
            <w:r>
              <w:rPr>
                <w:b/>
                <w:sz w:val="14"/>
                <w:szCs w:val="16"/>
                <w:lang w:val="en-GB"/>
              </w:rPr>
              <w:t>;</w:t>
            </w:r>
            <w:r w:rsidRPr="00C31037">
              <w:rPr>
                <w:sz w:val="14"/>
                <w:szCs w:val="16"/>
                <w:lang w:val="en-GB"/>
              </w:rPr>
              <w:t xml:space="preserve"> Grain is the level of depth of information or granularity.</w:t>
            </w:r>
          </w:p>
        </w:tc>
      </w:tr>
    </w:tbl>
    <w:p w14:paraId="4CBA02FF" w14:textId="77777777" w:rsidR="00DA4EFA" w:rsidRDefault="00DA4EFA" w:rsidP="00C20FE0">
      <w:pPr>
        <w:pStyle w:val="Heading2"/>
        <w:rPr>
          <w:lang w:val="en-GB"/>
        </w:rPr>
      </w:pPr>
      <w:r>
        <w:rPr>
          <w:lang w:val="en-GB"/>
        </w:rPr>
        <w:lastRenderedPageBreak/>
        <w:t>Financial Report Semantics and Dynamics Theory perspective</w:t>
      </w:r>
    </w:p>
    <w:p w14:paraId="1711C5D5" w14:textId="77777777" w:rsidR="00DA4EFA" w:rsidRDefault="00DA4EFA" w:rsidP="00C20FE0">
      <w:pPr>
        <w:pStyle w:val="BodyText"/>
        <w:rPr>
          <w:lang w:val="en-GB"/>
        </w:rPr>
      </w:pPr>
      <w:r>
        <w:rPr>
          <w:lang w:val="en-GB"/>
        </w:rPr>
        <w:t>This section reconciles the terminology of the Financial Report Semantics and Dynamics Theory terminology to the US GAAP XBRL Taxonomy, SEC model term, and XBRL technical syntax terminology.</w:t>
      </w:r>
    </w:p>
    <w:p w14:paraId="1FDF4403" w14:textId="77777777" w:rsidR="00DA4EFA" w:rsidRDefault="00DA4EFA" w:rsidP="00200171"/>
    <w:tbl>
      <w:tblPr>
        <w:tblW w:w="87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14"/>
        <w:gridCol w:w="2006"/>
        <w:gridCol w:w="2430"/>
        <w:gridCol w:w="1980"/>
      </w:tblGrid>
      <w:tr w:rsidR="00DA4EFA" w:rsidRPr="00201438" w14:paraId="15764458" w14:textId="77777777" w:rsidTr="00565BAE">
        <w:trPr>
          <w:cantSplit/>
          <w:tblHeader/>
        </w:trPr>
        <w:tc>
          <w:tcPr>
            <w:tcW w:w="2314" w:type="dxa"/>
            <w:shd w:val="pct20" w:color="auto" w:fill="auto"/>
          </w:tcPr>
          <w:p w14:paraId="5340F371" w14:textId="77777777" w:rsidR="00DA4EFA" w:rsidRPr="00201438" w:rsidRDefault="00DA4EFA" w:rsidP="00D60837">
            <w:pPr>
              <w:pStyle w:val="BodyText"/>
              <w:spacing w:before="0" w:after="0"/>
              <w:jc w:val="left"/>
              <w:rPr>
                <w:b/>
                <w:sz w:val="14"/>
                <w:szCs w:val="16"/>
                <w:lang w:val="en-GB"/>
              </w:rPr>
            </w:pPr>
            <w:r>
              <w:rPr>
                <w:b/>
                <w:sz w:val="14"/>
                <w:szCs w:val="16"/>
                <w:lang w:val="en-GB"/>
              </w:rPr>
              <w:t>Financial Report Semantics and Dynamics Theory Term</w:t>
            </w:r>
          </w:p>
        </w:tc>
        <w:tc>
          <w:tcPr>
            <w:tcW w:w="2006" w:type="dxa"/>
            <w:tcBorders>
              <w:bottom w:val="single" w:sz="4" w:space="0" w:color="auto"/>
            </w:tcBorders>
            <w:shd w:val="pct15" w:color="auto" w:fill="F79646" w:themeFill="accent6"/>
          </w:tcPr>
          <w:p w14:paraId="7DC81368" w14:textId="77777777" w:rsidR="00DA4EFA" w:rsidRPr="00A71EA8" w:rsidRDefault="00DA4EFA" w:rsidP="00D60837">
            <w:pPr>
              <w:pStyle w:val="BodyText"/>
              <w:spacing w:before="0" w:after="0"/>
              <w:jc w:val="center"/>
              <w:rPr>
                <w:b/>
                <w:i/>
                <w:sz w:val="14"/>
                <w:szCs w:val="16"/>
                <w:lang w:val="en-GB"/>
              </w:rPr>
            </w:pPr>
          </w:p>
          <w:p w14:paraId="7F9D896B" w14:textId="77777777" w:rsidR="00DA4EFA" w:rsidRPr="00A71EA8" w:rsidRDefault="00DA4EFA" w:rsidP="00D60837">
            <w:pPr>
              <w:pStyle w:val="BodyText"/>
              <w:spacing w:before="0" w:after="0"/>
              <w:jc w:val="center"/>
              <w:rPr>
                <w:b/>
                <w:i/>
                <w:sz w:val="14"/>
                <w:szCs w:val="16"/>
                <w:lang w:val="en-GB"/>
              </w:rPr>
            </w:pPr>
            <w:r w:rsidRPr="00A71EA8">
              <w:rPr>
                <w:b/>
                <w:i/>
                <w:sz w:val="14"/>
                <w:szCs w:val="16"/>
                <w:lang w:val="en-GB"/>
              </w:rPr>
              <w:t>Example</w:t>
            </w:r>
          </w:p>
        </w:tc>
        <w:tc>
          <w:tcPr>
            <w:tcW w:w="2430" w:type="dxa"/>
            <w:shd w:val="pct20" w:color="auto" w:fill="auto"/>
          </w:tcPr>
          <w:p w14:paraId="59ADCBD3" w14:textId="77777777" w:rsidR="00DA4EFA" w:rsidRDefault="00DA4EFA" w:rsidP="00D60837">
            <w:pPr>
              <w:pStyle w:val="BodyText"/>
              <w:spacing w:before="0" w:after="0"/>
              <w:jc w:val="center"/>
              <w:rPr>
                <w:b/>
                <w:sz w:val="14"/>
                <w:szCs w:val="16"/>
                <w:lang w:val="en-GB"/>
              </w:rPr>
            </w:pPr>
          </w:p>
          <w:p w14:paraId="7B714487" w14:textId="77777777" w:rsidR="00DA4EFA" w:rsidRDefault="00DA4EFA" w:rsidP="00D60837">
            <w:pPr>
              <w:pStyle w:val="BodyText"/>
              <w:spacing w:before="0" w:after="0"/>
              <w:jc w:val="center"/>
              <w:rPr>
                <w:b/>
                <w:sz w:val="14"/>
                <w:szCs w:val="16"/>
                <w:lang w:val="en-GB"/>
              </w:rPr>
            </w:pPr>
            <w:r>
              <w:rPr>
                <w:b/>
                <w:sz w:val="14"/>
                <w:szCs w:val="16"/>
                <w:lang w:val="en-GB"/>
              </w:rPr>
              <w:t>US GAAP/SEC Model Term</w:t>
            </w:r>
          </w:p>
        </w:tc>
        <w:tc>
          <w:tcPr>
            <w:tcW w:w="1980" w:type="dxa"/>
            <w:shd w:val="pct20" w:color="auto" w:fill="auto"/>
          </w:tcPr>
          <w:p w14:paraId="435ED7F1" w14:textId="77777777" w:rsidR="00DA4EFA" w:rsidRDefault="00DA4EFA" w:rsidP="00D60837">
            <w:pPr>
              <w:pStyle w:val="BodyText"/>
              <w:spacing w:before="0" w:after="0"/>
              <w:jc w:val="center"/>
              <w:rPr>
                <w:b/>
                <w:sz w:val="14"/>
                <w:szCs w:val="16"/>
                <w:lang w:val="en-GB"/>
              </w:rPr>
            </w:pPr>
          </w:p>
          <w:p w14:paraId="288F1DC8" w14:textId="77777777" w:rsidR="00DA4EFA" w:rsidRPr="00201438" w:rsidRDefault="00DA4EFA" w:rsidP="00D60837">
            <w:pPr>
              <w:pStyle w:val="BodyText"/>
              <w:spacing w:before="0" w:after="0"/>
              <w:jc w:val="center"/>
              <w:rPr>
                <w:b/>
                <w:sz w:val="14"/>
                <w:szCs w:val="16"/>
                <w:lang w:val="en-GB"/>
              </w:rPr>
            </w:pPr>
            <w:r>
              <w:rPr>
                <w:b/>
                <w:sz w:val="14"/>
                <w:szCs w:val="16"/>
                <w:lang w:val="en-GB"/>
              </w:rPr>
              <w:t>XBRL Technical Syntax Term</w:t>
            </w:r>
          </w:p>
        </w:tc>
      </w:tr>
      <w:tr w:rsidR="00DA4EFA" w:rsidRPr="00201438" w14:paraId="33032B7D" w14:textId="77777777" w:rsidTr="00565BAE">
        <w:trPr>
          <w:cantSplit/>
        </w:trPr>
        <w:tc>
          <w:tcPr>
            <w:tcW w:w="2314" w:type="dxa"/>
          </w:tcPr>
          <w:p w14:paraId="7528B0C4" w14:textId="77777777" w:rsidR="00DA4EFA" w:rsidRDefault="00DA4EFA" w:rsidP="00D60837">
            <w:pPr>
              <w:pStyle w:val="BodyText"/>
              <w:spacing w:before="0" w:after="0"/>
              <w:jc w:val="left"/>
              <w:rPr>
                <w:sz w:val="14"/>
                <w:szCs w:val="16"/>
                <w:lang w:val="en-GB"/>
              </w:rPr>
            </w:pPr>
            <w:r w:rsidRPr="00205DB8">
              <w:rPr>
                <w:b/>
                <w:sz w:val="14"/>
                <w:szCs w:val="16"/>
                <w:lang w:val="en-GB"/>
              </w:rPr>
              <w:t>Financial report</w:t>
            </w:r>
            <w:r>
              <w:rPr>
                <w:sz w:val="14"/>
                <w:szCs w:val="16"/>
                <w:lang w:val="en-GB"/>
              </w:rPr>
              <w:t xml:space="preserve"> – A financial statement plus supplementary financial information. Financial report can be broken down into components.</w:t>
            </w:r>
          </w:p>
        </w:tc>
        <w:tc>
          <w:tcPr>
            <w:tcW w:w="2006" w:type="dxa"/>
            <w:shd w:val="clear" w:color="auto" w:fill="FBD4B4" w:themeFill="accent6" w:themeFillTint="66"/>
          </w:tcPr>
          <w:p w14:paraId="35125660" w14:textId="77777777" w:rsidR="00DA4EFA" w:rsidRPr="00A71EA8" w:rsidRDefault="00DA4EFA" w:rsidP="00D60837">
            <w:pPr>
              <w:pStyle w:val="BodyText"/>
              <w:spacing w:before="0" w:after="0"/>
              <w:jc w:val="left"/>
              <w:rPr>
                <w:i/>
                <w:sz w:val="14"/>
                <w:szCs w:val="16"/>
                <w:lang w:val="en-GB"/>
              </w:rPr>
            </w:pPr>
            <w:r w:rsidRPr="00A71EA8">
              <w:rPr>
                <w:i/>
                <w:sz w:val="14"/>
                <w:szCs w:val="16"/>
                <w:lang w:val="en-GB"/>
              </w:rPr>
              <w:t>Financial statement portion of a 10-Q or 10-K; financial statement issued by a private entity</w:t>
            </w:r>
          </w:p>
        </w:tc>
        <w:tc>
          <w:tcPr>
            <w:tcW w:w="2430" w:type="dxa"/>
          </w:tcPr>
          <w:p w14:paraId="1B886E6E" w14:textId="77777777" w:rsidR="00DA4EFA" w:rsidRPr="00E56D78" w:rsidRDefault="00DA4EFA" w:rsidP="00D60837">
            <w:pPr>
              <w:pStyle w:val="BodyText"/>
              <w:spacing w:before="0" w:after="0"/>
              <w:jc w:val="left"/>
              <w:rPr>
                <w:sz w:val="14"/>
                <w:szCs w:val="16"/>
                <w:lang w:val="en-GB"/>
              </w:rPr>
            </w:pPr>
            <w:r>
              <w:rPr>
                <w:sz w:val="14"/>
                <w:szCs w:val="16"/>
                <w:lang w:val="en-GB"/>
              </w:rPr>
              <w:t>SEC XBRL financial filing; instance document; XBRL instance</w:t>
            </w:r>
          </w:p>
        </w:tc>
        <w:tc>
          <w:tcPr>
            <w:tcW w:w="1980" w:type="dxa"/>
          </w:tcPr>
          <w:p w14:paraId="5C01255C" w14:textId="77777777" w:rsidR="00DA4EFA" w:rsidRPr="00266575" w:rsidRDefault="00DA4EFA" w:rsidP="00D60837">
            <w:pPr>
              <w:pStyle w:val="BodyText"/>
              <w:spacing w:before="0" w:after="0"/>
              <w:jc w:val="left"/>
              <w:rPr>
                <w:sz w:val="14"/>
                <w:szCs w:val="16"/>
                <w:lang w:val="en-GB"/>
              </w:rPr>
            </w:pPr>
            <w:r>
              <w:rPr>
                <w:sz w:val="14"/>
                <w:szCs w:val="16"/>
                <w:lang w:val="en-GB"/>
              </w:rPr>
              <w:t>XBRL instance + XBRL taxonomy</w:t>
            </w:r>
          </w:p>
        </w:tc>
      </w:tr>
      <w:tr w:rsidR="00DA4EFA" w:rsidRPr="00201438" w14:paraId="4E75F007" w14:textId="77777777" w:rsidTr="00565BAE">
        <w:trPr>
          <w:cantSplit/>
        </w:trPr>
        <w:tc>
          <w:tcPr>
            <w:tcW w:w="2314" w:type="dxa"/>
          </w:tcPr>
          <w:p w14:paraId="1BA837EC" w14:textId="77777777" w:rsidR="00DA4EFA" w:rsidRDefault="00DA4EFA" w:rsidP="00D60837">
            <w:pPr>
              <w:pStyle w:val="BodyText"/>
              <w:spacing w:before="0" w:after="0"/>
              <w:jc w:val="left"/>
              <w:rPr>
                <w:sz w:val="14"/>
                <w:szCs w:val="16"/>
                <w:lang w:val="en-GB"/>
              </w:rPr>
            </w:pPr>
            <w:r w:rsidRPr="00560862">
              <w:rPr>
                <w:b/>
                <w:sz w:val="14"/>
                <w:szCs w:val="16"/>
                <w:lang w:val="en-GB"/>
              </w:rPr>
              <w:t>Financial report rudiments</w:t>
            </w:r>
            <w:r>
              <w:rPr>
                <w:sz w:val="14"/>
                <w:szCs w:val="16"/>
                <w:lang w:val="en-GB"/>
              </w:rPr>
              <w:t xml:space="preserve"> – One of the primitive building blocks of a financial report: financial report, component, characteristic, fact, relations</w:t>
            </w:r>
          </w:p>
        </w:tc>
        <w:tc>
          <w:tcPr>
            <w:tcW w:w="2006" w:type="dxa"/>
            <w:shd w:val="clear" w:color="auto" w:fill="FBD4B4" w:themeFill="accent6" w:themeFillTint="66"/>
          </w:tcPr>
          <w:p w14:paraId="1F762696" w14:textId="77777777" w:rsidR="00DA4EFA" w:rsidRDefault="00DA4EFA" w:rsidP="00D60837">
            <w:pPr>
              <w:pStyle w:val="BodyText"/>
              <w:spacing w:before="0" w:after="0"/>
              <w:jc w:val="left"/>
              <w:rPr>
                <w:i/>
                <w:sz w:val="14"/>
                <w:szCs w:val="16"/>
                <w:lang w:val="en-GB"/>
              </w:rPr>
            </w:pPr>
            <w:r>
              <w:rPr>
                <w:i/>
                <w:sz w:val="14"/>
                <w:szCs w:val="16"/>
                <w:lang w:val="en-GB"/>
              </w:rPr>
              <w:t>See the examples from each rudimentary or primitive piece above</w:t>
            </w:r>
          </w:p>
        </w:tc>
        <w:tc>
          <w:tcPr>
            <w:tcW w:w="2430" w:type="dxa"/>
          </w:tcPr>
          <w:p w14:paraId="12B317C5" w14:textId="77777777" w:rsidR="00DA4EFA" w:rsidRDefault="00DA4EFA" w:rsidP="00D60837">
            <w:pPr>
              <w:pStyle w:val="BodyText"/>
              <w:spacing w:before="0" w:after="0"/>
              <w:jc w:val="left"/>
              <w:rPr>
                <w:sz w:val="14"/>
                <w:szCs w:val="16"/>
                <w:lang w:val="en-GB"/>
              </w:rPr>
            </w:pPr>
            <w:r>
              <w:rPr>
                <w:sz w:val="14"/>
                <w:szCs w:val="16"/>
                <w:lang w:val="en-GB"/>
              </w:rPr>
              <w:t>Report element</w:t>
            </w:r>
          </w:p>
        </w:tc>
        <w:tc>
          <w:tcPr>
            <w:tcW w:w="1980" w:type="dxa"/>
          </w:tcPr>
          <w:p w14:paraId="7BA39AC8" w14:textId="77777777" w:rsidR="00DA4EFA" w:rsidRPr="00560862" w:rsidRDefault="00DA4EFA" w:rsidP="00D60837">
            <w:pPr>
              <w:pStyle w:val="BodyText"/>
              <w:spacing w:before="0" w:after="0"/>
              <w:jc w:val="left"/>
              <w:rPr>
                <w:sz w:val="14"/>
                <w:szCs w:val="16"/>
                <w:lang w:val="en-GB"/>
              </w:rPr>
            </w:pPr>
            <w:r>
              <w:rPr>
                <w:sz w:val="14"/>
                <w:szCs w:val="16"/>
                <w:lang w:val="en-GB"/>
              </w:rPr>
              <w:t xml:space="preserve">Uses various technical syntax terms from XML, XML Schema, </w:t>
            </w:r>
            <w:proofErr w:type="spellStart"/>
            <w:r>
              <w:rPr>
                <w:sz w:val="14"/>
                <w:szCs w:val="16"/>
                <w:lang w:val="en-GB"/>
              </w:rPr>
              <w:t>XLink</w:t>
            </w:r>
            <w:proofErr w:type="spellEnd"/>
            <w:r>
              <w:rPr>
                <w:sz w:val="14"/>
                <w:szCs w:val="16"/>
                <w:lang w:val="en-GB"/>
              </w:rPr>
              <w:t>, XBRL, XBRL Dimensions, XBRL Formula</w:t>
            </w:r>
          </w:p>
        </w:tc>
      </w:tr>
      <w:tr w:rsidR="00DA4EFA" w:rsidRPr="00201438" w14:paraId="1A17FB39" w14:textId="77777777" w:rsidTr="00565BAE">
        <w:trPr>
          <w:cantSplit/>
        </w:trPr>
        <w:tc>
          <w:tcPr>
            <w:tcW w:w="2314" w:type="dxa"/>
          </w:tcPr>
          <w:p w14:paraId="1D8622AC" w14:textId="77777777" w:rsidR="00DA4EFA" w:rsidRDefault="00DA4EFA" w:rsidP="00D60837">
            <w:pPr>
              <w:pStyle w:val="BodyText"/>
              <w:spacing w:before="0" w:after="0"/>
              <w:jc w:val="left"/>
              <w:rPr>
                <w:sz w:val="14"/>
                <w:szCs w:val="16"/>
                <w:lang w:val="en-GB"/>
              </w:rPr>
            </w:pPr>
            <w:r w:rsidRPr="00205DB8">
              <w:rPr>
                <w:b/>
                <w:sz w:val="14"/>
                <w:szCs w:val="16"/>
                <w:lang w:val="en-GB"/>
              </w:rPr>
              <w:t>Component</w:t>
            </w:r>
            <w:r>
              <w:rPr>
                <w:sz w:val="14"/>
                <w:szCs w:val="16"/>
                <w:lang w:val="en-GB"/>
              </w:rPr>
              <w:t xml:space="preserve"> – A portion of a financial report.  Made up of facts and characteristics.</w:t>
            </w:r>
          </w:p>
        </w:tc>
        <w:tc>
          <w:tcPr>
            <w:tcW w:w="2006" w:type="dxa"/>
            <w:shd w:val="clear" w:color="auto" w:fill="FBD4B4" w:themeFill="accent6" w:themeFillTint="66"/>
          </w:tcPr>
          <w:p w14:paraId="3DECEA10" w14:textId="77777777" w:rsidR="00DA4EFA" w:rsidRPr="00A71EA8" w:rsidRDefault="00DA4EFA" w:rsidP="00D60837">
            <w:pPr>
              <w:pStyle w:val="BodyText"/>
              <w:spacing w:before="0" w:after="0"/>
              <w:jc w:val="left"/>
              <w:rPr>
                <w:i/>
                <w:sz w:val="14"/>
                <w:szCs w:val="16"/>
                <w:lang w:val="en-GB"/>
              </w:rPr>
            </w:pPr>
            <w:r w:rsidRPr="00A71EA8">
              <w:rPr>
                <w:i/>
                <w:sz w:val="14"/>
                <w:szCs w:val="16"/>
                <w:lang w:val="en-GB"/>
              </w:rPr>
              <w:t>Balance sheet, significant accounting policies, maturities of long-term debt</w:t>
            </w:r>
          </w:p>
        </w:tc>
        <w:tc>
          <w:tcPr>
            <w:tcW w:w="2430" w:type="dxa"/>
          </w:tcPr>
          <w:p w14:paraId="44DC4FE3" w14:textId="77777777" w:rsidR="00DA4EFA" w:rsidRDefault="00DA4EFA" w:rsidP="00D60837">
            <w:pPr>
              <w:pStyle w:val="BodyText"/>
              <w:spacing w:before="0" w:after="0"/>
              <w:jc w:val="left"/>
              <w:rPr>
                <w:sz w:val="14"/>
                <w:szCs w:val="16"/>
                <w:lang w:val="en-GB"/>
              </w:rPr>
            </w:pPr>
            <w:r>
              <w:rPr>
                <w:sz w:val="14"/>
                <w:szCs w:val="16"/>
                <w:lang w:val="en-GB"/>
              </w:rPr>
              <w:t>Network + [Table]; Fact Table</w:t>
            </w:r>
          </w:p>
        </w:tc>
        <w:tc>
          <w:tcPr>
            <w:tcW w:w="1980" w:type="dxa"/>
          </w:tcPr>
          <w:p w14:paraId="52F19CC4" w14:textId="77777777" w:rsidR="00DA4EFA" w:rsidRDefault="00DA4EFA" w:rsidP="00D60837">
            <w:pPr>
              <w:pStyle w:val="BodyText"/>
              <w:spacing w:before="0" w:after="0"/>
              <w:jc w:val="left"/>
              <w:rPr>
                <w:sz w:val="14"/>
                <w:szCs w:val="16"/>
                <w:lang w:val="en-GB"/>
              </w:rPr>
            </w:pPr>
            <w:r>
              <w:rPr>
                <w:sz w:val="14"/>
                <w:szCs w:val="16"/>
                <w:lang w:val="en-GB"/>
              </w:rPr>
              <w:t>Network + Hypercube</w:t>
            </w:r>
          </w:p>
        </w:tc>
      </w:tr>
      <w:tr w:rsidR="00DA4EFA" w:rsidRPr="00201438" w14:paraId="4066707F" w14:textId="77777777" w:rsidTr="00565BAE">
        <w:trPr>
          <w:cantSplit/>
        </w:trPr>
        <w:tc>
          <w:tcPr>
            <w:tcW w:w="2314" w:type="dxa"/>
          </w:tcPr>
          <w:p w14:paraId="250D8264" w14:textId="77777777" w:rsidR="00DA4EFA" w:rsidRPr="004F644B" w:rsidRDefault="00DA4EFA" w:rsidP="00D60837">
            <w:pPr>
              <w:pStyle w:val="BodyText"/>
              <w:spacing w:before="0" w:after="0"/>
              <w:jc w:val="left"/>
              <w:rPr>
                <w:sz w:val="14"/>
                <w:szCs w:val="16"/>
                <w:lang w:val="en-GB"/>
              </w:rPr>
            </w:pPr>
            <w:r w:rsidRPr="003F03E3">
              <w:rPr>
                <w:b/>
                <w:sz w:val="14"/>
                <w:szCs w:val="16"/>
                <w:lang w:val="en-GB"/>
              </w:rPr>
              <w:t>Characteristic</w:t>
            </w:r>
            <w:r>
              <w:rPr>
                <w:sz w:val="14"/>
                <w:szCs w:val="16"/>
                <w:lang w:val="en-GB"/>
              </w:rPr>
              <w:t xml:space="preserve"> – Describes a fact.  Made up of a characteristic and the value of that characteristic.</w:t>
            </w:r>
          </w:p>
        </w:tc>
        <w:tc>
          <w:tcPr>
            <w:tcW w:w="2006" w:type="dxa"/>
            <w:shd w:val="clear" w:color="auto" w:fill="FBD4B4" w:themeFill="accent6" w:themeFillTint="66"/>
          </w:tcPr>
          <w:p w14:paraId="124FF126" w14:textId="77777777" w:rsidR="00DA4EFA" w:rsidRPr="00A71EA8" w:rsidRDefault="00DA4EFA" w:rsidP="00D60837">
            <w:pPr>
              <w:pStyle w:val="BodyText"/>
              <w:spacing w:before="0" w:after="0"/>
              <w:jc w:val="left"/>
              <w:rPr>
                <w:i/>
                <w:sz w:val="14"/>
                <w:szCs w:val="16"/>
                <w:lang w:val="en-GB"/>
              </w:rPr>
            </w:pPr>
            <w:r w:rsidRPr="00A71EA8">
              <w:rPr>
                <w:i/>
                <w:sz w:val="14"/>
                <w:szCs w:val="16"/>
                <w:lang w:val="en-GB"/>
              </w:rPr>
              <w:t>Legal entity of “consolidated entity”; Period of “2011-21-31”</w:t>
            </w:r>
          </w:p>
        </w:tc>
        <w:tc>
          <w:tcPr>
            <w:tcW w:w="2430" w:type="dxa"/>
          </w:tcPr>
          <w:p w14:paraId="1FE308D6" w14:textId="77777777" w:rsidR="00DA4EFA" w:rsidRPr="00E56D78" w:rsidRDefault="00DA4EFA" w:rsidP="00D60837">
            <w:pPr>
              <w:pStyle w:val="BodyText"/>
              <w:spacing w:before="0" w:after="0"/>
              <w:jc w:val="left"/>
              <w:rPr>
                <w:sz w:val="14"/>
                <w:szCs w:val="16"/>
                <w:lang w:val="en-GB"/>
              </w:rPr>
            </w:pPr>
            <w:r>
              <w:rPr>
                <w:sz w:val="14"/>
                <w:szCs w:val="16"/>
                <w:lang w:val="en-GB"/>
              </w:rPr>
              <w:t>[Axis] + [Member] or [Line Items] (the concept is just another characteristic)</w:t>
            </w:r>
          </w:p>
        </w:tc>
        <w:tc>
          <w:tcPr>
            <w:tcW w:w="1980" w:type="dxa"/>
          </w:tcPr>
          <w:p w14:paraId="63D6BEE6" w14:textId="77777777" w:rsidR="00DA4EFA" w:rsidRPr="00266575" w:rsidRDefault="00DA4EFA" w:rsidP="00D60837">
            <w:pPr>
              <w:pStyle w:val="BodyText"/>
              <w:spacing w:before="0" w:after="0"/>
              <w:jc w:val="left"/>
              <w:rPr>
                <w:sz w:val="14"/>
                <w:szCs w:val="16"/>
                <w:lang w:val="en-GB"/>
              </w:rPr>
            </w:pPr>
            <w:r>
              <w:rPr>
                <w:sz w:val="14"/>
                <w:szCs w:val="16"/>
                <w:lang w:val="en-GB"/>
              </w:rPr>
              <w:t xml:space="preserve">Dimension + Member; Primary Items (defined as XML schema element with the </w:t>
            </w:r>
            <w:proofErr w:type="spellStart"/>
            <w:r>
              <w:rPr>
                <w:sz w:val="14"/>
                <w:szCs w:val="16"/>
                <w:lang w:val="en-GB"/>
              </w:rPr>
              <w:t>substitutionGroup</w:t>
            </w:r>
            <w:proofErr w:type="spellEnd"/>
            <w:r>
              <w:rPr>
                <w:sz w:val="14"/>
                <w:szCs w:val="16"/>
                <w:lang w:val="en-GB"/>
              </w:rPr>
              <w:t xml:space="preserve"> value of “</w:t>
            </w:r>
            <w:proofErr w:type="spellStart"/>
            <w:r>
              <w:rPr>
                <w:sz w:val="14"/>
                <w:szCs w:val="16"/>
                <w:lang w:val="en-GB"/>
              </w:rPr>
              <w:t>xbrli:item</w:t>
            </w:r>
            <w:proofErr w:type="spellEnd"/>
            <w:r>
              <w:rPr>
                <w:sz w:val="14"/>
                <w:szCs w:val="16"/>
                <w:lang w:val="en-GB"/>
              </w:rPr>
              <w:t>”, a specific type, a specific period, and a specific balance; must NOT be abstract)</w:t>
            </w:r>
          </w:p>
        </w:tc>
      </w:tr>
      <w:tr w:rsidR="00DA4EFA" w:rsidRPr="00201438" w14:paraId="7EBA7EBD" w14:textId="77777777" w:rsidTr="00565BAE">
        <w:trPr>
          <w:cantSplit/>
        </w:trPr>
        <w:tc>
          <w:tcPr>
            <w:tcW w:w="2314" w:type="dxa"/>
          </w:tcPr>
          <w:p w14:paraId="34F6840A" w14:textId="77777777" w:rsidR="00DA4EFA" w:rsidRDefault="00DA4EFA" w:rsidP="00D60837">
            <w:pPr>
              <w:pStyle w:val="BodyText"/>
              <w:spacing w:before="0" w:after="0"/>
              <w:jc w:val="left"/>
              <w:rPr>
                <w:sz w:val="14"/>
                <w:szCs w:val="16"/>
                <w:lang w:val="en-GB"/>
              </w:rPr>
            </w:pPr>
            <w:r w:rsidRPr="003F03E3">
              <w:rPr>
                <w:b/>
                <w:sz w:val="14"/>
                <w:szCs w:val="16"/>
                <w:lang w:val="en-GB"/>
              </w:rPr>
              <w:t>Relations</w:t>
            </w:r>
            <w:r>
              <w:rPr>
                <w:sz w:val="14"/>
                <w:szCs w:val="16"/>
                <w:lang w:val="en-GB"/>
              </w:rPr>
              <w:t xml:space="preserve"> – The relation from one concept to another concept.</w:t>
            </w:r>
          </w:p>
        </w:tc>
        <w:tc>
          <w:tcPr>
            <w:tcW w:w="2006" w:type="dxa"/>
            <w:shd w:val="clear" w:color="auto" w:fill="FBD4B4" w:themeFill="accent6" w:themeFillTint="66"/>
          </w:tcPr>
          <w:p w14:paraId="70344D8B" w14:textId="77777777" w:rsidR="00DA4EFA" w:rsidRPr="00A71EA8" w:rsidRDefault="00DA4EFA" w:rsidP="00D60837">
            <w:pPr>
              <w:pStyle w:val="BodyText"/>
              <w:spacing w:before="0" w:after="0"/>
              <w:jc w:val="left"/>
              <w:rPr>
                <w:i/>
                <w:sz w:val="14"/>
                <w:szCs w:val="16"/>
                <w:lang w:val="en-GB"/>
              </w:rPr>
            </w:pPr>
            <w:r w:rsidRPr="00A71EA8">
              <w:rPr>
                <w:i/>
                <w:sz w:val="14"/>
                <w:szCs w:val="16"/>
                <w:lang w:val="en-GB"/>
              </w:rPr>
              <w:t>Assets = Liabilities + Equity;</w:t>
            </w:r>
          </w:p>
          <w:p w14:paraId="218FCC80" w14:textId="77777777" w:rsidR="00DA4EFA" w:rsidRPr="00A71EA8" w:rsidRDefault="00DA4EFA" w:rsidP="00D60837">
            <w:pPr>
              <w:pStyle w:val="BodyText"/>
              <w:spacing w:before="0" w:after="0"/>
              <w:jc w:val="left"/>
              <w:rPr>
                <w:i/>
                <w:sz w:val="14"/>
                <w:szCs w:val="16"/>
                <w:lang w:val="en-GB"/>
              </w:rPr>
            </w:pPr>
            <w:r w:rsidRPr="00A71EA8">
              <w:rPr>
                <w:i/>
                <w:sz w:val="14"/>
                <w:szCs w:val="16"/>
                <w:lang w:val="en-GB"/>
              </w:rPr>
              <w:t>Beginning cash + net cash flows = ending cash</w:t>
            </w:r>
          </w:p>
        </w:tc>
        <w:tc>
          <w:tcPr>
            <w:tcW w:w="2430" w:type="dxa"/>
          </w:tcPr>
          <w:p w14:paraId="24A51FD8" w14:textId="77777777" w:rsidR="00DA4EFA" w:rsidRPr="008F579C" w:rsidRDefault="00DA4EFA" w:rsidP="00D60837">
            <w:pPr>
              <w:pStyle w:val="BodyText"/>
              <w:spacing w:before="0" w:after="0"/>
              <w:jc w:val="left"/>
              <w:rPr>
                <w:sz w:val="14"/>
                <w:szCs w:val="16"/>
                <w:lang w:val="en-GB"/>
              </w:rPr>
            </w:pPr>
            <w:r>
              <w:rPr>
                <w:sz w:val="14"/>
                <w:szCs w:val="16"/>
                <w:lang w:val="en-GB"/>
              </w:rPr>
              <w:t>Business rules, Domain partition aggregation model, Information model</w:t>
            </w:r>
          </w:p>
        </w:tc>
        <w:tc>
          <w:tcPr>
            <w:tcW w:w="1980" w:type="dxa"/>
          </w:tcPr>
          <w:p w14:paraId="6DC37709" w14:textId="77777777" w:rsidR="00DA4EFA" w:rsidRDefault="00DA4EFA" w:rsidP="00D60837">
            <w:pPr>
              <w:pStyle w:val="BodyText"/>
              <w:spacing w:before="0" w:after="0"/>
              <w:jc w:val="left"/>
              <w:rPr>
                <w:sz w:val="14"/>
                <w:szCs w:val="16"/>
                <w:lang w:val="en-GB"/>
              </w:rPr>
            </w:pPr>
            <w:r>
              <w:rPr>
                <w:sz w:val="14"/>
                <w:szCs w:val="16"/>
                <w:lang w:val="en-GB"/>
              </w:rPr>
              <w:t>Presentation relations, calculation relations, definition relations, XBRL Formula</w:t>
            </w:r>
          </w:p>
        </w:tc>
      </w:tr>
      <w:tr w:rsidR="00DA4EFA" w:rsidRPr="00201438" w14:paraId="5E73A1BA" w14:textId="77777777" w:rsidTr="00565BAE">
        <w:trPr>
          <w:cantSplit/>
        </w:trPr>
        <w:tc>
          <w:tcPr>
            <w:tcW w:w="2314" w:type="dxa"/>
          </w:tcPr>
          <w:p w14:paraId="539D1D35" w14:textId="77777777" w:rsidR="00DA4EFA" w:rsidRDefault="00DA4EFA" w:rsidP="00D60837">
            <w:pPr>
              <w:pStyle w:val="BodyText"/>
              <w:spacing w:before="0" w:after="0"/>
              <w:jc w:val="left"/>
              <w:rPr>
                <w:sz w:val="14"/>
                <w:szCs w:val="16"/>
                <w:lang w:val="en-GB"/>
              </w:rPr>
            </w:pPr>
            <w:r w:rsidRPr="003F03E3">
              <w:rPr>
                <w:b/>
                <w:sz w:val="14"/>
                <w:szCs w:val="16"/>
                <w:lang w:val="en-GB"/>
              </w:rPr>
              <w:t>Fact</w:t>
            </w:r>
            <w:r>
              <w:rPr>
                <w:sz w:val="14"/>
                <w:szCs w:val="16"/>
                <w:lang w:val="en-GB"/>
              </w:rPr>
              <w:t xml:space="preserve"> – Intersection of characteristics, a value, traits of the value if numeric, and parenthetical information</w:t>
            </w:r>
          </w:p>
        </w:tc>
        <w:tc>
          <w:tcPr>
            <w:tcW w:w="2006" w:type="dxa"/>
            <w:shd w:val="clear" w:color="auto" w:fill="FBD4B4" w:themeFill="accent6" w:themeFillTint="66"/>
          </w:tcPr>
          <w:p w14:paraId="4D766088" w14:textId="77777777" w:rsidR="00DA4EFA" w:rsidRPr="00A71EA8" w:rsidRDefault="00DA4EFA" w:rsidP="00D60837">
            <w:pPr>
              <w:pStyle w:val="BodyText"/>
              <w:spacing w:before="0" w:after="0"/>
              <w:jc w:val="left"/>
              <w:rPr>
                <w:i/>
                <w:sz w:val="14"/>
                <w:szCs w:val="16"/>
                <w:lang w:val="en-GB"/>
              </w:rPr>
            </w:pPr>
            <w:r w:rsidRPr="00A71EA8">
              <w:rPr>
                <w:i/>
                <w:sz w:val="14"/>
                <w:szCs w:val="16"/>
                <w:lang w:val="en-GB"/>
              </w:rPr>
              <w:t>Value of 1000 for the concept “Cash and cash equivalents” for the legal entity “consolidated entity” for the period ended “December 31, 2010” expressed in US Dollars rounded to millions</w:t>
            </w:r>
          </w:p>
        </w:tc>
        <w:tc>
          <w:tcPr>
            <w:tcW w:w="2430" w:type="dxa"/>
          </w:tcPr>
          <w:p w14:paraId="516218EC" w14:textId="77777777" w:rsidR="00DA4EFA" w:rsidRPr="00E56D78" w:rsidRDefault="00DA4EFA" w:rsidP="00D60837">
            <w:pPr>
              <w:pStyle w:val="BodyText"/>
              <w:spacing w:before="0" w:after="0"/>
              <w:jc w:val="left"/>
              <w:rPr>
                <w:sz w:val="14"/>
                <w:szCs w:val="16"/>
                <w:lang w:val="en-GB"/>
              </w:rPr>
            </w:pPr>
            <w:r>
              <w:rPr>
                <w:sz w:val="14"/>
                <w:szCs w:val="16"/>
                <w:lang w:val="en-GB"/>
              </w:rPr>
              <w:t>Fact</w:t>
            </w:r>
          </w:p>
        </w:tc>
        <w:tc>
          <w:tcPr>
            <w:tcW w:w="1980" w:type="dxa"/>
          </w:tcPr>
          <w:p w14:paraId="3B62F591" w14:textId="77777777" w:rsidR="00DA4EFA" w:rsidRPr="00266575" w:rsidRDefault="00DA4EFA" w:rsidP="00D60837">
            <w:pPr>
              <w:pStyle w:val="BodyText"/>
              <w:spacing w:before="0" w:after="0"/>
              <w:jc w:val="left"/>
              <w:rPr>
                <w:sz w:val="14"/>
                <w:szCs w:val="16"/>
                <w:lang w:val="en-GB"/>
              </w:rPr>
            </w:pPr>
            <w:r>
              <w:rPr>
                <w:sz w:val="14"/>
                <w:szCs w:val="16"/>
                <w:lang w:val="en-GB"/>
              </w:rPr>
              <w:t>Simple fact (compound facts are not allowed by US GAAP Taxonomy Architecture)</w:t>
            </w:r>
          </w:p>
        </w:tc>
      </w:tr>
      <w:tr w:rsidR="00DA4EFA" w:rsidRPr="00201438" w14:paraId="6CFEE9F5" w14:textId="77777777" w:rsidTr="00565BAE">
        <w:trPr>
          <w:cantSplit/>
        </w:trPr>
        <w:tc>
          <w:tcPr>
            <w:tcW w:w="2314" w:type="dxa"/>
          </w:tcPr>
          <w:p w14:paraId="1510458C" w14:textId="77777777" w:rsidR="00DA4EFA" w:rsidRDefault="00DA4EFA" w:rsidP="00D60837">
            <w:pPr>
              <w:pStyle w:val="BodyText"/>
              <w:spacing w:before="0" w:after="0"/>
              <w:jc w:val="left"/>
              <w:rPr>
                <w:sz w:val="14"/>
                <w:szCs w:val="16"/>
                <w:lang w:val="en-GB"/>
              </w:rPr>
            </w:pPr>
            <w:r w:rsidRPr="00FC1D74">
              <w:rPr>
                <w:b/>
                <w:sz w:val="14"/>
                <w:szCs w:val="16"/>
                <w:lang w:val="en-GB"/>
              </w:rPr>
              <w:t>Relations</w:t>
            </w:r>
            <w:r>
              <w:rPr>
                <w:b/>
                <w:sz w:val="14"/>
                <w:szCs w:val="16"/>
                <w:lang w:val="en-GB"/>
              </w:rPr>
              <w:t xml:space="preserve"> between concepts</w:t>
            </w:r>
            <w:r>
              <w:rPr>
                <w:sz w:val="14"/>
                <w:szCs w:val="16"/>
                <w:lang w:val="en-GB"/>
              </w:rPr>
              <w:t xml:space="preserve"> – Relation between concepts within the concept characteristic</w:t>
            </w:r>
          </w:p>
        </w:tc>
        <w:tc>
          <w:tcPr>
            <w:tcW w:w="2006" w:type="dxa"/>
            <w:shd w:val="clear" w:color="auto" w:fill="FBD4B4" w:themeFill="accent6" w:themeFillTint="66"/>
          </w:tcPr>
          <w:p w14:paraId="2C48D1B2" w14:textId="77777777" w:rsidR="00DA4EFA" w:rsidRPr="00A71EA8" w:rsidRDefault="00DA4EFA" w:rsidP="00D60837">
            <w:pPr>
              <w:pStyle w:val="BodyText"/>
              <w:spacing w:before="0" w:after="0"/>
              <w:jc w:val="left"/>
              <w:rPr>
                <w:i/>
                <w:sz w:val="14"/>
                <w:szCs w:val="16"/>
                <w:lang w:val="en-GB"/>
              </w:rPr>
            </w:pPr>
            <w:r>
              <w:rPr>
                <w:i/>
                <w:sz w:val="14"/>
                <w:szCs w:val="16"/>
                <w:lang w:val="en-GB"/>
              </w:rPr>
              <w:t>Roll up, roll forward, hierarchy</w:t>
            </w:r>
          </w:p>
        </w:tc>
        <w:tc>
          <w:tcPr>
            <w:tcW w:w="2430" w:type="dxa"/>
          </w:tcPr>
          <w:p w14:paraId="00A1583C" w14:textId="77777777" w:rsidR="00DA4EFA" w:rsidRPr="008F579C" w:rsidRDefault="00DA4EFA" w:rsidP="00D60837">
            <w:pPr>
              <w:pStyle w:val="BodyText"/>
              <w:spacing w:before="0" w:after="0"/>
              <w:jc w:val="left"/>
              <w:rPr>
                <w:sz w:val="14"/>
                <w:szCs w:val="16"/>
                <w:lang w:val="en-GB"/>
              </w:rPr>
            </w:pPr>
            <w:r>
              <w:rPr>
                <w:sz w:val="14"/>
                <w:szCs w:val="16"/>
                <w:lang w:val="en-GB"/>
              </w:rPr>
              <w:t>Roll up, roll forward, hierarchy</w:t>
            </w:r>
          </w:p>
        </w:tc>
        <w:tc>
          <w:tcPr>
            <w:tcW w:w="1980" w:type="dxa"/>
          </w:tcPr>
          <w:p w14:paraId="48C29C9C" w14:textId="77777777" w:rsidR="00DA4EFA" w:rsidRPr="00FC1D74" w:rsidRDefault="00DA4EFA" w:rsidP="00D60837">
            <w:pPr>
              <w:pStyle w:val="BodyText"/>
              <w:spacing w:before="0" w:after="0"/>
              <w:jc w:val="center"/>
              <w:rPr>
                <w:i/>
                <w:sz w:val="14"/>
                <w:szCs w:val="16"/>
                <w:lang w:val="en-GB"/>
              </w:rPr>
            </w:pPr>
            <w:r w:rsidRPr="00FC1D74">
              <w:rPr>
                <w:i/>
                <w:sz w:val="14"/>
                <w:szCs w:val="16"/>
                <w:lang w:val="en-GB"/>
              </w:rPr>
              <w:t>--Does not have this level--</w:t>
            </w:r>
          </w:p>
        </w:tc>
      </w:tr>
      <w:tr w:rsidR="00DA4EFA" w:rsidRPr="00201438" w14:paraId="62769DA3" w14:textId="77777777" w:rsidTr="00565BAE">
        <w:trPr>
          <w:cantSplit/>
        </w:trPr>
        <w:tc>
          <w:tcPr>
            <w:tcW w:w="2314" w:type="dxa"/>
          </w:tcPr>
          <w:p w14:paraId="0A6246C8" w14:textId="77777777" w:rsidR="00DA4EFA" w:rsidRDefault="00DA4EFA" w:rsidP="00D60837">
            <w:pPr>
              <w:pStyle w:val="BodyText"/>
              <w:spacing w:before="0" w:after="0"/>
              <w:jc w:val="left"/>
              <w:rPr>
                <w:sz w:val="14"/>
                <w:szCs w:val="16"/>
                <w:lang w:val="en-GB"/>
              </w:rPr>
            </w:pPr>
            <w:r w:rsidRPr="00FC1D74">
              <w:rPr>
                <w:b/>
                <w:sz w:val="14"/>
                <w:szCs w:val="16"/>
                <w:lang w:val="en-GB"/>
              </w:rPr>
              <w:t>Relations</w:t>
            </w:r>
            <w:r>
              <w:rPr>
                <w:b/>
                <w:sz w:val="14"/>
                <w:szCs w:val="16"/>
                <w:lang w:val="en-GB"/>
              </w:rPr>
              <w:t xml:space="preserve"> between characteristics</w:t>
            </w:r>
            <w:r>
              <w:rPr>
                <w:sz w:val="14"/>
                <w:szCs w:val="16"/>
                <w:lang w:val="en-GB"/>
              </w:rPr>
              <w:t xml:space="preserve"> – Relations between characteristic members</w:t>
            </w:r>
          </w:p>
        </w:tc>
        <w:tc>
          <w:tcPr>
            <w:tcW w:w="2006" w:type="dxa"/>
            <w:shd w:val="clear" w:color="auto" w:fill="FBD4B4" w:themeFill="accent6" w:themeFillTint="66"/>
          </w:tcPr>
          <w:p w14:paraId="774213FC" w14:textId="77777777" w:rsidR="00DA4EFA" w:rsidRDefault="00DA4EFA" w:rsidP="00D60837">
            <w:pPr>
              <w:pStyle w:val="BodyText"/>
              <w:spacing w:before="0" w:after="0"/>
              <w:jc w:val="left"/>
              <w:rPr>
                <w:i/>
                <w:sz w:val="14"/>
                <w:szCs w:val="16"/>
                <w:lang w:val="en-GB"/>
              </w:rPr>
            </w:pPr>
            <w:r>
              <w:rPr>
                <w:i/>
                <w:sz w:val="14"/>
                <w:szCs w:val="16"/>
                <w:lang w:val="en-GB"/>
              </w:rPr>
              <w:t>North America, United States, Canada</w:t>
            </w:r>
          </w:p>
        </w:tc>
        <w:tc>
          <w:tcPr>
            <w:tcW w:w="2430" w:type="dxa"/>
          </w:tcPr>
          <w:p w14:paraId="3D05A6A1" w14:textId="77777777" w:rsidR="00DA4EFA" w:rsidRDefault="00DA4EFA" w:rsidP="00D60837">
            <w:pPr>
              <w:pStyle w:val="BodyText"/>
              <w:spacing w:before="0" w:after="0"/>
              <w:jc w:val="left"/>
              <w:rPr>
                <w:sz w:val="14"/>
                <w:szCs w:val="16"/>
                <w:lang w:val="en-GB"/>
              </w:rPr>
            </w:pPr>
            <w:r>
              <w:rPr>
                <w:sz w:val="14"/>
                <w:szCs w:val="16"/>
                <w:lang w:val="en-GB"/>
              </w:rPr>
              <w:t>Domain partition aggregation model</w:t>
            </w:r>
          </w:p>
        </w:tc>
        <w:tc>
          <w:tcPr>
            <w:tcW w:w="1980" w:type="dxa"/>
          </w:tcPr>
          <w:p w14:paraId="1CD6408A" w14:textId="77777777" w:rsidR="00DA4EFA" w:rsidRPr="00FC1D74" w:rsidRDefault="00DA4EFA" w:rsidP="00D60837">
            <w:pPr>
              <w:pStyle w:val="BodyText"/>
              <w:spacing w:before="0" w:after="0"/>
              <w:jc w:val="center"/>
              <w:rPr>
                <w:i/>
                <w:sz w:val="14"/>
                <w:szCs w:val="16"/>
                <w:lang w:val="en-GB"/>
              </w:rPr>
            </w:pPr>
            <w:r w:rsidRPr="00FC1D74">
              <w:rPr>
                <w:i/>
                <w:sz w:val="14"/>
                <w:szCs w:val="16"/>
                <w:lang w:val="en-GB"/>
              </w:rPr>
              <w:t>--Does not have this level--</w:t>
            </w:r>
          </w:p>
        </w:tc>
      </w:tr>
      <w:tr w:rsidR="00DA4EFA" w:rsidRPr="00201438" w14:paraId="1ABA4863" w14:textId="77777777" w:rsidTr="00565BAE">
        <w:trPr>
          <w:cantSplit/>
        </w:trPr>
        <w:tc>
          <w:tcPr>
            <w:tcW w:w="2314" w:type="dxa"/>
          </w:tcPr>
          <w:p w14:paraId="7B8A5632" w14:textId="77777777" w:rsidR="00DA4EFA" w:rsidRDefault="00DA4EFA" w:rsidP="00D60837">
            <w:pPr>
              <w:pStyle w:val="BodyText"/>
              <w:spacing w:before="0" w:after="0"/>
              <w:jc w:val="left"/>
              <w:rPr>
                <w:sz w:val="14"/>
                <w:szCs w:val="16"/>
                <w:lang w:val="en-GB"/>
              </w:rPr>
            </w:pPr>
            <w:r w:rsidRPr="00FC1D74">
              <w:rPr>
                <w:b/>
                <w:sz w:val="14"/>
                <w:szCs w:val="16"/>
                <w:lang w:val="en-GB"/>
              </w:rPr>
              <w:t>Relations</w:t>
            </w:r>
            <w:r>
              <w:rPr>
                <w:b/>
                <w:sz w:val="14"/>
                <w:szCs w:val="16"/>
                <w:lang w:val="en-GB"/>
              </w:rPr>
              <w:t xml:space="preserve"> between components</w:t>
            </w:r>
            <w:r>
              <w:rPr>
                <w:sz w:val="14"/>
                <w:szCs w:val="16"/>
                <w:lang w:val="en-GB"/>
              </w:rPr>
              <w:t xml:space="preserve"> – Flow, or the order or sequence of components</w:t>
            </w:r>
          </w:p>
        </w:tc>
        <w:tc>
          <w:tcPr>
            <w:tcW w:w="2006" w:type="dxa"/>
            <w:shd w:val="clear" w:color="auto" w:fill="FBD4B4" w:themeFill="accent6" w:themeFillTint="66"/>
          </w:tcPr>
          <w:p w14:paraId="0519B028" w14:textId="77777777" w:rsidR="00DA4EFA" w:rsidRPr="00A71EA8" w:rsidRDefault="00DA4EFA" w:rsidP="00D60837">
            <w:pPr>
              <w:pStyle w:val="BodyText"/>
              <w:spacing w:before="0" w:after="0"/>
              <w:jc w:val="left"/>
              <w:rPr>
                <w:i/>
                <w:sz w:val="14"/>
                <w:szCs w:val="16"/>
                <w:lang w:val="en-GB"/>
              </w:rPr>
            </w:pPr>
            <w:r>
              <w:rPr>
                <w:i/>
                <w:sz w:val="14"/>
                <w:szCs w:val="16"/>
                <w:lang w:val="en-GB"/>
              </w:rPr>
              <w:t>Balance sheet, then income statement, then statement of changes in equity, …</w:t>
            </w:r>
          </w:p>
        </w:tc>
        <w:tc>
          <w:tcPr>
            <w:tcW w:w="2430" w:type="dxa"/>
          </w:tcPr>
          <w:p w14:paraId="4587A8E6" w14:textId="77777777" w:rsidR="00DA4EFA" w:rsidRPr="008F579C" w:rsidRDefault="00DA4EFA" w:rsidP="00D60837">
            <w:pPr>
              <w:pStyle w:val="BodyText"/>
              <w:spacing w:before="0" w:after="0"/>
              <w:jc w:val="left"/>
              <w:rPr>
                <w:sz w:val="14"/>
                <w:szCs w:val="16"/>
                <w:lang w:val="en-GB"/>
              </w:rPr>
            </w:pPr>
            <w:r>
              <w:rPr>
                <w:sz w:val="14"/>
                <w:szCs w:val="16"/>
                <w:lang w:val="en-GB"/>
              </w:rPr>
              <w:t xml:space="preserve">Flow, uses Network </w:t>
            </w:r>
            <w:r w:rsidRPr="00B12CA1">
              <w:rPr>
                <w:sz w:val="14"/>
                <w:szCs w:val="16"/>
                <w:lang w:val="en-GB"/>
              </w:rPr>
              <w:t>{</w:t>
            </w:r>
            <w:proofErr w:type="spellStart"/>
            <w:r w:rsidRPr="00B12CA1">
              <w:rPr>
                <w:sz w:val="14"/>
                <w:szCs w:val="16"/>
                <w:lang w:val="en-GB"/>
              </w:rPr>
              <w:t>SortCode</w:t>
            </w:r>
            <w:proofErr w:type="spellEnd"/>
            <w:r w:rsidRPr="00B12CA1">
              <w:rPr>
                <w:sz w:val="14"/>
                <w:szCs w:val="16"/>
                <w:lang w:val="en-GB"/>
              </w:rPr>
              <w:t>} - {Type} - {Title}</w:t>
            </w:r>
          </w:p>
        </w:tc>
        <w:tc>
          <w:tcPr>
            <w:tcW w:w="1980" w:type="dxa"/>
          </w:tcPr>
          <w:p w14:paraId="00676C81" w14:textId="77777777" w:rsidR="00DA4EFA" w:rsidRPr="00FC1D74" w:rsidRDefault="00DA4EFA" w:rsidP="00D60837">
            <w:pPr>
              <w:pStyle w:val="BodyText"/>
              <w:spacing w:before="0" w:after="0"/>
              <w:jc w:val="center"/>
              <w:rPr>
                <w:i/>
                <w:sz w:val="14"/>
                <w:szCs w:val="16"/>
                <w:lang w:val="en-GB"/>
              </w:rPr>
            </w:pPr>
            <w:r w:rsidRPr="00FC1D74">
              <w:rPr>
                <w:i/>
                <w:sz w:val="14"/>
                <w:szCs w:val="16"/>
                <w:lang w:val="en-GB"/>
              </w:rPr>
              <w:t>--Does not have this level--</w:t>
            </w:r>
          </w:p>
        </w:tc>
      </w:tr>
      <w:tr w:rsidR="00DA4EFA" w:rsidRPr="00201438" w14:paraId="1D33CB78" w14:textId="77777777" w:rsidTr="00565BAE">
        <w:trPr>
          <w:cantSplit/>
        </w:trPr>
        <w:tc>
          <w:tcPr>
            <w:tcW w:w="2314" w:type="dxa"/>
          </w:tcPr>
          <w:p w14:paraId="7777C84B" w14:textId="77777777" w:rsidR="00DA4EFA" w:rsidRPr="00FC1D74" w:rsidRDefault="00DA4EFA" w:rsidP="00D60837">
            <w:pPr>
              <w:pStyle w:val="BodyText"/>
              <w:spacing w:before="0" w:after="0"/>
              <w:jc w:val="left"/>
              <w:rPr>
                <w:b/>
                <w:sz w:val="14"/>
                <w:szCs w:val="16"/>
                <w:lang w:val="en-GB"/>
              </w:rPr>
            </w:pPr>
            <w:r>
              <w:rPr>
                <w:b/>
                <w:sz w:val="14"/>
                <w:szCs w:val="16"/>
                <w:lang w:val="en-GB"/>
              </w:rPr>
              <w:t xml:space="preserve">Parenthetical explanation </w:t>
            </w:r>
            <w:r w:rsidRPr="00BD6D28">
              <w:rPr>
                <w:sz w:val="14"/>
                <w:szCs w:val="16"/>
                <w:lang w:val="en-GB"/>
              </w:rPr>
              <w:t>– provide additional descriptive information about a fact.</w:t>
            </w:r>
          </w:p>
        </w:tc>
        <w:tc>
          <w:tcPr>
            <w:tcW w:w="2006" w:type="dxa"/>
            <w:shd w:val="clear" w:color="auto" w:fill="FBD4B4" w:themeFill="accent6" w:themeFillTint="66"/>
          </w:tcPr>
          <w:p w14:paraId="494BD4AA" w14:textId="77777777" w:rsidR="00DA4EFA" w:rsidRDefault="00DA4EFA" w:rsidP="00D60837">
            <w:pPr>
              <w:pStyle w:val="BodyText"/>
              <w:spacing w:before="0" w:after="0"/>
              <w:jc w:val="left"/>
              <w:rPr>
                <w:i/>
                <w:sz w:val="14"/>
                <w:szCs w:val="16"/>
                <w:lang w:val="en-GB"/>
              </w:rPr>
            </w:pPr>
            <w:r>
              <w:rPr>
                <w:i/>
                <w:sz w:val="14"/>
                <w:szCs w:val="16"/>
                <w:lang w:val="en-GB"/>
              </w:rPr>
              <w:t>Parenthetical explanation on the bottom of a page, a footnote to a financial fact</w:t>
            </w:r>
          </w:p>
        </w:tc>
        <w:tc>
          <w:tcPr>
            <w:tcW w:w="2430" w:type="dxa"/>
          </w:tcPr>
          <w:p w14:paraId="7D2A5B7D" w14:textId="77777777" w:rsidR="00DA4EFA" w:rsidRDefault="00DA4EFA" w:rsidP="00D60837">
            <w:pPr>
              <w:pStyle w:val="BodyText"/>
              <w:spacing w:before="0" w:after="0"/>
              <w:jc w:val="left"/>
              <w:rPr>
                <w:sz w:val="14"/>
                <w:szCs w:val="16"/>
                <w:lang w:val="en-GB"/>
              </w:rPr>
            </w:pPr>
            <w:r>
              <w:rPr>
                <w:sz w:val="14"/>
                <w:szCs w:val="16"/>
                <w:lang w:val="en-GB"/>
              </w:rPr>
              <w:t>Footnote</w:t>
            </w:r>
          </w:p>
        </w:tc>
        <w:tc>
          <w:tcPr>
            <w:tcW w:w="1980" w:type="dxa"/>
          </w:tcPr>
          <w:p w14:paraId="5D04D387" w14:textId="77777777" w:rsidR="00DA4EFA" w:rsidRPr="00FC1D74" w:rsidRDefault="00DA4EFA" w:rsidP="00D60837">
            <w:pPr>
              <w:pStyle w:val="BodyText"/>
              <w:spacing w:before="0" w:after="0"/>
              <w:jc w:val="left"/>
              <w:rPr>
                <w:i/>
                <w:sz w:val="14"/>
                <w:szCs w:val="16"/>
                <w:lang w:val="en-GB"/>
              </w:rPr>
            </w:pPr>
            <w:r>
              <w:rPr>
                <w:sz w:val="14"/>
                <w:szCs w:val="16"/>
                <w:lang w:val="en-GB"/>
              </w:rPr>
              <w:t>XBRL Footnote</w:t>
            </w:r>
          </w:p>
        </w:tc>
      </w:tr>
    </w:tbl>
    <w:p w14:paraId="671183DF" w14:textId="77777777" w:rsidR="00DA4EFA" w:rsidRDefault="00DA4EFA" w:rsidP="00200171"/>
    <w:p w14:paraId="25FCF494" w14:textId="77777777" w:rsidR="00DA4EFA" w:rsidRDefault="00DA4EFA">
      <w:pPr>
        <w:rPr>
          <w:rFonts w:ascii="Arial" w:hAnsi="Arial" w:cs="Arial"/>
          <w:b/>
          <w:bCs/>
          <w:i/>
          <w:iCs/>
          <w:sz w:val="28"/>
          <w:szCs w:val="28"/>
          <w:lang w:val="en-GB"/>
        </w:rPr>
      </w:pPr>
      <w:r>
        <w:rPr>
          <w:lang w:val="en-GB"/>
        </w:rPr>
        <w:br w:type="page"/>
      </w:r>
    </w:p>
    <w:p w14:paraId="743FA130" w14:textId="77777777" w:rsidR="00DA4EFA" w:rsidRDefault="00DA4EFA" w:rsidP="00565BAE">
      <w:pPr>
        <w:pStyle w:val="Heading2"/>
        <w:rPr>
          <w:lang w:val="en-GB"/>
        </w:rPr>
      </w:pPr>
      <w:r w:rsidRPr="00565BAE">
        <w:rPr>
          <w:lang w:val="en-GB"/>
        </w:rPr>
        <w:lastRenderedPageBreak/>
        <w:t>From Perspective of US GAAP/SEC Model</w:t>
      </w:r>
    </w:p>
    <w:p w14:paraId="48179CF5" w14:textId="77777777" w:rsidR="00DA4EFA" w:rsidRDefault="00DA4EFA" w:rsidP="00565BAE">
      <w:pPr>
        <w:pStyle w:val="BodyText"/>
        <w:rPr>
          <w:b/>
        </w:rPr>
      </w:pPr>
      <w:r>
        <w:rPr>
          <w:lang w:val="en-GB"/>
        </w:rPr>
        <w:t>From the perspective of the US GAAP XBRL Taxonomy and SEC model perspective.</w:t>
      </w:r>
    </w:p>
    <w:p w14:paraId="4CED39D8" w14:textId="77777777" w:rsidR="00DA4EFA" w:rsidRDefault="00DA4EFA" w:rsidP="00200171"/>
    <w:tbl>
      <w:tblPr>
        <w:tblW w:w="90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0"/>
        <w:gridCol w:w="2070"/>
        <w:gridCol w:w="2340"/>
        <w:gridCol w:w="2250"/>
      </w:tblGrid>
      <w:tr w:rsidR="00DA4EFA" w:rsidRPr="00201438" w14:paraId="7E74B0A1" w14:textId="77777777" w:rsidTr="00565BAE">
        <w:trPr>
          <w:cantSplit/>
          <w:tblHeader/>
        </w:trPr>
        <w:tc>
          <w:tcPr>
            <w:tcW w:w="2340" w:type="dxa"/>
            <w:shd w:val="pct20" w:color="auto" w:fill="auto"/>
          </w:tcPr>
          <w:p w14:paraId="43D10150" w14:textId="77777777" w:rsidR="00DA4EFA" w:rsidRPr="00201438" w:rsidRDefault="00DA4EFA" w:rsidP="00D60837">
            <w:pPr>
              <w:pStyle w:val="BodyText"/>
              <w:spacing w:before="0" w:after="0"/>
              <w:jc w:val="left"/>
              <w:rPr>
                <w:b/>
                <w:sz w:val="14"/>
                <w:szCs w:val="16"/>
                <w:lang w:val="en-GB"/>
              </w:rPr>
            </w:pPr>
            <w:r>
              <w:rPr>
                <w:b/>
                <w:sz w:val="14"/>
                <w:szCs w:val="16"/>
                <w:lang w:val="en-GB"/>
              </w:rPr>
              <w:t>Financial Report Semantics and Dynamics Theory Term</w:t>
            </w:r>
          </w:p>
        </w:tc>
        <w:tc>
          <w:tcPr>
            <w:tcW w:w="2070" w:type="dxa"/>
            <w:tcBorders>
              <w:bottom w:val="single" w:sz="4" w:space="0" w:color="auto"/>
            </w:tcBorders>
            <w:shd w:val="pct15" w:color="auto" w:fill="F79646" w:themeFill="accent6"/>
          </w:tcPr>
          <w:p w14:paraId="442C3ED7" w14:textId="77777777" w:rsidR="00DA4EFA" w:rsidRPr="00A71EA8" w:rsidRDefault="00DA4EFA" w:rsidP="00D60837">
            <w:pPr>
              <w:pStyle w:val="BodyText"/>
              <w:spacing w:before="0" w:after="0"/>
              <w:jc w:val="center"/>
              <w:rPr>
                <w:b/>
                <w:i/>
                <w:sz w:val="14"/>
                <w:szCs w:val="16"/>
                <w:lang w:val="en-GB"/>
              </w:rPr>
            </w:pPr>
          </w:p>
          <w:p w14:paraId="7073A3B5" w14:textId="77777777" w:rsidR="00DA4EFA" w:rsidRPr="00A71EA8" w:rsidRDefault="00DA4EFA" w:rsidP="00D60837">
            <w:pPr>
              <w:pStyle w:val="BodyText"/>
              <w:spacing w:before="0" w:after="0"/>
              <w:jc w:val="center"/>
              <w:rPr>
                <w:b/>
                <w:i/>
                <w:sz w:val="14"/>
                <w:szCs w:val="16"/>
                <w:lang w:val="en-GB"/>
              </w:rPr>
            </w:pPr>
            <w:r w:rsidRPr="00A71EA8">
              <w:rPr>
                <w:b/>
                <w:i/>
                <w:sz w:val="14"/>
                <w:szCs w:val="16"/>
                <w:lang w:val="en-GB"/>
              </w:rPr>
              <w:t>Example</w:t>
            </w:r>
          </w:p>
        </w:tc>
        <w:tc>
          <w:tcPr>
            <w:tcW w:w="2340" w:type="dxa"/>
            <w:shd w:val="pct20" w:color="auto" w:fill="auto"/>
          </w:tcPr>
          <w:p w14:paraId="1F5C3C49" w14:textId="77777777" w:rsidR="00DA4EFA" w:rsidRDefault="00DA4EFA" w:rsidP="00D60837">
            <w:pPr>
              <w:pStyle w:val="BodyText"/>
              <w:spacing w:before="0" w:after="0"/>
              <w:jc w:val="center"/>
              <w:rPr>
                <w:b/>
                <w:sz w:val="14"/>
                <w:szCs w:val="16"/>
                <w:lang w:val="en-GB"/>
              </w:rPr>
            </w:pPr>
          </w:p>
          <w:p w14:paraId="308174CB" w14:textId="77777777" w:rsidR="00DA4EFA" w:rsidRDefault="00DA4EFA" w:rsidP="00D60837">
            <w:pPr>
              <w:pStyle w:val="BodyText"/>
              <w:spacing w:before="0" w:after="0"/>
              <w:jc w:val="center"/>
              <w:rPr>
                <w:b/>
                <w:sz w:val="14"/>
                <w:szCs w:val="16"/>
                <w:lang w:val="en-GB"/>
              </w:rPr>
            </w:pPr>
            <w:r>
              <w:rPr>
                <w:b/>
                <w:sz w:val="14"/>
                <w:szCs w:val="16"/>
                <w:lang w:val="en-GB"/>
              </w:rPr>
              <w:t>US GAAP/SEC Model Term</w:t>
            </w:r>
          </w:p>
        </w:tc>
        <w:tc>
          <w:tcPr>
            <w:tcW w:w="2250" w:type="dxa"/>
            <w:shd w:val="pct20" w:color="auto" w:fill="auto"/>
          </w:tcPr>
          <w:p w14:paraId="716A5307" w14:textId="77777777" w:rsidR="00DA4EFA" w:rsidRDefault="00DA4EFA" w:rsidP="00D60837">
            <w:pPr>
              <w:pStyle w:val="BodyText"/>
              <w:spacing w:before="0" w:after="0"/>
              <w:jc w:val="center"/>
              <w:rPr>
                <w:b/>
                <w:sz w:val="14"/>
                <w:szCs w:val="16"/>
                <w:lang w:val="en-GB"/>
              </w:rPr>
            </w:pPr>
          </w:p>
          <w:p w14:paraId="17003818" w14:textId="77777777" w:rsidR="00DA4EFA" w:rsidRPr="00201438" w:rsidRDefault="00DA4EFA" w:rsidP="00D60837">
            <w:pPr>
              <w:pStyle w:val="BodyText"/>
              <w:spacing w:before="0" w:after="0"/>
              <w:jc w:val="center"/>
              <w:rPr>
                <w:b/>
                <w:sz w:val="14"/>
                <w:szCs w:val="16"/>
                <w:lang w:val="en-GB"/>
              </w:rPr>
            </w:pPr>
            <w:r>
              <w:rPr>
                <w:b/>
                <w:sz w:val="14"/>
                <w:szCs w:val="16"/>
                <w:lang w:val="en-GB"/>
              </w:rPr>
              <w:t>XBRL Technical Syntax Term</w:t>
            </w:r>
          </w:p>
        </w:tc>
      </w:tr>
      <w:tr w:rsidR="00DA4EFA" w:rsidRPr="00201438" w14:paraId="563811C3" w14:textId="77777777" w:rsidTr="00565BAE">
        <w:trPr>
          <w:cantSplit/>
        </w:trPr>
        <w:tc>
          <w:tcPr>
            <w:tcW w:w="2340" w:type="dxa"/>
          </w:tcPr>
          <w:p w14:paraId="5DA90E5E" w14:textId="77777777" w:rsidR="00DA4EFA" w:rsidRPr="00BD6D28" w:rsidRDefault="00DA4EFA" w:rsidP="00D60837">
            <w:pPr>
              <w:pStyle w:val="BodyText"/>
              <w:spacing w:before="0" w:after="0"/>
              <w:jc w:val="left"/>
              <w:rPr>
                <w:i/>
                <w:sz w:val="14"/>
                <w:szCs w:val="16"/>
                <w:lang w:val="en-GB"/>
              </w:rPr>
            </w:pPr>
            <w:r w:rsidRPr="00BD6D28">
              <w:rPr>
                <w:i/>
                <w:sz w:val="14"/>
                <w:szCs w:val="16"/>
                <w:lang w:val="en-GB"/>
              </w:rPr>
              <w:t>-- Undefined, use</w:t>
            </w:r>
            <w:r>
              <w:rPr>
                <w:i/>
                <w:sz w:val="14"/>
                <w:szCs w:val="16"/>
                <w:lang w:val="en-GB"/>
              </w:rPr>
              <w:t>s</w:t>
            </w:r>
            <w:r w:rsidRPr="00BD6D28">
              <w:rPr>
                <w:i/>
                <w:sz w:val="14"/>
                <w:szCs w:val="16"/>
                <w:lang w:val="en-GB"/>
              </w:rPr>
              <w:t xml:space="preserve"> specific report element name</w:t>
            </w:r>
            <w:r>
              <w:rPr>
                <w:i/>
                <w:sz w:val="14"/>
                <w:szCs w:val="16"/>
                <w:lang w:val="en-GB"/>
              </w:rPr>
              <w:t xml:space="preserve"> rather than this general term</w:t>
            </w:r>
            <w:r w:rsidRPr="00BD6D28">
              <w:rPr>
                <w:i/>
                <w:sz w:val="14"/>
                <w:szCs w:val="16"/>
                <w:lang w:val="en-GB"/>
              </w:rPr>
              <w:t xml:space="preserve"> --</w:t>
            </w:r>
          </w:p>
        </w:tc>
        <w:tc>
          <w:tcPr>
            <w:tcW w:w="2070" w:type="dxa"/>
            <w:shd w:val="clear" w:color="auto" w:fill="FBD4B4" w:themeFill="accent6" w:themeFillTint="66"/>
          </w:tcPr>
          <w:p w14:paraId="39990BFC" w14:textId="77777777" w:rsidR="00DA4EFA" w:rsidRDefault="00DA4EFA" w:rsidP="00D60837">
            <w:pPr>
              <w:pStyle w:val="BodyText"/>
              <w:spacing w:before="0" w:after="0"/>
              <w:jc w:val="left"/>
              <w:rPr>
                <w:i/>
                <w:sz w:val="14"/>
                <w:szCs w:val="16"/>
                <w:lang w:val="en-GB"/>
              </w:rPr>
            </w:pPr>
            <w:r>
              <w:rPr>
                <w:i/>
                <w:sz w:val="14"/>
                <w:szCs w:val="16"/>
                <w:lang w:val="en-GB"/>
              </w:rPr>
              <w:t>Network, Table, Axis, Member, Line Items, Concept, Fact</w:t>
            </w:r>
          </w:p>
        </w:tc>
        <w:tc>
          <w:tcPr>
            <w:tcW w:w="2340" w:type="dxa"/>
          </w:tcPr>
          <w:p w14:paraId="3F6D823C" w14:textId="77777777" w:rsidR="00DA4EFA" w:rsidRPr="004C06B4" w:rsidRDefault="00DA4EFA" w:rsidP="00D60837">
            <w:pPr>
              <w:pStyle w:val="BodyText"/>
              <w:spacing w:before="0" w:after="0"/>
              <w:jc w:val="left"/>
              <w:rPr>
                <w:b/>
                <w:sz w:val="14"/>
                <w:szCs w:val="16"/>
                <w:lang w:val="en-GB"/>
              </w:rPr>
            </w:pPr>
            <w:r w:rsidRPr="004C06B4">
              <w:rPr>
                <w:b/>
                <w:sz w:val="14"/>
                <w:szCs w:val="16"/>
                <w:lang w:val="en-GB"/>
              </w:rPr>
              <w:t>Report element</w:t>
            </w:r>
          </w:p>
        </w:tc>
        <w:tc>
          <w:tcPr>
            <w:tcW w:w="2250" w:type="dxa"/>
          </w:tcPr>
          <w:p w14:paraId="672A20C5" w14:textId="77777777" w:rsidR="00DA4EFA" w:rsidRPr="00FC1D74" w:rsidRDefault="00DA4EFA" w:rsidP="00D60837">
            <w:pPr>
              <w:pStyle w:val="BodyText"/>
              <w:spacing w:before="0" w:after="0"/>
              <w:jc w:val="left"/>
              <w:rPr>
                <w:i/>
                <w:sz w:val="14"/>
                <w:szCs w:val="16"/>
                <w:lang w:val="en-GB"/>
              </w:rPr>
            </w:pPr>
            <w:r>
              <w:rPr>
                <w:sz w:val="14"/>
                <w:szCs w:val="16"/>
                <w:lang w:val="en-GB"/>
              </w:rPr>
              <w:t>XML Schema element with specific attributes; different sets of attributes and attribute values define report elements to be different things</w:t>
            </w:r>
          </w:p>
        </w:tc>
      </w:tr>
      <w:tr w:rsidR="00DA4EFA" w:rsidRPr="00201438" w14:paraId="1954B03D" w14:textId="77777777" w:rsidTr="00565BAE">
        <w:trPr>
          <w:cantSplit/>
        </w:trPr>
        <w:tc>
          <w:tcPr>
            <w:tcW w:w="2340" w:type="dxa"/>
          </w:tcPr>
          <w:p w14:paraId="400E4AC5" w14:textId="77777777" w:rsidR="00DA4EFA" w:rsidRPr="007A4502" w:rsidRDefault="00DA4EFA" w:rsidP="00D60837">
            <w:pPr>
              <w:pStyle w:val="BodyText"/>
              <w:spacing w:before="0" w:after="0"/>
              <w:jc w:val="left"/>
              <w:rPr>
                <w:sz w:val="14"/>
                <w:szCs w:val="16"/>
                <w:lang w:val="en-GB"/>
              </w:rPr>
            </w:pPr>
            <w:r>
              <w:rPr>
                <w:sz w:val="14"/>
                <w:szCs w:val="16"/>
                <w:lang w:val="en-GB"/>
              </w:rPr>
              <w:t xml:space="preserve">This is </w:t>
            </w:r>
            <w:r w:rsidRPr="00560862">
              <w:rPr>
                <w:i/>
                <w:sz w:val="14"/>
                <w:szCs w:val="16"/>
                <w:lang w:val="en-GB"/>
              </w:rPr>
              <w:t>part of a component</w:t>
            </w:r>
            <w:r>
              <w:rPr>
                <w:sz w:val="14"/>
                <w:szCs w:val="16"/>
                <w:lang w:val="en-GB"/>
              </w:rPr>
              <w:t>, but because different taxonomies use network, hypercube, or combinations of network/hypercube; this cannot be mapped to one physical technical syntax</w:t>
            </w:r>
          </w:p>
        </w:tc>
        <w:tc>
          <w:tcPr>
            <w:tcW w:w="2070" w:type="dxa"/>
            <w:shd w:val="clear" w:color="auto" w:fill="FBD4B4" w:themeFill="accent6" w:themeFillTint="66"/>
          </w:tcPr>
          <w:p w14:paraId="7F5734BD" w14:textId="77777777" w:rsidR="00DA4EFA" w:rsidRDefault="00DA4EFA" w:rsidP="00D60837">
            <w:pPr>
              <w:pStyle w:val="BodyText"/>
              <w:spacing w:before="0" w:after="0"/>
              <w:jc w:val="left"/>
              <w:rPr>
                <w:i/>
                <w:sz w:val="14"/>
                <w:szCs w:val="16"/>
                <w:lang w:val="en-GB"/>
              </w:rPr>
            </w:pPr>
            <w:r>
              <w:rPr>
                <w:i/>
                <w:sz w:val="14"/>
                <w:szCs w:val="16"/>
                <w:lang w:val="en-GB"/>
              </w:rPr>
              <w:t>Balance sheet</w:t>
            </w:r>
          </w:p>
        </w:tc>
        <w:tc>
          <w:tcPr>
            <w:tcW w:w="2340" w:type="dxa"/>
          </w:tcPr>
          <w:p w14:paraId="4F8F3A4F" w14:textId="77777777" w:rsidR="00DA4EFA" w:rsidRDefault="00DA4EFA" w:rsidP="00D60837">
            <w:pPr>
              <w:pStyle w:val="BodyText"/>
              <w:spacing w:before="0" w:after="0"/>
              <w:jc w:val="left"/>
              <w:rPr>
                <w:sz w:val="14"/>
                <w:szCs w:val="16"/>
                <w:lang w:val="en-GB"/>
              </w:rPr>
            </w:pPr>
            <w:r w:rsidRPr="004C06B4">
              <w:rPr>
                <w:b/>
                <w:sz w:val="14"/>
                <w:szCs w:val="16"/>
                <w:lang w:val="en-GB"/>
              </w:rPr>
              <w:t>Network</w:t>
            </w:r>
            <w:r>
              <w:rPr>
                <w:sz w:val="14"/>
                <w:szCs w:val="16"/>
                <w:lang w:val="en-GB"/>
              </w:rPr>
              <w:t xml:space="preserve"> (must have a unique URI, must have a number, must have a sort group, must have a title)</w:t>
            </w:r>
          </w:p>
        </w:tc>
        <w:tc>
          <w:tcPr>
            <w:tcW w:w="2250" w:type="dxa"/>
          </w:tcPr>
          <w:p w14:paraId="44BCC815" w14:textId="77777777" w:rsidR="00DA4EFA" w:rsidRDefault="00DA4EFA" w:rsidP="00D60837">
            <w:pPr>
              <w:pStyle w:val="BodyText"/>
              <w:spacing w:before="0" w:after="0"/>
              <w:jc w:val="left"/>
              <w:rPr>
                <w:sz w:val="14"/>
                <w:szCs w:val="16"/>
                <w:lang w:val="en-GB"/>
              </w:rPr>
            </w:pPr>
            <w:r>
              <w:rPr>
                <w:sz w:val="14"/>
                <w:szCs w:val="16"/>
                <w:lang w:val="en-GB"/>
              </w:rPr>
              <w:t xml:space="preserve">Network expressed using the </w:t>
            </w:r>
            <w:proofErr w:type="spellStart"/>
            <w:r>
              <w:rPr>
                <w:sz w:val="14"/>
                <w:szCs w:val="16"/>
                <w:lang w:val="en-GB"/>
              </w:rPr>
              <w:t>XLink</w:t>
            </w:r>
            <w:proofErr w:type="spellEnd"/>
            <w:r>
              <w:rPr>
                <w:sz w:val="14"/>
                <w:szCs w:val="16"/>
                <w:lang w:val="en-GB"/>
              </w:rPr>
              <w:t xml:space="preserve"> extended link with an XBRL extended link role</w:t>
            </w:r>
          </w:p>
        </w:tc>
      </w:tr>
      <w:tr w:rsidR="00DA4EFA" w:rsidRPr="00201438" w14:paraId="5E03B327" w14:textId="77777777" w:rsidTr="00565BAE">
        <w:trPr>
          <w:cantSplit/>
        </w:trPr>
        <w:tc>
          <w:tcPr>
            <w:tcW w:w="2340" w:type="dxa"/>
          </w:tcPr>
          <w:p w14:paraId="60F9C922" w14:textId="77777777" w:rsidR="00DA4EFA" w:rsidRPr="007A4502" w:rsidRDefault="00DA4EFA" w:rsidP="00D60837">
            <w:pPr>
              <w:pStyle w:val="BodyText"/>
              <w:spacing w:before="0" w:after="0"/>
              <w:jc w:val="left"/>
              <w:rPr>
                <w:sz w:val="14"/>
                <w:szCs w:val="16"/>
                <w:lang w:val="en-GB"/>
              </w:rPr>
            </w:pPr>
            <w:r>
              <w:rPr>
                <w:sz w:val="14"/>
                <w:szCs w:val="16"/>
                <w:lang w:val="en-GB"/>
              </w:rPr>
              <w:t xml:space="preserve">This is </w:t>
            </w:r>
            <w:r w:rsidRPr="00560862">
              <w:rPr>
                <w:i/>
                <w:sz w:val="14"/>
                <w:szCs w:val="16"/>
                <w:lang w:val="en-GB"/>
              </w:rPr>
              <w:t>part of a component</w:t>
            </w:r>
            <w:r>
              <w:rPr>
                <w:sz w:val="14"/>
                <w:szCs w:val="16"/>
                <w:lang w:val="en-GB"/>
              </w:rPr>
              <w:t xml:space="preserve">, but because different taxonomies use network, hypercube, or combinations of network/hypercube; this cannot be mapped to one physical technical syntax </w:t>
            </w:r>
          </w:p>
        </w:tc>
        <w:tc>
          <w:tcPr>
            <w:tcW w:w="2070" w:type="dxa"/>
            <w:shd w:val="clear" w:color="auto" w:fill="FBD4B4" w:themeFill="accent6" w:themeFillTint="66"/>
          </w:tcPr>
          <w:p w14:paraId="69A6074C" w14:textId="77777777" w:rsidR="00DA4EFA" w:rsidRDefault="00DA4EFA" w:rsidP="00D60837">
            <w:pPr>
              <w:pStyle w:val="BodyText"/>
              <w:spacing w:before="0" w:after="0"/>
              <w:jc w:val="left"/>
              <w:rPr>
                <w:i/>
                <w:sz w:val="14"/>
                <w:szCs w:val="16"/>
                <w:lang w:val="en-GB"/>
              </w:rPr>
            </w:pPr>
            <w:r>
              <w:rPr>
                <w:i/>
                <w:sz w:val="14"/>
                <w:szCs w:val="16"/>
                <w:lang w:val="en-GB"/>
              </w:rPr>
              <w:t>Balance sheet</w:t>
            </w:r>
          </w:p>
        </w:tc>
        <w:tc>
          <w:tcPr>
            <w:tcW w:w="2340" w:type="dxa"/>
          </w:tcPr>
          <w:p w14:paraId="2172E8AB" w14:textId="77777777" w:rsidR="00DA4EFA" w:rsidRDefault="00DA4EFA" w:rsidP="00D60837">
            <w:pPr>
              <w:pStyle w:val="BodyText"/>
              <w:spacing w:before="0" w:after="0"/>
              <w:jc w:val="left"/>
              <w:rPr>
                <w:sz w:val="14"/>
                <w:szCs w:val="16"/>
                <w:lang w:val="en-GB"/>
              </w:rPr>
            </w:pPr>
            <w:r w:rsidRPr="004C06B4">
              <w:rPr>
                <w:b/>
                <w:sz w:val="14"/>
                <w:szCs w:val="16"/>
                <w:lang w:val="en-GB"/>
              </w:rPr>
              <w:t>[Table]</w:t>
            </w:r>
            <w:r>
              <w:rPr>
                <w:sz w:val="14"/>
                <w:szCs w:val="16"/>
                <w:lang w:val="en-GB"/>
              </w:rPr>
              <w:t xml:space="preserve"> (period must be “duration”, must not have a balance attribute, must be abstract)</w:t>
            </w:r>
          </w:p>
        </w:tc>
        <w:tc>
          <w:tcPr>
            <w:tcW w:w="2250" w:type="dxa"/>
          </w:tcPr>
          <w:p w14:paraId="5054BDD7" w14:textId="77777777" w:rsidR="00DA4EFA" w:rsidRDefault="00DA4EFA" w:rsidP="00D60837">
            <w:pPr>
              <w:pStyle w:val="BodyText"/>
              <w:spacing w:before="0" w:after="0"/>
              <w:jc w:val="left"/>
              <w:rPr>
                <w:sz w:val="14"/>
                <w:szCs w:val="16"/>
                <w:lang w:val="en-GB"/>
              </w:rPr>
            </w:pPr>
            <w:r>
              <w:rPr>
                <w:sz w:val="14"/>
                <w:szCs w:val="16"/>
                <w:lang w:val="en-GB"/>
              </w:rPr>
              <w:t xml:space="preserve">XML schema element with the </w:t>
            </w:r>
            <w:proofErr w:type="spellStart"/>
            <w:r>
              <w:rPr>
                <w:sz w:val="14"/>
                <w:szCs w:val="16"/>
                <w:lang w:val="en-GB"/>
              </w:rPr>
              <w:t>substitutionGroup</w:t>
            </w:r>
            <w:proofErr w:type="spellEnd"/>
            <w:r>
              <w:rPr>
                <w:sz w:val="14"/>
                <w:szCs w:val="16"/>
                <w:lang w:val="en-GB"/>
              </w:rPr>
              <w:t xml:space="preserve"> value of “</w:t>
            </w:r>
            <w:proofErr w:type="spellStart"/>
            <w:r>
              <w:rPr>
                <w:sz w:val="14"/>
                <w:szCs w:val="16"/>
                <w:lang w:val="en-GB"/>
              </w:rPr>
              <w:t>xbrldt:hypercubeItem</w:t>
            </w:r>
            <w:proofErr w:type="spellEnd"/>
            <w:r>
              <w:rPr>
                <w:sz w:val="14"/>
                <w:szCs w:val="16"/>
                <w:lang w:val="en-GB"/>
              </w:rPr>
              <w:t>”</w:t>
            </w:r>
          </w:p>
        </w:tc>
      </w:tr>
      <w:tr w:rsidR="00DA4EFA" w:rsidRPr="00201438" w14:paraId="3D0A90C6" w14:textId="77777777" w:rsidTr="00565BAE">
        <w:trPr>
          <w:cantSplit/>
        </w:trPr>
        <w:tc>
          <w:tcPr>
            <w:tcW w:w="2340" w:type="dxa"/>
          </w:tcPr>
          <w:p w14:paraId="4EFCB509" w14:textId="77777777" w:rsidR="00DA4EFA" w:rsidRPr="00FC1D74" w:rsidRDefault="00DA4EFA" w:rsidP="00D60837">
            <w:pPr>
              <w:pStyle w:val="BodyText"/>
              <w:spacing w:before="0" w:after="0"/>
              <w:jc w:val="left"/>
              <w:rPr>
                <w:b/>
                <w:sz w:val="14"/>
                <w:szCs w:val="16"/>
                <w:lang w:val="en-GB"/>
              </w:rPr>
            </w:pPr>
            <w:r w:rsidRPr="00A33FB4">
              <w:rPr>
                <w:b/>
                <w:sz w:val="14"/>
                <w:szCs w:val="16"/>
                <w:lang w:val="en-GB"/>
              </w:rPr>
              <w:t>Characteristic description</w:t>
            </w:r>
            <w:r>
              <w:rPr>
                <w:sz w:val="14"/>
                <w:szCs w:val="16"/>
                <w:lang w:val="en-GB"/>
              </w:rPr>
              <w:t xml:space="preserve"> –  </w:t>
            </w:r>
            <w:r w:rsidRPr="007A4502">
              <w:rPr>
                <w:sz w:val="14"/>
                <w:szCs w:val="16"/>
                <w:lang w:val="en-GB"/>
              </w:rPr>
              <w:t>This is part of a characteristic</w:t>
            </w:r>
            <w:r>
              <w:rPr>
                <w:sz w:val="14"/>
                <w:szCs w:val="16"/>
                <w:lang w:val="en-GB"/>
              </w:rPr>
              <w:t>; the description of the characteristic</w:t>
            </w:r>
          </w:p>
        </w:tc>
        <w:tc>
          <w:tcPr>
            <w:tcW w:w="2070" w:type="dxa"/>
            <w:shd w:val="clear" w:color="auto" w:fill="FBD4B4" w:themeFill="accent6" w:themeFillTint="66"/>
          </w:tcPr>
          <w:p w14:paraId="4FB9FA41" w14:textId="77777777" w:rsidR="00DA4EFA" w:rsidRDefault="00DA4EFA" w:rsidP="00D60837">
            <w:pPr>
              <w:pStyle w:val="BodyText"/>
              <w:spacing w:before="0" w:after="0"/>
              <w:jc w:val="left"/>
              <w:rPr>
                <w:i/>
                <w:sz w:val="14"/>
                <w:szCs w:val="16"/>
                <w:lang w:val="en-GB"/>
              </w:rPr>
            </w:pPr>
            <w:r>
              <w:rPr>
                <w:i/>
                <w:sz w:val="14"/>
                <w:szCs w:val="16"/>
                <w:lang w:val="en-GB"/>
              </w:rPr>
              <w:t>The “Legal entity” to which a fact relates</w:t>
            </w:r>
          </w:p>
        </w:tc>
        <w:tc>
          <w:tcPr>
            <w:tcW w:w="2340" w:type="dxa"/>
          </w:tcPr>
          <w:p w14:paraId="2CC25D3E" w14:textId="77777777" w:rsidR="00DA4EFA" w:rsidRDefault="00DA4EFA" w:rsidP="00D60837">
            <w:pPr>
              <w:pStyle w:val="BodyText"/>
              <w:spacing w:before="0" w:after="0"/>
              <w:jc w:val="left"/>
              <w:rPr>
                <w:sz w:val="14"/>
                <w:szCs w:val="16"/>
                <w:lang w:val="en-GB"/>
              </w:rPr>
            </w:pPr>
            <w:r w:rsidRPr="004C06B4">
              <w:rPr>
                <w:b/>
                <w:sz w:val="14"/>
                <w:szCs w:val="16"/>
                <w:lang w:val="en-GB"/>
              </w:rPr>
              <w:t>[Axis]</w:t>
            </w:r>
            <w:r>
              <w:rPr>
                <w:sz w:val="14"/>
                <w:szCs w:val="16"/>
                <w:lang w:val="en-GB"/>
              </w:rPr>
              <w:t xml:space="preserve"> (must have a type of “</w:t>
            </w:r>
            <w:proofErr w:type="spellStart"/>
            <w:r>
              <w:rPr>
                <w:sz w:val="14"/>
                <w:szCs w:val="16"/>
                <w:lang w:val="en-GB"/>
              </w:rPr>
              <w:t>nonnum:domainMemberItem</w:t>
            </w:r>
            <w:proofErr w:type="spellEnd"/>
            <w:r>
              <w:rPr>
                <w:sz w:val="14"/>
                <w:szCs w:val="16"/>
                <w:lang w:val="en-GB"/>
              </w:rPr>
              <w:t>”, period must be “duration”, must not have a balance attribute, must be abstract)</w:t>
            </w:r>
          </w:p>
        </w:tc>
        <w:tc>
          <w:tcPr>
            <w:tcW w:w="2250" w:type="dxa"/>
          </w:tcPr>
          <w:p w14:paraId="377FCDE5" w14:textId="77777777" w:rsidR="00DA4EFA" w:rsidRDefault="00DA4EFA" w:rsidP="00D60837">
            <w:pPr>
              <w:pStyle w:val="BodyText"/>
              <w:spacing w:before="0" w:after="0"/>
              <w:jc w:val="left"/>
              <w:rPr>
                <w:sz w:val="14"/>
                <w:szCs w:val="16"/>
                <w:lang w:val="en-GB"/>
              </w:rPr>
            </w:pPr>
            <w:r>
              <w:rPr>
                <w:sz w:val="14"/>
                <w:szCs w:val="16"/>
                <w:lang w:val="en-GB"/>
              </w:rPr>
              <w:t xml:space="preserve">XBRL Dimensions dimension which is XML schema element with the </w:t>
            </w:r>
            <w:proofErr w:type="spellStart"/>
            <w:r>
              <w:rPr>
                <w:sz w:val="14"/>
                <w:szCs w:val="16"/>
                <w:lang w:val="en-GB"/>
              </w:rPr>
              <w:t>substitutionGroup</w:t>
            </w:r>
            <w:proofErr w:type="spellEnd"/>
            <w:r>
              <w:rPr>
                <w:sz w:val="14"/>
                <w:szCs w:val="16"/>
                <w:lang w:val="en-GB"/>
              </w:rPr>
              <w:t xml:space="preserve"> value of “</w:t>
            </w:r>
            <w:proofErr w:type="spellStart"/>
            <w:r>
              <w:rPr>
                <w:sz w:val="14"/>
                <w:szCs w:val="16"/>
                <w:lang w:val="en-GB"/>
              </w:rPr>
              <w:t>xbrldt:dimensionItem</w:t>
            </w:r>
            <w:proofErr w:type="spellEnd"/>
            <w:r>
              <w:rPr>
                <w:sz w:val="14"/>
                <w:szCs w:val="16"/>
                <w:lang w:val="en-GB"/>
              </w:rPr>
              <w:t xml:space="preserve">”; some characteristics are expressed within an XBRL instance as a context; the concept is expressed using XML Schema elements which have the </w:t>
            </w:r>
            <w:proofErr w:type="spellStart"/>
            <w:r>
              <w:rPr>
                <w:sz w:val="14"/>
                <w:szCs w:val="16"/>
                <w:lang w:val="en-GB"/>
              </w:rPr>
              <w:t>substitutionGroup</w:t>
            </w:r>
            <w:proofErr w:type="spellEnd"/>
            <w:r>
              <w:rPr>
                <w:sz w:val="14"/>
                <w:szCs w:val="16"/>
                <w:lang w:val="en-GB"/>
              </w:rPr>
              <w:t xml:space="preserve"> value of “</w:t>
            </w:r>
            <w:proofErr w:type="spellStart"/>
            <w:r>
              <w:rPr>
                <w:sz w:val="14"/>
                <w:szCs w:val="16"/>
                <w:lang w:val="en-GB"/>
              </w:rPr>
              <w:t>xbrli:item</w:t>
            </w:r>
            <w:proofErr w:type="spellEnd"/>
            <w:r>
              <w:rPr>
                <w:sz w:val="14"/>
                <w:szCs w:val="16"/>
                <w:lang w:val="en-GB"/>
              </w:rPr>
              <w:t>”.  XBRL Formula refers to this as an “aspect”</w:t>
            </w:r>
          </w:p>
        </w:tc>
      </w:tr>
      <w:tr w:rsidR="00DA4EFA" w:rsidRPr="00201438" w14:paraId="07756554" w14:textId="77777777" w:rsidTr="00565BAE">
        <w:trPr>
          <w:cantSplit/>
        </w:trPr>
        <w:tc>
          <w:tcPr>
            <w:tcW w:w="2340" w:type="dxa"/>
          </w:tcPr>
          <w:p w14:paraId="5960D9D0" w14:textId="77777777" w:rsidR="00DA4EFA" w:rsidRDefault="00DA4EFA" w:rsidP="00D60837">
            <w:pPr>
              <w:pStyle w:val="BodyText"/>
              <w:spacing w:before="0" w:after="0"/>
              <w:jc w:val="left"/>
              <w:rPr>
                <w:sz w:val="14"/>
                <w:szCs w:val="16"/>
                <w:lang w:val="en-GB"/>
              </w:rPr>
            </w:pPr>
            <w:r w:rsidRPr="00FC1D74">
              <w:rPr>
                <w:b/>
                <w:sz w:val="14"/>
                <w:szCs w:val="16"/>
                <w:lang w:val="en-GB"/>
              </w:rPr>
              <w:t>Characteristic value</w:t>
            </w:r>
            <w:r>
              <w:rPr>
                <w:sz w:val="14"/>
                <w:szCs w:val="16"/>
                <w:lang w:val="en-GB"/>
              </w:rPr>
              <w:t xml:space="preserve"> – The value of a characteristic.</w:t>
            </w:r>
          </w:p>
        </w:tc>
        <w:tc>
          <w:tcPr>
            <w:tcW w:w="2070" w:type="dxa"/>
            <w:shd w:val="clear" w:color="auto" w:fill="FBD4B4" w:themeFill="accent6" w:themeFillTint="66"/>
          </w:tcPr>
          <w:p w14:paraId="7390F140" w14:textId="77777777" w:rsidR="00DA4EFA" w:rsidRPr="00A71EA8" w:rsidRDefault="00DA4EFA" w:rsidP="00D60837">
            <w:pPr>
              <w:pStyle w:val="BodyText"/>
              <w:spacing w:before="0" w:after="0"/>
              <w:jc w:val="left"/>
              <w:rPr>
                <w:i/>
                <w:sz w:val="14"/>
                <w:szCs w:val="16"/>
                <w:lang w:val="en-GB"/>
              </w:rPr>
            </w:pPr>
            <w:r>
              <w:rPr>
                <w:i/>
                <w:sz w:val="14"/>
                <w:szCs w:val="16"/>
                <w:lang w:val="en-GB"/>
              </w:rPr>
              <w:t>“Consolidated entity” is the value of “Legal Entity” characteristic</w:t>
            </w:r>
          </w:p>
        </w:tc>
        <w:tc>
          <w:tcPr>
            <w:tcW w:w="2340" w:type="dxa"/>
          </w:tcPr>
          <w:p w14:paraId="1A842BA6" w14:textId="77777777" w:rsidR="00DA4EFA" w:rsidRPr="004C06B4" w:rsidRDefault="00DA4EFA" w:rsidP="00D60837">
            <w:pPr>
              <w:pStyle w:val="BodyText"/>
              <w:spacing w:before="0" w:after="0"/>
              <w:jc w:val="left"/>
              <w:rPr>
                <w:b/>
                <w:sz w:val="14"/>
                <w:szCs w:val="16"/>
                <w:lang w:val="en-GB"/>
              </w:rPr>
            </w:pPr>
            <w:r w:rsidRPr="004C06B4">
              <w:rPr>
                <w:b/>
                <w:sz w:val="14"/>
                <w:szCs w:val="16"/>
                <w:lang w:val="en-GB"/>
              </w:rPr>
              <w:t>[Member]</w:t>
            </w:r>
          </w:p>
        </w:tc>
        <w:tc>
          <w:tcPr>
            <w:tcW w:w="2250" w:type="dxa"/>
          </w:tcPr>
          <w:p w14:paraId="5B8B3B79" w14:textId="77777777" w:rsidR="00DA4EFA" w:rsidRPr="00266575" w:rsidRDefault="00DA4EFA" w:rsidP="00D60837">
            <w:pPr>
              <w:pStyle w:val="BodyText"/>
              <w:spacing w:before="0" w:after="0"/>
              <w:jc w:val="left"/>
              <w:rPr>
                <w:sz w:val="14"/>
                <w:szCs w:val="16"/>
                <w:lang w:val="en-GB"/>
              </w:rPr>
            </w:pPr>
            <w:r>
              <w:rPr>
                <w:sz w:val="14"/>
                <w:szCs w:val="16"/>
                <w:lang w:val="en-GB"/>
              </w:rPr>
              <w:t>XBRL Dimensions Member</w:t>
            </w:r>
          </w:p>
        </w:tc>
      </w:tr>
      <w:tr w:rsidR="00DA4EFA" w:rsidRPr="00201438" w14:paraId="3CFC8FB2" w14:textId="77777777" w:rsidTr="00565BAE">
        <w:trPr>
          <w:cantSplit/>
        </w:trPr>
        <w:tc>
          <w:tcPr>
            <w:tcW w:w="2340" w:type="dxa"/>
          </w:tcPr>
          <w:p w14:paraId="3DBD0F39" w14:textId="77777777" w:rsidR="00DA4EFA" w:rsidRDefault="00DA4EFA" w:rsidP="00D60837">
            <w:pPr>
              <w:pStyle w:val="BodyText"/>
              <w:spacing w:before="0" w:after="0"/>
              <w:jc w:val="left"/>
              <w:rPr>
                <w:sz w:val="14"/>
                <w:szCs w:val="16"/>
                <w:lang w:val="en-GB"/>
              </w:rPr>
            </w:pPr>
            <w:r w:rsidRPr="00FC1D74">
              <w:rPr>
                <w:b/>
                <w:sz w:val="14"/>
                <w:szCs w:val="16"/>
                <w:lang w:val="en-GB"/>
              </w:rPr>
              <w:t>Line items</w:t>
            </w:r>
            <w:r>
              <w:rPr>
                <w:sz w:val="14"/>
                <w:szCs w:val="16"/>
                <w:lang w:val="en-GB"/>
              </w:rPr>
              <w:t xml:space="preserve"> – Set of concepts </w:t>
            </w:r>
          </w:p>
        </w:tc>
        <w:tc>
          <w:tcPr>
            <w:tcW w:w="2070" w:type="dxa"/>
            <w:shd w:val="clear" w:color="auto" w:fill="FBD4B4" w:themeFill="accent6" w:themeFillTint="66"/>
          </w:tcPr>
          <w:p w14:paraId="18FDD108" w14:textId="77777777" w:rsidR="00DA4EFA" w:rsidRPr="00A71EA8" w:rsidRDefault="00DA4EFA" w:rsidP="00D60837">
            <w:pPr>
              <w:pStyle w:val="BodyText"/>
              <w:spacing w:before="0" w:after="0"/>
              <w:jc w:val="left"/>
              <w:rPr>
                <w:i/>
                <w:sz w:val="14"/>
                <w:szCs w:val="16"/>
                <w:lang w:val="en-GB"/>
              </w:rPr>
            </w:pPr>
            <w:r w:rsidRPr="00A71EA8">
              <w:rPr>
                <w:i/>
                <w:sz w:val="14"/>
                <w:szCs w:val="16"/>
                <w:lang w:val="en-GB"/>
              </w:rPr>
              <w:t>Assets [Roll up] of a balance sheet</w:t>
            </w:r>
          </w:p>
        </w:tc>
        <w:tc>
          <w:tcPr>
            <w:tcW w:w="2340" w:type="dxa"/>
          </w:tcPr>
          <w:p w14:paraId="5C48D2C8" w14:textId="77777777" w:rsidR="00DA4EFA" w:rsidRPr="004C06B4" w:rsidRDefault="00DA4EFA" w:rsidP="00D60837">
            <w:pPr>
              <w:pStyle w:val="BodyText"/>
              <w:spacing w:before="0" w:after="0"/>
              <w:jc w:val="left"/>
              <w:rPr>
                <w:b/>
                <w:sz w:val="14"/>
                <w:szCs w:val="16"/>
                <w:lang w:val="en-GB"/>
              </w:rPr>
            </w:pPr>
            <w:r w:rsidRPr="004C06B4">
              <w:rPr>
                <w:b/>
                <w:sz w:val="14"/>
                <w:szCs w:val="16"/>
                <w:lang w:val="en-GB"/>
              </w:rPr>
              <w:t>[Line Items]</w:t>
            </w:r>
          </w:p>
        </w:tc>
        <w:tc>
          <w:tcPr>
            <w:tcW w:w="2250" w:type="dxa"/>
          </w:tcPr>
          <w:p w14:paraId="70CB294E" w14:textId="77777777" w:rsidR="00DA4EFA" w:rsidRPr="00266575" w:rsidRDefault="00DA4EFA" w:rsidP="00D60837">
            <w:pPr>
              <w:pStyle w:val="BodyText"/>
              <w:spacing w:before="0" w:after="0"/>
              <w:jc w:val="left"/>
              <w:rPr>
                <w:sz w:val="14"/>
                <w:szCs w:val="16"/>
                <w:lang w:val="en-GB"/>
              </w:rPr>
            </w:pPr>
            <w:r>
              <w:rPr>
                <w:sz w:val="14"/>
                <w:szCs w:val="16"/>
                <w:lang w:val="en-GB"/>
              </w:rPr>
              <w:t>Primary Items</w:t>
            </w:r>
          </w:p>
        </w:tc>
      </w:tr>
      <w:tr w:rsidR="00DA4EFA" w:rsidRPr="00201438" w14:paraId="7648326E" w14:textId="77777777" w:rsidTr="00565BAE">
        <w:trPr>
          <w:cantSplit/>
        </w:trPr>
        <w:tc>
          <w:tcPr>
            <w:tcW w:w="2340" w:type="dxa"/>
          </w:tcPr>
          <w:p w14:paraId="40216AF8" w14:textId="77777777" w:rsidR="00DA4EFA" w:rsidRPr="007A4502" w:rsidRDefault="00DA4EFA" w:rsidP="00D60837">
            <w:pPr>
              <w:pStyle w:val="BodyText"/>
              <w:spacing w:before="0" w:after="0"/>
              <w:jc w:val="left"/>
              <w:rPr>
                <w:sz w:val="14"/>
                <w:szCs w:val="16"/>
                <w:lang w:val="en-GB"/>
              </w:rPr>
            </w:pPr>
            <w:r w:rsidRPr="00F17FB0">
              <w:rPr>
                <w:b/>
                <w:sz w:val="14"/>
                <w:szCs w:val="16"/>
                <w:lang w:val="en-GB"/>
              </w:rPr>
              <w:t>Line Item</w:t>
            </w:r>
            <w:r>
              <w:rPr>
                <w:sz w:val="14"/>
                <w:szCs w:val="16"/>
                <w:lang w:val="en-GB"/>
              </w:rPr>
              <w:t xml:space="preserve"> – This is the concept characteristic</w:t>
            </w:r>
          </w:p>
        </w:tc>
        <w:tc>
          <w:tcPr>
            <w:tcW w:w="2070" w:type="dxa"/>
            <w:shd w:val="clear" w:color="auto" w:fill="FBD4B4" w:themeFill="accent6" w:themeFillTint="66"/>
          </w:tcPr>
          <w:p w14:paraId="5D11749F" w14:textId="77777777" w:rsidR="00DA4EFA" w:rsidRDefault="00DA4EFA" w:rsidP="00D60837">
            <w:pPr>
              <w:pStyle w:val="BodyText"/>
              <w:spacing w:before="0" w:after="0"/>
              <w:jc w:val="left"/>
              <w:rPr>
                <w:i/>
                <w:sz w:val="14"/>
                <w:szCs w:val="16"/>
                <w:lang w:val="en-GB"/>
              </w:rPr>
            </w:pPr>
            <w:r>
              <w:rPr>
                <w:i/>
                <w:sz w:val="14"/>
                <w:szCs w:val="16"/>
                <w:lang w:val="en-GB"/>
              </w:rPr>
              <w:t>Cash and cash equivalents; Assets; Net income (loss)</w:t>
            </w:r>
          </w:p>
        </w:tc>
        <w:tc>
          <w:tcPr>
            <w:tcW w:w="2340" w:type="dxa"/>
          </w:tcPr>
          <w:p w14:paraId="01B3F160" w14:textId="77777777" w:rsidR="00DA4EFA" w:rsidRDefault="00DA4EFA" w:rsidP="00D60837">
            <w:pPr>
              <w:pStyle w:val="BodyText"/>
              <w:spacing w:before="0" w:after="0"/>
              <w:jc w:val="left"/>
              <w:rPr>
                <w:sz w:val="14"/>
                <w:szCs w:val="16"/>
                <w:lang w:val="en-GB"/>
              </w:rPr>
            </w:pPr>
            <w:r w:rsidRPr="00BD6D28">
              <w:rPr>
                <w:b/>
                <w:sz w:val="14"/>
                <w:szCs w:val="16"/>
                <w:lang w:val="en-GB"/>
              </w:rPr>
              <w:t>Concept</w:t>
            </w:r>
            <w:r>
              <w:rPr>
                <w:sz w:val="14"/>
                <w:szCs w:val="16"/>
                <w:lang w:val="en-GB"/>
              </w:rPr>
              <w:t xml:space="preserve"> or </w:t>
            </w:r>
            <w:r w:rsidRPr="00BD6D28">
              <w:rPr>
                <w:b/>
                <w:sz w:val="14"/>
                <w:szCs w:val="16"/>
                <w:lang w:val="en-GB"/>
              </w:rPr>
              <w:t>Line Item</w:t>
            </w:r>
            <w:r>
              <w:rPr>
                <w:sz w:val="14"/>
                <w:szCs w:val="16"/>
                <w:lang w:val="en-GB"/>
              </w:rPr>
              <w:t xml:space="preserve"> (one line item from the set of [Line Items])</w:t>
            </w:r>
          </w:p>
        </w:tc>
        <w:tc>
          <w:tcPr>
            <w:tcW w:w="2250" w:type="dxa"/>
          </w:tcPr>
          <w:p w14:paraId="6F3F9BC8" w14:textId="77777777" w:rsidR="00DA4EFA" w:rsidRDefault="00DA4EFA" w:rsidP="00D60837">
            <w:pPr>
              <w:pStyle w:val="BodyText"/>
              <w:spacing w:before="0" w:after="0"/>
              <w:jc w:val="left"/>
              <w:rPr>
                <w:sz w:val="14"/>
                <w:szCs w:val="16"/>
                <w:lang w:val="en-GB"/>
              </w:rPr>
            </w:pPr>
            <w:r>
              <w:rPr>
                <w:sz w:val="14"/>
                <w:szCs w:val="16"/>
                <w:lang w:val="en-GB"/>
              </w:rPr>
              <w:t xml:space="preserve">XML schema element with the </w:t>
            </w:r>
            <w:proofErr w:type="spellStart"/>
            <w:r>
              <w:rPr>
                <w:sz w:val="14"/>
                <w:szCs w:val="16"/>
                <w:lang w:val="en-GB"/>
              </w:rPr>
              <w:t>substitutionGroup</w:t>
            </w:r>
            <w:proofErr w:type="spellEnd"/>
            <w:r>
              <w:rPr>
                <w:sz w:val="14"/>
                <w:szCs w:val="16"/>
                <w:lang w:val="en-GB"/>
              </w:rPr>
              <w:t xml:space="preserve"> value of “</w:t>
            </w:r>
            <w:proofErr w:type="spellStart"/>
            <w:r>
              <w:rPr>
                <w:sz w:val="14"/>
                <w:szCs w:val="16"/>
                <w:lang w:val="en-GB"/>
              </w:rPr>
              <w:t>xbrli:item</w:t>
            </w:r>
            <w:proofErr w:type="spellEnd"/>
            <w:r>
              <w:rPr>
                <w:sz w:val="14"/>
                <w:szCs w:val="16"/>
                <w:lang w:val="en-GB"/>
              </w:rPr>
              <w:t>”, a specific type, a specific period, and a specific balance; must NOT be abstract.</w:t>
            </w:r>
          </w:p>
        </w:tc>
      </w:tr>
      <w:tr w:rsidR="00DA4EFA" w:rsidRPr="00201438" w14:paraId="3A83E2EB" w14:textId="77777777" w:rsidTr="00565BAE">
        <w:trPr>
          <w:cantSplit/>
        </w:trPr>
        <w:tc>
          <w:tcPr>
            <w:tcW w:w="2340" w:type="dxa"/>
          </w:tcPr>
          <w:p w14:paraId="4AC39095" w14:textId="77777777" w:rsidR="00DA4EFA" w:rsidRDefault="00DA4EFA" w:rsidP="00D60837">
            <w:pPr>
              <w:pStyle w:val="BodyText"/>
              <w:spacing w:before="0" w:after="0"/>
              <w:jc w:val="left"/>
              <w:rPr>
                <w:sz w:val="14"/>
                <w:szCs w:val="16"/>
                <w:lang w:val="en-GB"/>
              </w:rPr>
            </w:pPr>
            <w:r w:rsidRPr="003F03E3">
              <w:rPr>
                <w:b/>
                <w:sz w:val="14"/>
                <w:szCs w:val="16"/>
                <w:lang w:val="en-GB"/>
              </w:rPr>
              <w:t>Fact</w:t>
            </w:r>
            <w:r>
              <w:rPr>
                <w:sz w:val="14"/>
                <w:szCs w:val="16"/>
                <w:lang w:val="en-GB"/>
              </w:rPr>
              <w:t xml:space="preserve"> – Intersection of characteristics, a value, traits of the value if numeric, and parenthetical information</w:t>
            </w:r>
          </w:p>
        </w:tc>
        <w:tc>
          <w:tcPr>
            <w:tcW w:w="2070" w:type="dxa"/>
            <w:shd w:val="clear" w:color="auto" w:fill="FBD4B4" w:themeFill="accent6" w:themeFillTint="66"/>
          </w:tcPr>
          <w:p w14:paraId="4B8E9040" w14:textId="77777777" w:rsidR="00DA4EFA" w:rsidRPr="00A71EA8" w:rsidRDefault="00DA4EFA" w:rsidP="00D60837">
            <w:pPr>
              <w:pStyle w:val="BodyText"/>
              <w:spacing w:before="0" w:after="0"/>
              <w:jc w:val="left"/>
              <w:rPr>
                <w:i/>
                <w:sz w:val="14"/>
                <w:szCs w:val="16"/>
                <w:lang w:val="en-GB"/>
              </w:rPr>
            </w:pPr>
            <w:r w:rsidRPr="00A71EA8">
              <w:rPr>
                <w:i/>
                <w:sz w:val="14"/>
                <w:szCs w:val="16"/>
                <w:lang w:val="en-GB"/>
              </w:rPr>
              <w:t>Value of 1000 for the concept “Cash and cash equivalents” for the legal entity “consolidated entity” for the period ended “December 31, 2010” expressed in US Dollars rounded to millions</w:t>
            </w:r>
          </w:p>
        </w:tc>
        <w:tc>
          <w:tcPr>
            <w:tcW w:w="2340" w:type="dxa"/>
          </w:tcPr>
          <w:p w14:paraId="3740C536" w14:textId="77777777" w:rsidR="00DA4EFA" w:rsidRPr="004C06B4" w:rsidRDefault="00DA4EFA" w:rsidP="00D60837">
            <w:pPr>
              <w:pStyle w:val="BodyText"/>
              <w:spacing w:before="0" w:after="0"/>
              <w:jc w:val="left"/>
              <w:rPr>
                <w:b/>
                <w:sz w:val="14"/>
                <w:szCs w:val="16"/>
                <w:lang w:val="en-GB"/>
              </w:rPr>
            </w:pPr>
            <w:r w:rsidRPr="004C06B4">
              <w:rPr>
                <w:b/>
                <w:sz w:val="14"/>
                <w:szCs w:val="16"/>
                <w:lang w:val="en-GB"/>
              </w:rPr>
              <w:t>Fact</w:t>
            </w:r>
          </w:p>
        </w:tc>
        <w:tc>
          <w:tcPr>
            <w:tcW w:w="2250" w:type="dxa"/>
          </w:tcPr>
          <w:p w14:paraId="4ADA79EA" w14:textId="77777777" w:rsidR="00DA4EFA" w:rsidRPr="00266575" w:rsidRDefault="00DA4EFA" w:rsidP="00D60837">
            <w:pPr>
              <w:pStyle w:val="BodyText"/>
              <w:spacing w:before="0" w:after="0"/>
              <w:jc w:val="left"/>
              <w:rPr>
                <w:sz w:val="14"/>
                <w:szCs w:val="16"/>
                <w:lang w:val="en-GB"/>
              </w:rPr>
            </w:pPr>
            <w:r>
              <w:rPr>
                <w:sz w:val="14"/>
                <w:szCs w:val="16"/>
                <w:lang w:val="en-GB"/>
              </w:rPr>
              <w:t>Simple fact (compound facts are not allowed)</w:t>
            </w:r>
          </w:p>
        </w:tc>
      </w:tr>
      <w:tr w:rsidR="00DA4EFA" w:rsidRPr="00201438" w14:paraId="7D3C9B2C" w14:textId="77777777" w:rsidTr="00565BAE">
        <w:trPr>
          <w:cantSplit/>
        </w:trPr>
        <w:tc>
          <w:tcPr>
            <w:tcW w:w="2340" w:type="dxa"/>
          </w:tcPr>
          <w:p w14:paraId="70A53433" w14:textId="77777777" w:rsidR="00DA4EFA" w:rsidRDefault="00DA4EFA" w:rsidP="00D60837">
            <w:pPr>
              <w:pStyle w:val="BodyText"/>
              <w:spacing w:before="0" w:after="0"/>
              <w:jc w:val="left"/>
              <w:rPr>
                <w:sz w:val="14"/>
                <w:szCs w:val="16"/>
                <w:lang w:val="en-GB"/>
              </w:rPr>
            </w:pPr>
            <w:r w:rsidRPr="003F03E3">
              <w:rPr>
                <w:b/>
                <w:sz w:val="14"/>
                <w:szCs w:val="16"/>
                <w:lang w:val="en-GB"/>
              </w:rPr>
              <w:t>Relations</w:t>
            </w:r>
            <w:r>
              <w:rPr>
                <w:sz w:val="14"/>
                <w:szCs w:val="16"/>
                <w:lang w:val="en-GB"/>
              </w:rPr>
              <w:t xml:space="preserve"> – The relation from one concept to another concept.</w:t>
            </w:r>
          </w:p>
        </w:tc>
        <w:tc>
          <w:tcPr>
            <w:tcW w:w="2070" w:type="dxa"/>
            <w:shd w:val="clear" w:color="auto" w:fill="FBD4B4" w:themeFill="accent6" w:themeFillTint="66"/>
          </w:tcPr>
          <w:p w14:paraId="0CD078C6" w14:textId="77777777" w:rsidR="00DA4EFA" w:rsidRPr="00A71EA8" w:rsidRDefault="00DA4EFA" w:rsidP="00D60837">
            <w:pPr>
              <w:pStyle w:val="BodyText"/>
              <w:spacing w:before="0" w:after="0"/>
              <w:jc w:val="left"/>
              <w:rPr>
                <w:i/>
                <w:sz w:val="14"/>
                <w:szCs w:val="16"/>
                <w:lang w:val="en-GB"/>
              </w:rPr>
            </w:pPr>
            <w:r w:rsidRPr="00A71EA8">
              <w:rPr>
                <w:i/>
                <w:sz w:val="14"/>
                <w:szCs w:val="16"/>
                <w:lang w:val="en-GB"/>
              </w:rPr>
              <w:t>Assets = Liabilities + Equity;</w:t>
            </w:r>
          </w:p>
          <w:p w14:paraId="34B5FB4D" w14:textId="77777777" w:rsidR="00DA4EFA" w:rsidRPr="00A71EA8" w:rsidRDefault="00DA4EFA" w:rsidP="00D60837">
            <w:pPr>
              <w:pStyle w:val="BodyText"/>
              <w:spacing w:before="0" w:after="0"/>
              <w:jc w:val="left"/>
              <w:rPr>
                <w:i/>
                <w:sz w:val="14"/>
                <w:szCs w:val="16"/>
                <w:lang w:val="en-GB"/>
              </w:rPr>
            </w:pPr>
            <w:r w:rsidRPr="00A71EA8">
              <w:rPr>
                <w:i/>
                <w:sz w:val="14"/>
                <w:szCs w:val="16"/>
                <w:lang w:val="en-GB"/>
              </w:rPr>
              <w:t>Beginning cash + net cash flows = ending cash</w:t>
            </w:r>
          </w:p>
        </w:tc>
        <w:tc>
          <w:tcPr>
            <w:tcW w:w="2340" w:type="dxa"/>
          </w:tcPr>
          <w:p w14:paraId="44769BBA" w14:textId="77777777" w:rsidR="00DA4EFA" w:rsidRPr="008F579C" w:rsidRDefault="00DA4EFA" w:rsidP="00D60837">
            <w:pPr>
              <w:pStyle w:val="BodyText"/>
              <w:spacing w:before="0" w:after="0"/>
              <w:jc w:val="left"/>
              <w:rPr>
                <w:sz w:val="14"/>
                <w:szCs w:val="16"/>
                <w:lang w:val="en-GB"/>
              </w:rPr>
            </w:pPr>
            <w:r>
              <w:rPr>
                <w:sz w:val="14"/>
                <w:szCs w:val="16"/>
                <w:lang w:val="en-GB"/>
              </w:rPr>
              <w:t>Business rules, Domain partition aggregation model, Information model</w:t>
            </w:r>
          </w:p>
        </w:tc>
        <w:tc>
          <w:tcPr>
            <w:tcW w:w="2250" w:type="dxa"/>
          </w:tcPr>
          <w:p w14:paraId="154117D9" w14:textId="77777777" w:rsidR="00DA4EFA" w:rsidRDefault="00DA4EFA" w:rsidP="00D60837">
            <w:pPr>
              <w:pStyle w:val="BodyText"/>
              <w:spacing w:before="0" w:after="0"/>
              <w:jc w:val="left"/>
              <w:rPr>
                <w:sz w:val="14"/>
                <w:szCs w:val="16"/>
                <w:lang w:val="en-GB"/>
              </w:rPr>
            </w:pPr>
            <w:r>
              <w:rPr>
                <w:sz w:val="14"/>
                <w:szCs w:val="16"/>
                <w:lang w:val="en-GB"/>
              </w:rPr>
              <w:t>Presentation relations, calculation relations, definition relations, XBRL Formula</w:t>
            </w:r>
          </w:p>
        </w:tc>
      </w:tr>
      <w:tr w:rsidR="00DA4EFA" w:rsidRPr="00201438" w14:paraId="2E8E1A86" w14:textId="77777777" w:rsidTr="00565BAE">
        <w:trPr>
          <w:cantSplit/>
        </w:trPr>
        <w:tc>
          <w:tcPr>
            <w:tcW w:w="2340" w:type="dxa"/>
          </w:tcPr>
          <w:p w14:paraId="1919E1CB" w14:textId="77777777" w:rsidR="00DA4EFA" w:rsidRDefault="00DA4EFA" w:rsidP="00D60837">
            <w:pPr>
              <w:pStyle w:val="BodyText"/>
              <w:spacing w:before="0" w:after="0"/>
              <w:jc w:val="left"/>
              <w:rPr>
                <w:sz w:val="14"/>
                <w:szCs w:val="16"/>
                <w:lang w:val="en-GB"/>
              </w:rPr>
            </w:pPr>
            <w:r w:rsidRPr="00FC1D74">
              <w:rPr>
                <w:b/>
                <w:sz w:val="14"/>
                <w:szCs w:val="16"/>
                <w:lang w:val="en-GB"/>
              </w:rPr>
              <w:t>Relations</w:t>
            </w:r>
            <w:r>
              <w:rPr>
                <w:b/>
                <w:sz w:val="14"/>
                <w:szCs w:val="16"/>
                <w:lang w:val="en-GB"/>
              </w:rPr>
              <w:t xml:space="preserve"> between components</w:t>
            </w:r>
            <w:r>
              <w:rPr>
                <w:sz w:val="14"/>
                <w:szCs w:val="16"/>
                <w:lang w:val="en-GB"/>
              </w:rPr>
              <w:t xml:space="preserve"> – Flow, or the order or sequence of components</w:t>
            </w:r>
          </w:p>
        </w:tc>
        <w:tc>
          <w:tcPr>
            <w:tcW w:w="2070" w:type="dxa"/>
            <w:shd w:val="clear" w:color="auto" w:fill="FBD4B4" w:themeFill="accent6" w:themeFillTint="66"/>
          </w:tcPr>
          <w:p w14:paraId="10F7F780" w14:textId="77777777" w:rsidR="00DA4EFA" w:rsidRPr="00A71EA8" w:rsidRDefault="00DA4EFA" w:rsidP="00D60837">
            <w:pPr>
              <w:pStyle w:val="BodyText"/>
              <w:spacing w:before="0" w:after="0"/>
              <w:jc w:val="left"/>
              <w:rPr>
                <w:i/>
                <w:sz w:val="14"/>
                <w:szCs w:val="16"/>
                <w:lang w:val="en-GB"/>
              </w:rPr>
            </w:pPr>
            <w:r>
              <w:rPr>
                <w:i/>
                <w:sz w:val="14"/>
                <w:szCs w:val="16"/>
                <w:lang w:val="en-GB"/>
              </w:rPr>
              <w:t>Balance sheet, then income statement, then statement of changes in equity, …</w:t>
            </w:r>
          </w:p>
        </w:tc>
        <w:tc>
          <w:tcPr>
            <w:tcW w:w="2340" w:type="dxa"/>
          </w:tcPr>
          <w:p w14:paraId="13DE994F" w14:textId="77777777" w:rsidR="00DA4EFA" w:rsidRPr="008F579C" w:rsidRDefault="00DA4EFA" w:rsidP="00D60837">
            <w:pPr>
              <w:pStyle w:val="BodyText"/>
              <w:spacing w:before="0" w:after="0"/>
              <w:jc w:val="left"/>
              <w:rPr>
                <w:sz w:val="14"/>
                <w:szCs w:val="16"/>
                <w:lang w:val="en-GB"/>
              </w:rPr>
            </w:pPr>
            <w:r w:rsidRPr="004C06B4">
              <w:rPr>
                <w:b/>
                <w:sz w:val="14"/>
                <w:szCs w:val="16"/>
                <w:lang w:val="en-GB"/>
              </w:rPr>
              <w:t>Flow</w:t>
            </w:r>
            <w:r>
              <w:rPr>
                <w:sz w:val="14"/>
                <w:szCs w:val="16"/>
                <w:lang w:val="en-GB"/>
              </w:rPr>
              <w:t xml:space="preserve">, uses Network </w:t>
            </w:r>
            <w:r w:rsidRPr="00B12CA1">
              <w:rPr>
                <w:sz w:val="14"/>
                <w:szCs w:val="16"/>
                <w:lang w:val="en-GB"/>
              </w:rPr>
              <w:t>{</w:t>
            </w:r>
            <w:proofErr w:type="spellStart"/>
            <w:r w:rsidRPr="00B12CA1">
              <w:rPr>
                <w:sz w:val="14"/>
                <w:szCs w:val="16"/>
                <w:lang w:val="en-GB"/>
              </w:rPr>
              <w:t>SortCode</w:t>
            </w:r>
            <w:proofErr w:type="spellEnd"/>
            <w:r w:rsidRPr="00B12CA1">
              <w:rPr>
                <w:sz w:val="14"/>
                <w:szCs w:val="16"/>
                <w:lang w:val="en-GB"/>
              </w:rPr>
              <w:t>} - {Type} - {Title}</w:t>
            </w:r>
          </w:p>
        </w:tc>
        <w:tc>
          <w:tcPr>
            <w:tcW w:w="2250" w:type="dxa"/>
          </w:tcPr>
          <w:p w14:paraId="5DAC1AD4" w14:textId="77777777" w:rsidR="00DA4EFA" w:rsidRPr="00FC1D74" w:rsidRDefault="00DA4EFA" w:rsidP="00D60837">
            <w:pPr>
              <w:pStyle w:val="BodyText"/>
              <w:spacing w:before="0" w:after="0"/>
              <w:jc w:val="center"/>
              <w:rPr>
                <w:i/>
                <w:sz w:val="14"/>
                <w:szCs w:val="16"/>
                <w:lang w:val="en-GB"/>
              </w:rPr>
            </w:pPr>
            <w:r w:rsidRPr="00FC1D74">
              <w:rPr>
                <w:i/>
                <w:sz w:val="14"/>
                <w:szCs w:val="16"/>
                <w:lang w:val="en-GB"/>
              </w:rPr>
              <w:t>--Does not have this level--</w:t>
            </w:r>
          </w:p>
        </w:tc>
      </w:tr>
      <w:tr w:rsidR="00DA4EFA" w:rsidRPr="00201438" w14:paraId="56A41AAE" w14:textId="77777777" w:rsidTr="00565BAE">
        <w:trPr>
          <w:cantSplit/>
        </w:trPr>
        <w:tc>
          <w:tcPr>
            <w:tcW w:w="2340" w:type="dxa"/>
          </w:tcPr>
          <w:p w14:paraId="1C9C428D" w14:textId="77777777" w:rsidR="00DA4EFA" w:rsidRDefault="00DA4EFA" w:rsidP="00D60837">
            <w:pPr>
              <w:pStyle w:val="BodyText"/>
              <w:spacing w:before="0" w:after="0"/>
              <w:jc w:val="left"/>
              <w:rPr>
                <w:sz w:val="14"/>
                <w:szCs w:val="16"/>
                <w:lang w:val="en-GB"/>
              </w:rPr>
            </w:pPr>
            <w:r w:rsidRPr="00FC1D74">
              <w:rPr>
                <w:b/>
                <w:sz w:val="14"/>
                <w:szCs w:val="16"/>
                <w:lang w:val="en-GB"/>
              </w:rPr>
              <w:lastRenderedPageBreak/>
              <w:t>Relations</w:t>
            </w:r>
            <w:r>
              <w:rPr>
                <w:b/>
                <w:sz w:val="14"/>
                <w:szCs w:val="16"/>
                <w:lang w:val="en-GB"/>
              </w:rPr>
              <w:t xml:space="preserve"> between concepts</w:t>
            </w:r>
            <w:r>
              <w:rPr>
                <w:sz w:val="14"/>
                <w:szCs w:val="16"/>
                <w:lang w:val="en-GB"/>
              </w:rPr>
              <w:t xml:space="preserve"> – Relation between concepts within the concept characteristic</w:t>
            </w:r>
          </w:p>
        </w:tc>
        <w:tc>
          <w:tcPr>
            <w:tcW w:w="2070" w:type="dxa"/>
            <w:shd w:val="clear" w:color="auto" w:fill="FBD4B4" w:themeFill="accent6" w:themeFillTint="66"/>
          </w:tcPr>
          <w:p w14:paraId="31B1D3B8" w14:textId="77777777" w:rsidR="00DA4EFA" w:rsidRPr="00A71EA8" w:rsidRDefault="00DA4EFA" w:rsidP="00D60837">
            <w:pPr>
              <w:pStyle w:val="BodyText"/>
              <w:spacing w:before="0" w:after="0"/>
              <w:jc w:val="left"/>
              <w:rPr>
                <w:i/>
                <w:sz w:val="14"/>
                <w:szCs w:val="16"/>
                <w:lang w:val="en-GB"/>
              </w:rPr>
            </w:pPr>
            <w:r>
              <w:rPr>
                <w:i/>
                <w:sz w:val="14"/>
                <w:szCs w:val="16"/>
                <w:lang w:val="en-GB"/>
              </w:rPr>
              <w:t>Roll up, roll forward, hierarchy</w:t>
            </w:r>
          </w:p>
        </w:tc>
        <w:tc>
          <w:tcPr>
            <w:tcW w:w="2340" w:type="dxa"/>
          </w:tcPr>
          <w:p w14:paraId="0E14120A" w14:textId="77777777" w:rsidR="00DA4EFA" w:rsidRPr="008F579C" w:rsidRDefault="00DA4EFA" w:rsidP="00D60837">
            <w:pPr>
              <w:pStyle w:val="BodyText"/>
              <w:spacing w:before="0" w:after="0"/>
              <w:jc w:val="left"/>
              <w:rPr>
                <w:sz w:val="14"/>
                <w:szCs w:val="16"/>
                <w:lang w:val="en-GB"/>
              </w:rPr>
            </w:pPr>
            <w:r>
              <w:rPr>
                <w:sz w:val="14"/>
                <w:szCs w:val="16"/>
                <w:lang w:val="en-GB"/>
              </w:rPr>
              <w:t>Roll up, roll forward, hierarchy</w:t>
            </w:r>
          </w:p>
        </w:tc>
        <w:tc>
          <w:tcPr>
            <w:tcW w:w="2250" w:type="dxa"/>
          </w:tcPr>
          <w:p w14:paraId="3304B518" w14:textId="77777777" w:rsidR="00DA4EFA" w:rsidRPr="00FC1D74" w:rsidRDefault="00DA4EFA" w:rsidP="00D60837">
            <w:pPr>
              <w:pStyle w:val="BodyText"/>
              <w:spacing w:before="0" w:after="0"/>
              <w:jc w:val="center"/>
              <w:rPr>
                <w:i/>
                <w:sz w:val="14"/>
                <w:szCs w:val="16"/>
                <w:lang w:val="en-GB"/>
              </w:rPr>
            </w:pPr>
            <w:r w:rsidRPr="00FC1D74">
              <w:rPr>
                <w:i/>
                <w:sz w:val="14"/>
                <w:szCs w:val="16"/>
                <w:lang w:val="en-GB"/>
              </w:rPr>
              <w:t>--Does not have this level--</w:t>
            </w:r>
          </w:p>
        </w:tc>
      </w:tr>
      <w:tr w:rsidR="00DA4EFA" w:rsidRPr="00201438" w14:paraId="0D165959" w14:textId="77777777" w:rsidTr="00565BAE">
        <w:trPr>
          <w:cantSplit/>
        </w:trPr>
        <w:tc>
          <w:tcPr>
            <w:tcW w:w="2340" w:type="dxa"/>
          </w:tcPr>
          <w:p w14:paraId="70A0718E" w14:textId="77777777" w:rsidR="00DA4EFA" w:rsidRDefault="00DA4EFA" w:rsidP="00D60837">
            <w:pPr>
              <w:pStyle w:val="BodyText"/>
              <w:spacing w:before="0" w:after="0"/>
              <w:jc w:val="left"/>
              <w:rPr>
                <w:sz w:val="14"/>
                <w:szCs w:val="16"/>
                <w:lang w:val="en-GB"/>
              </w:rPr>
            </w:pPr>
            <w:r w:rsidRPr="00FC1D74">
              <w:rPr>
                <w:b/>
                <w:sz w:val="14"/>
                <w:szCs w:val="16"/>
                <w:lang w:val="en-GB"/>
              </w:rPr>
              <w:t>Relations</w:t>
            </w:r>
            <w:r>
              <w:rPr>
                <w:b/>
                <w:sz w:val="14"/>
                <w:szCs w:val="16"/>
                <w:lang w:val="en-GB"/>
              </w:rPr>
              <w:t xml:space="preserve"> between characteristics</w:t>
            </w:r>
            <w:r>
              <w:rPr>
                <w:sz w:val="14"/>
                <w:szCs w:val="16"/>
                <w:lang w:val="en-GB"/>
              </w:rPr>
              <w:t xml:space="preserve"> – Relations between characteristic members</w:t>
            </w:r>
          </w:p>
        </w:tc>
        <w:tc>
          <w:tcPr>
            <w:tcW w:w="2070" w:type="dxa"/>
            <w:shd w:val="clear" w:color="auto" w:fill="FBD4B4" w:themeFill="accent6" w:themeFillTint="66"/>
          </w:tcPr>
          <w:p w14:paraId="56314773" w14:textId="77777777" w:rsidR="00DA4EFA" w:rsidRDefault="00DA4EFA" w:rsidP="00D60837">
            <w:pPr>
              <w:pStyle w:val="BodyText"/>
              <w:spacing w:before="0" w:after="0"/>
              <w:jc w:val="left"/>
              <w:rPr>
                <w:i/>
                <w:sz w:val="14"/>
                <w:szCs w:val="16"/>
                <w:lang w:val="en-GB"/>
              </w:rPr>
            </w:pPr>
            <w:r>
              <w:rPr>
                <w:i/>
                <w:sz w:val="14"/>
                <w:szCs w:val="16"/>
                <w:lang w:val="en-GB"/>
              </w:rPr>
              <w:t>North America, United States, Canada</w:t>
            </w:r>
          </w:p>
        </w:tc>
        <w:tc>
          <w:tcPr>
            <w:tcW w:w="2340" w:type="dxa"/>
          </w:tcPr>
          <w:p w14:paraId="3B8EF226" w14:textId="77777777" w:rsidR="00DA4EFA" w:rsidRDefault="00DA4EFA" w:rsidP="00D60837">
            <w:pPr>
              <w:pStyle w:val="BodyText"/>
              <w:spacing w:before="0" w:after="0"/>
              <w:jc w:val="left"/>
              <w:rPr>
                <w:sz w:val="14"/>
                <w:szCs w:val="16"/>
                <w:lang w:val="en-GB"/>
              </w:rPr>
            </w:pPr>
            <w:r>
              <w:rPr>
                <w:sz w:val="14"/>
                <w:szCs w:val="16"/>
                <w:lang w:val="en-GB"/>
              </w:rPr>
              <w:t>Domain partition aggregation model</w:t>
            </w:r>
          </w:p>
        </w:tc>
        <w:tc>
          <w:tcPr>
            <w:tcW w:w="2250" w:type="dxa"/>
          </w:tcPr>
          <w:p w14:paraId="75EC80CE" w14:textId="77777777" w:rsidR="00DA4EFA" w:rsidRPr="00FC1D74" w:rsidRDefault="00DA4EFA" w:rsidP="00D60837">
            <w:pPr>
              <w:pStyle w:val="BodyText"/>
              <w:spacing w:before="0" w:after="0"/>
              <w:jc w:val="center"/>
              <w:rPr>
                <w:i/>
                <w:sz w:val="14"/>
                <w:szCs w:val="16"/>
                <w:lang w:val="en-GB"/>
              </w:rPr>
            </w:pPr>
            <w:r w:rsidRPr="00FC1D74">
              <w:rPr>
                <w:i/>
                <w:sz w:val="14"/>
                <w:szCs w:val="16"/>
                <w:lang w:val="en-GB"/>
              </w:rPr>
              <w:t>--Does not have this level--</w:t>
            </w:r>
          </w:p>
        </w:tc>
      </w:tr>
      <w:tr w:rsidR="00DA4EFA" w:rsidRPr="00201438" w14:paraId="13F1239E" w14:textId="77777777" w:rsidTr="00565BAE">
        <w:trPr>
          <w:cantSplit/>
        </w:trPr>
        <w:tc>
          <w:tcPr>
            <w:tcW w:w="2340" w:type="dxa"/>
          </w:tcPr>
          <w:p w14:paraId="2D6E5E36" w14:textId="77777777" w:rsidR="00DA4EFA" w:rsidRDefault="00DA4EFA" w:rsidP="00D60837">
            <w:pPr>
              <w:pStyle w:val="BodyText"/>
              <w:spacing w:before="0" w:after="0"/>
              <w:jc w:val="left"/>
              <w:rPr>
                <w:sz w:val="14"/>
                <w:szCs w:val="16"/>
                <w:lang w:val="en-GB"/>
              </w:rPr>
            </w:pPr>
            <w:r>
              <w:rPr>
                <w:sz w:val="14"/>
                <w:szCs w:val="16"/>
                <w:lang w:val="en-GB"/>
              </w:rPr>
              <w:t>Set of financial reports which are being worked with; reading one, comparing across period for same reporting entity; comparing one or more financial reports from multiple reporting entities</w:t>
            </w:r>
          </w:p>
        </w:tc>
        <w:tc>
          <w:tcPr>
            <w:tcW w:w="2070" w:type="dxa"/>
            <w:shd w:val="clear" w:color="auto" w:fill="FBD4B4" w:themeFill="accent6" w:themeFillTint="66"/>
          </w:tcPr>
          <w:p w14:paraId="7E20FDE7" w14:textId="77777777" w:rsidR="00DA4EFA" w:rsidRDefault="00DA4EFA" w:rsidP="00D60837">
            <w:pPr>
              <w:pStyle w:val="BodyText"/>
              <w:spacing w:before="0" w:after="0"/>
              <w:jc w:val="left"/>
              <w:rPr>
                <w:i/>
                <w:sz w:val="14"/>
                <w:szCs w:val="16"/>
                <w:lang w:val="en-GB"/>
              </w:rPr>
            </w:pPr>
            <w:r>
              <w:rPr>
                <w:i/>
                <w:sz w:val="14"/>
                <w:szCs w:val="16"/>
                <w:lang w:val="en-GB"/>
              </w:rPr>
              <w:t>Comparing IBM, Apple, and Microsoft</w:t>
            </w:r>
          </w:p>
        </w:tc>
        <w:tc>
          <w:tcPr>
            <w:tcW w:w="2340" w:type="dxa"/>
          </w:tcPr>
          <w:p w14:paraId="52B98146" w14:textId="77777777" w:rsidR="00DA4EFA" w:rsidRDefault="00DA4EFA" w:rsidP="00D60837">
            <w:pPr>
              <w:pStyle w:val="BodyText"/>
              <w:spacing w:before="0" w:after="0"/>
              <w:jc w:val="left"/>
              <w:rPr>
                <w:sz w:val="14"/>
                <w:szCs w:val="16"/>
                <w:lang w:val="en-GB"/>
              </w:rPr>
            </w:pPr>
            <w:r>
              <w:rPr>
                <w:sz w:val="14"/>
                <w:szCs w:val="16"/>
                <w:lang w:val="en-GB"/>
              </w:rPr>
              <w:t>De facto standard is the RSS Feed provided by SEC</w:t>
            </w:r>
          </w:p>
        </w:tc>
        <w:tc>
          <w:tcPr>
            <w:tcW w:w="2250" w:type="dxa"/>
          </w:tcPr>
          <w:p w14:paraId="31A14C19" w14:textId="77777777" w:rsidR="00DA4EFA" w:rsidRDefault="00DA4EFA" w:rsidP="00D60837">
            <w:pPr>
              <w:pStyle w:val="BodyText"/>
              <w:spacing w:before="0" w:after="0"/>
              <w:jc w:val="center"/>
              <w:rPr>
                <w:sz w:val="14"/>
                <w:szCs w:val="16"/>
                <w:lang w:val="en-GB"/>
              </w:rPr>
            </w:pPr>
            <w:r w:rsidRPr="00FC1D74">
              <w:rPr>
                <w:i/>
                <w:sz w:val="14"/>
                <w:szCs w:val="16"/>
                <w:lang w:val="en-GB"/>
              </w:rPr>
              <w:t>--Does not have this level--</w:t>
            </w:r>
          </w:p>
        </w:tc>
      </w:tr>
    </w:tbl>
    <w:p w14:paraId="24F01148" w14:textId="77777777" w:rsidR="00DA4EFA" w:rsidRDefault="00DA4EFA" w:rsidP="00200171"/>
    <w:p w14:paraId="28D3C96E" w14:textId="77777777" w:rsidR="00DA4EFA" w:rsidRDefault="00DA4EFA">
      <w:pPr>
        <w:rPr>
          <w:rFonts w:ascii="Arial" w:hAnsi="Arial" w:cs="Arial"/>
          <w:b/>
          <w:bCs/>
          <w:i/>
          <w:iCs/>
          <w:sz w:val="28"/>
          <w:szCs w:val="28"/>
          <w:lang w:val="en-GB"/>
        </w:rPr>
      </w:pPr>
      <w:r>
        <w:rPr>
          <w:lang w:val="en-GB"/>
        </w:rPr>
        <w:br w:type="page"/>
      </w:r>
    </w:p>
    <w:p w14:paraId="5FE3455E" w14:textId="77777777" w:rsidR="00DA4EFA" w:rsidRDefault="00DA4EFA" w:rsidP="00565BAE">
      <w:pPr>
        <w:pStyle w:val="Heading2"/>
        <w:rPr>
          <w:lang w:val="en-GB"/>
        </w:rPr>
      </w:pPr>
      <w:r w:rsidRPr="00565BAE">
        <w:rPr>
          <w:lang w:val="en-GB"/>
        </w:rPr>
        <w:lastRenderedPageBreak/>
        <w:t>Reconciliation of Financial Report Semantics and Dynamics Theory Terminology to XBRL Abstract Model 2.0</w:t>
      </w:r>
    </w:p>
    <w:p w14:paraId="2CE92122" w14:textId="77777777" w:rsidR="00DA4EFA" w:rsidRDefault="00DA4EFA" w:rsidP="00565BAE">
      <w:pPr>
        <w:pStyle w:val="BodyText"/>
        <w:rPr>
          <w:b/>
        </w:rPr>
      </w:pPr>
      <w:r>
        <w:rPr>
          <w:lang w:val="en-GB"/>
        </w:rPr>
        <w:t>Reconciles the Financial Report Semantics and Dynamics Theory conceptual model to the XBRL Abstract Model 2.0.</w:t>
      </w:r>
    </w:p>
    <w:p w14:paraId="06A8E41B" w14:textId="77777777" w:rsidR="00DA4EFA" w:rsidRDefault="00DA4EFA" w:rsidP="00200171"/>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26"/>
        <w:gridCol w:w="3780"/>
        <w:gridCol w:w="2314"/>
      </w:tblGrid>
      <w:tr w:rsidR="00DA4EFA" w:rsidRPr="00201438" w14:paraId="3D22FD0B" w14:textId="77777777" w:rsidTr="00565BAE">
        <w:trPr>
          <w:cantSplit/>
          <w:tblHeader/>
        </w:trPr>
        <w:tc>
          <w:tcPr>
            <w:tcW w:w="2726" w:type="dxa"/>
            <w:tcBorders>
              <w:bottom w:val="single" w:sz="4" w:space="0" w:color="auto"/>
            </w:tcBorders>
            <w:shd w:val="pct15" w:color="auto" w:fill="F79646" w:themeFill="accent6"/>
          </w:tcPr>
          <w:p w14:paraId="18438F9E" w14:textId="77777777" w:rsidR="00DA4EFA" w:rsidRPr="00A71EA8" w:rsidRDefault="00DA4EFA" w:rsidP="00D60837">
            <w:pPr>
              <w:pStyle w:val="BodyText"/>
              <w:spacing w:before="0" w:after="0"/>
              <w:jc w:val="center"/>
              <w:rPr>
                <w:b/>
                <w:i/>
                <w:sz w:val="14"/>
                <w:szCs w:val="16"/>
                <w:lang w:val="en-GB"/>
              </w:rPr>
            </w:pPr>
          </w:p>
          <w:p w14:paraId="72E94F87" w14:textId="77777777" w:rsidR="00DA4EFA" w:rsidRPr="00A71EA8" w:rsidRDefault="00DA4EFA" w:rsidP="00D60837">
            <w:pPr>
              <w:pStyle w:val="BodyText"/>
              <w:spacing w:before="0" w:after="0"/>
              <w:jc w:val="center"/>
              <w:rPr>
                <w:b/>
                <w:i/>
                <w:sz w:val="14"/>
                <w:szCs w:val="16"/>
                <w:lang w:val="en-GB"/>
              </w:rPr>
            </w:pPr>
            <w:r w:rsidRPr="00A71EA8">
              <w:rPr>
                <w:b/>
                <w:i/>
                <w:sz w:val="14"/>
                <w:szCs w:val="16"/>
                <w:lang w:val="en-GB"/>
              </w:rPr>
              <w:t>Example</w:t>
            </w:r>
          </w:p>
        </w:tc>
        <w:tc>
          <w:tcPr>
            <w:tcW w:w="3780" w:type="dxa"/>
            <w:shd w:val="pct20" w:color="auto" w:fill="auto"/>
          </w:tcPr>
          <w:p w14:paraId="7B9CD18B" w14:textId="77777777" w:rsidR="00DA4EFA" w:rsidRPr="00201438" w:rsidRDefault="00FC0121" w:rsidP="00D60837">
            <w:pPr>
              <w:pStyle w:val="BodyText"/>
              <w:spacing w:before="0" w:after="0"/>
              <w:jc w:val="left"/>
              <w:rPr>
                <w:b/>
                <w:sz w:val="14"/>
                <w:szCs w:val="16"/>
                <w:lang w:val="en-GB"/>
              </w:rPr>
            </w:pPr>
            <w:hyperlink r:id="rId8" w:history="1">
              <w:r w:rsidR="00DA4EFA" w:rsidRPr="0031110E">
                <w:rPr>
                  <w:rStyle w:val="Hyperlink"/>
                  <w:b/>
                  <w:sz w:val="14"/>
                  <w:szCs w:val="16"/>
                  <w:lang w:val="en-GB"/>
                </w:rPr>
                <w:t>Financial Report Semantics and Dynamics Theory</w:t>
              </w:r>
            </w:hyperlink>
            <w:r w:rsidR="00DA4EFA">
              <w:rPr>
                <w:b/>
                <w:sz w:val="14"/>
                <w:szCs w:val="16"/>
                <w:lang w:val="en-GB"/>
              </w:rPr>
              <w:t xml:space="preserve"> Object</w:t>
            </w:r>
          </w:p>
        </w:tc>
        <w:tc>
          <w:tcPr>
            <w:tcW w:w="2314" w:type="dxa"/>
            <w:shd w:val="pct20" w:color="auto" w:fill="auto"/>
          </w:tcPr>
          <w:p w14:paraId="4A1FCA17" w14:textId="77777777" w:rsidR="00DA4EFA" w:rsidRDefault="00DA4EFA" w:rsidP="00D60837">
            <w:pPr>
              <w:pStyle w:val="BodyText"/>
              <w:spacing w:before="0" w:after="0"/>
              <w:jc w:val="center"/>
              <w:rPr>
                <w:b/>
                <w:sz w:val="14"/>
                <w:szCs w:val="16"/>
                <w:lang w:val="en-GB"/>
              </w:rPr>
            </w:pPr>
          </w:p>
          <w:p w14:paraId="4098B34A" w14:textId="77777777" w:rsidR="00DA4EFA" w:rsidRPr="00201438" w:rsidRDefault="00DA4EFA" w:rsidP="00D60837">
            <w:pPr>
              <w:pStyle w:val="BodyText"/>
              <w:spacing w:before="0" w:after="0"/>
              <w:jc w:val="center"/>
              <w:rPr>
                <w:b/>
                <w:sz w:val="14"/>
                <w:szCs w:val="16"/>
                <w:lang w:val="en-GB"/>
              </w:rPr>
            </w:pPr>
            <w:r>
              <w:rPr>
                <w:b/>
                <w:sz w:val="14"/>
                <w:szCs w:val="16"/>
                <w:lang w:val="en-GB"/>
              </w:rPr>
              <w:t xml:space="preserve"> </w:t>
            </w:r>
            <w:hyperlink r:id="rId9" w:history="1">
              <w:r w:rsidRPr="005A2CCD">
                <w:rPr>
                  <w:rStyle w:val="Hyperlink"/>
                  <w:b/>
                  <w:sz w:val="14"/>
                  <w:szCs w:val="16"/>
                  <w:lang w:val="en-GB"/>
                </w:rPr>
                <w:t>XBRL Abstract Model 2.0</w:t>
              </w:r>
            </w:hyperlink>
            <w:r>
              <w:rPr>
                <w:b/>
                <w:sz w:val="14"/>
                <w:szCs w:val="16"/>
                <w:lang w:val="en-GB"/>
              </w:rPr>
              <w:t xml:space="preserve"> Object</w:t>
            </w:r>
          </w:p>
        </w:tc>
      </w:tr>
      <w:tr w:rsidR="00DA4EFA" w:rsidRPr="00201438" w14:paraId="1DC7CDF0" w14:textId="77777777" w:rsidTr="00565BAE">
        <w:trPr>
          <w:cantSplit/>
        </w:trPr>
        <w:tc>
          <w:tcPr>
            <w:tcW w:w="2726" w:type="dxa"/>
            <w:shd w:val="clear" w:color="auto" w:fill="FBD4B4" w:themeFill="accent6" w:themeFillTint="66"/>
          </w:tcPr>
          <w:p w14:paraId="02525CB3" w14:textId="77777777" w:rsidR="00DA4EFA" w:rsidRPr="00A71EA8" w:rsidRDefault="00DA4EFA" w:rsidP="00D60837">
            <w:pPr>
              <w:pStyle w:val="BodyText"/>
              <w:spacing w:before="0" w:after="0"/>
              <w:jc w:val="left"/>
              <w:rPr>
                <w:i/>
                <w:sz w:val="14"/>
                <w:szCs w:val="16"/>
                <w:lang w:val="en-GB"/>
              </w:rPr>
            </w:pPr>
            <w:r w:rsidRPr="00A71EA8">
              <w:rPr>
                <w:i/>
                <w:sz w:val="14"/>
                <w:szCs w:val="16"/>
                <w:lang w:val="en-GB"/>
              </w:rPr>
              <w:t>Financial statement portion of a 10-Q or 10-K; financial statement issued by a private entity</w:t>
            </w:r>
          </w:p>
        </w:tc>
        <w:tc>
          <w:tcPr>
            <w:tcW w:w="3780" w:type="dxa"/>
          </w:tcPr>
          <w:p w14:paraId="2CBB005E" w14:textId="77777777" w:rsidR="00DA4EFA" w:rsidRDefault="00DA4EFA" w:rsidP="00D60837">
            <w:pPr>
              <w:pStyle w:val="BodyText"/>
              <w:spacing w:before="0" w:after="0"/>
              <w:jc w:val="left"/>
              <w:rPr>
                <w:sz w:val="14"/>
                <w:szCs w:val="16"/>
                <w:lang w:val="en-GB"/>
              </w:rPr>
            </w:pPr>
            <w:r w:rsidRPr="00205DB8">
              <w:rPr>
                <w:b/>
                <w:sz w:val="14"/>
                <w:szCs w:val="16"/>
                <w:lang w:val="en-GB"/>
              </w:rPr>
              <w:t>Financial report</w:t>
            </w:r>
            <w:r>
              <w:rPr>
                <w:sz w:val="14"/>
                <w:szCs w:val="16"/>
                <w:lang w:val="en-GB"/>
              </w:rPr>
              <w:t xml:space="preserve"> – A financial statement plus supplementary financial information. Financial report can be broken down into components.</w:t>
            </w:r>
          </w:p>
        </w:tc>
        <w:tc>
          <w:tcPr>
            <w:tcW w:w="2314" w:type="dxa"/>
          </w:tcPr>
          <w:p w14:paraId="1D09D89D" w14:textId="77777777" w:rsidR="00DA4EFA" w:rsidRPr="00266575" w:rsidRDefault="00DA4EFA" w:rsidP="00D60837">
            <w:pPr>
              <w:pStyle w:val="BodyText"/>
              <w:spacing w:before="0" w:after="0"/>
              <w:jc w:val="left"/>
              <w:rPr>
                <w:sz w:val="14"/>
                <w:szCs w:val="16"/>
                <w:lang w:val="en-GB"/>
              </w:rPr>
            </w:pPr>
            <w:r>
              <w:rPr>
                <w:sz w:val="14"/>
                <w:szCs w:val="16"/>
                <w:lang w:val="en-GB"/>
              </w:rPr>
              <w:t>Document or Manifest</w:t>
            </w:r>
          </w:p>
        </w:tc>
      </w:tr>
      <w:tr w:rsidR="00DA4EFA" w:rsidRPr="00201438" w14:paraId="1D03A9B4" w14:textId="77777777" w:rsidTr="00565BAE">
        <w:trPr>
          <w:cantSplit/>
        </w:trPr>
        <w:tc>
          <w:tcPr>
            <w:tcW w:w="2726" w:type="dxa"/>
            <w:shd w:val="clear" w:color="auto" w:fill="FBD4B4" w:themeFill="accent6" w:themeFillTint="66"/>
          </w:tcPr>
          <w:p w14:paraId="15342DEE" w14:textId="77777777" w:rsidR="00DA4EFA" w:rsidRDefault="00DA4EFA" w:rsidP="00D60837">
            <w:pPr>
              <w:pStyle w:val="BodyText"/>
              <w:spacing w:before="0" w:after="0"/>
              <w:jc w:val="left"/>
              <w:rPr>
                <w:i/>
                <w:sz w:val="14"/>
                <w:szCs w:val="16"/>
                <w:lang w:val="en-GB"/>
              </w:rPr>
            </w:pPr>
            <w:r>
              <w:rPr>
                <w:i/>
                <w:sz w:val="14"/>
                <w:szCs w:val="16"/>
                <w:lang w:val="en-GB"/>
              </w:rPr>
              <w:t>See the examples from each rudimentary or primitive piece above</w:t>
            </w:r>
          </w:p>
        </w:tc>
        <w:tc>
          <w:tcPr>
            <w:tcW w:w="3780" w:type="dxa"/>
          </w:tcPr>
          <w:p w14:paraId="0DD2D0B7" w14:textId="77777777" w:rsidR="00DA4EFA" w:rsidRDefault="00DA4EFA" w:rsidP="00D60837">
            <w:pPr>
              <w:pStyle w:val="BodyText"/>
              <w:spacing w:before="0" w:after="0"/>
              <w:jc w:val="left"/>
              <w:rPr>
                <w:sz w:val="14"/>
                <w:szCs w:val="16"/>
                <w:lang w:val="en-GB"/>
              </w:rPr>
            </w:pPr>
            <w:r w:rsidRPr="00560862">
              <w:rPr>
                <w:b/>
                <w:sz w:val="14"/>
                <w:szCs w:val="16"/>
                <w:lang w:val="en-GB"/>
              </w:rPr>
              <w:t>Financial report rudiments</w:t>
            </w:r>
            <w:r>
              <w:rPr>
                <w:sz w:val="14"/>
                <w:szCs w:val="16"/>
                <w:lang w:val="en-GB"/>
              </w:rPr>
              <w:t xml:space="preserve"> – One of the primitive building blocks or objects of a financial report: financial report, component, characteristic, fact, parenthetical explanation, relation</w:t>
            </w:r>
          </w:p>
        </w:tc>
        <w:tc>
          <w:tcPr>
            <w:tcW w:w="2314" w:type="dxa"/>
          </w:tcPr>
          <w:p w14:paraId="6B9DBA5E" w14:textId="77777777" w:rsidR="00DA4EFA" w:rsidRPr="00560862" w:rsidRDefault="00DA4EFA" w:rsidP="00D60837">
            <w:pPr>
              <w:pStyle w:val="BodyText"/>
              <w:spacing w:before="0" w:after="0"/>
              <w:jc w:val="left"/>
              <w:rPr>
                <w:sz w:val="14"/>
                <w:szCs w:val="16"/>
                <w:lang w:val="en-GB"/>
              </w:rPr>
            </w:pPr>
            <w:r>
              <w:rPr>
                <w:sz w:val="14"/>
                <w:szCs w:val="16"/>
                <w:lang w:val="en-GB"/>
              </w:rPr>
              <w:t>Model Element</w:t>
            </w:r>
          </w:p>
        </w:tc>
      </w:tr>
      <w:tr w:rsidR="00DA4EFA" w:rsidRPr="00201438" w14:paraId="06DBC8C4" w14:textId="77777777" w:rsidTr="00565BAE">
        <w:trPr>
          <w:cantSplit/>
        </w:trPr>
        <w:tc>
          <w:tcPr>
            <w:tcW w:w="2726" w:type="dxa"/>
            <w:shd w:val="clear" w:color="auto" w:fill="FBD4B4" w:themeFill="accent6" w:themeFillTint="66"/>
          </w:tcPr>
          <w:p w14:paraId="3092141E" w14:textId="77777777" w:rsidR="00DA4EFA" w:rsidRPr="00A71EA8" w:rsidRDefault="00DA4EFA" w:rsidP="00D60837">
            <w:pPr>
              <w:pStyle w:val="BodyText"/>
              <w:spacing w:before="0" w:after="0"/>
              <w:jc w:val="left"/>
              <w:rPr>
                <w:i/>
                <w:sz w:val="14"/>
                <w:szCs w:val="16"/>
                <w:lang w:val="en-GB"/>
              </w:rPr>
            </w:pPr>
            <w:r w:rsidRPr="00A71EA8">
              <w:rPr>
                <w:i/>
                <w:sz w:val="14"/>
                <w:szCs w:val="16"/>
                <w:lang w:val="en-GB"/>
              </w:rPr>
              <w:t>Balance sheet, significant accounting policies, maturities of long-term debt</w:t>
            </w:r>
          </w:p>
        </w:tc>
        <w:tc>
          <w:tcPr>
            <w:tcW w:w="3780" w:type="dxa"/>
          </w:tcPr>
          <w:p w14:paraId="6F1A7F70" w14:textId="77777777" w:rsidR="00DA4EFA" w:rsidRDefault="00DA4EFA" w:rsidP="00D60837">
            <w:pPr>
              <w:pStyle w:val="BodyText"/>
              <w:spacing w:before="0" w:after="0"/>
              <w:jc w:val="left"/>
              <w:rPr>
                <w:sz w:val="14"/>
                <w:szCs w:val="16"/>
                <w:lang w:val="en-GB"/>
              </w:rPr>
            </w:pPr>
            <w:r w:rsidRPr="00205DB8">
              <w:rPr>
                <w:b/>
                <w:sz w:val="14"/>
                <w:szCs w:val="16"/>
                <w:lang w:val="en-GB"/>
              </w:rPr>
              <w:t>Component</w:t>
            </w:r>
            <w:r>
              <w:rPr>
                <w:sz w:val="14"/>
                <w:szCs w:val="16"/>
                <w:lang w:val="en-GB"/>
              </w:rPr>
              <w:t xml:space="preserve"> – A portion of a financial report.  Made up of facts which go together for some specific purpose and the relations between facts and relations between characteristics.</w:t>
            </w:r>
          </w:p>
          <w:p w14:paraId="6697E2E5" w14:textId="77777777" w:rsidR="00DA4EFA" w:rsidRDefault="00DA4EFA" w:rsidP="00D60837">
            <w:pPr>
              <w:pStyle w:val="BodyText"/>
              <w:spacing w:before="0" w:after="0"/>
              <w:jc w:val="left"/>
              <w:rPr>
                <w:sz w:val="14"/>
                <w:szCs w:val="16"/>
                <w:lang w:val="en-GB"/>
              </w:rPr>
            </w:pPr>
          </w:p>
          <w:p w14:paraId="6BE86B17" w14:textId="77777777" w:rsidR="00DA4EFA" w:rsidRDefault="00DA4EFA" w:rsidP="00D60837">
            <w:pPr>
              <w:pStyle w:val="BodyText"/>
              <w:spacing w:before="0" w:after="0"/>
              <w:jc w:val="left"/>
              <w:rPr>
                <w:sz w:val="14"/>
                <w:szCs w:val="16"/>
                <w:lang w:val="en-GB"/>
              </w:rPr>
            </w:pPr>
            <w:r>
              <w:rPr>
                <w:sz w:val="14"/>
                <w:szCs w:val="16"/>
                <w:lang w:val="en-GB"/>
              </w:rPr>
              <w:t>(Common terms for this are array, matrix, hypercube, cube)</w:t>
            </w:r>
          </w:p>
        </w:tc>
        <w:tc>
          <w:tcPr>
            <w:tcW w:w="2314" w:type="dxa"/>
          </w:tcPr>
          <w:p w14:paraId="4E6153E1" w14:textId="77777777" w:rsidR="00DA4EFA" w:rsidRDefault="00DA4EFA" w:rsidP="00D60837">
            <w:pPr>
              <w:pStyle w:val="BodyText"/>
              <w:spacing w:before="0" w:after="0"/>
              <w:jc w:val="left"/>
              <w:rPr>
                <w:sz w:val="14"/>
                <w:szCs w:val="16"/>
                <w:lang w:val="en-GB"/>
              </w:rPr>
            </w:pPr>
            <w:r>
              <w:rPr>
                <w:sz w:val="14"/>
                <w:szCs w:val="16"/>
                <w:lang w:val="en-GB"/>
              </w:rPr>
              <w:t>Cube, Cube Region</w:t>
            </w:r>
          </w:p>
        </w:tc>
      </w:tr>
      <w:tr w:rsidR="00DA4EFA" w:rsidRPr="00201438" w14:paraId="752F433A" w14:textId="77777777" w:rsidTr="00565BAE">
        <w:trPr>
          <w:cantSplit/>
        </w:trPr>
        <w:tc>
          <w:tcPr>
            <w:tcW w:w="2726" w:type="dxa"/>
            <w:shd w:val="clear" w:color="auto" w:fill="FBD4B4" w:themeFill="accent6" w:themeFillTint="66"/>
          </w:tcPr>
          <w:p w14:paraId="38B1BB81" w14:textId="77777777" w:rsidR="00DA4EFA" w:rsidRPr="00A71EA8" w:rsidRDefault="00DA4EFA" w:rsidP="00D60837">
            <w:pPr>
              <w:pStyle w:val="BodyText"/>
              <w:spacing w:before="0" w:after="0"/>
              <w:jc w:val="left"/>
              <w:rPr>
                <w:i/>
                <w:sz w:val="14"/>
                <w:szCs w:val="16"/>
                <w:lang w:val="en-GB"/>
              </w:rPr>
            </w:pPr>
            <w:r>
              <w:rPr>
                <w:i/>
                <w:sz w:val="14"/>
                <w:szCs w:val="16"/>
                <w:lang w:val="en-GB"/>
              </w:rPr>
              <w:t xml:space="preserve">Reporting entity with CIK number 1234567890; </w:t>
            </w:r>
            <w:r w:rsidRPr="00A71EA8">
              <w:rPr>
                <w:i/>
                <w:sz w:val="14"/>
                <w:szCs w:val="16"/>
                <w:lang w:val="en-GB"/>
              </w:rPr>
              <w:t>Legal entity of “consolidated entity”; Period of “2011-21-31”</w:t>
            </w:r>
            <w:r>
              <w:rPr>
                <w:i/>
                <w:sz w:val="14"/>
                <w:szCs w:val="16"/>
                <w:lang w:val="en-GB"/>
              </w:rPr>
              <w:t>; Property, plant and equipment class of “Land”</w:t>
            </w:r>
          </w:p>
        </w:tc>
        <w:tc>
          <w:tcPr>
            <w:tcW w:w="3780" w:type="dxa"/>
          </w:tcPr>
          <w:p w14:paraId="15731577" w14:textId="77777777" w:rsidR="00DA4EFA" w:rsidRPr="004F644B" w:rsidRDefault="00DA4EFA" w:rsidP="00D60837">
            <w:pPr>
              <w:pStyle w:val="BodyText"/>
              <w:spacing w:before="0" w:after="0"/>
              <w:jc w:val="left"/>
              <w:rPr>
                <w:sz w:val="14"/>
                <w:szCs w:val="16"/>
                <w:lang w:val="en-GB"/>
              </w:rPr>
            </w:pPr>
            <w:r w:rsidRPr="003F03E3">
              <w:rPr>
                <w:b/>
                <w:sz w:val="14"/>
                <w:szCs w:val="16"/>
                <w:lang w:val="en-GB"/>
              </w:rPr>
              <w:t>Characteristic</w:t>
            </w:r>
            <w:r>
              <w:rPr>
                <w:sz w:val="14"/>
                <w:szCs w:val="16"/>
                <w:lang w:val="en-GB"/>
              </w:rPr>
              <w:t xml:space="preserve"> – Describes a fact.  Made up of a characteristic and the value of that characteristic.</w:t>
            </w:r>
          </w:p>
        </w:tc>
        <w:tc>
          <w:tcPr>
            <w:tcW w:w="2314" w:type="dxa"/>
          </w:tcPr>
          <w:p w14:paraId="7B0B2249" w14:textId="77777777" w:rsidR="00DA4EFA" w:rsidRPr="00266575" w:rsidRDefault="00DA4EFA" w:rsidP="00D60837">
            <w:pPr>
              <w:pStyle w:val="BodyText"/>
              <w:spacing w:before="0" w:after="0"/>
              <w:jc w:val="left"/>
              <w:rPr>
                <w:sz w:val="14"/>
                <w:szCs w:val="16"/>
                <w:lang w:val="en-GB"/>
              </w:rPr>
            </w:pPr>
            <w:r>
              <w:rPr>
                <w:sz w:val="14"/>
                <w:szCs w:val="16"/>
                <w:lang w:val="en-GB"/>
              </w:rPr>
              <w:t>Aspect</w:t>
            </w:r>
          </w:p>
        </w:tc>
      </w:tr>
      <w:tr w:rsidR="00DA4EFA" w:rsidRPr="00201438" w14:paraId="6C024638" w14:textId="77777777" w:rsidTr="00565BAE">
        <w:trPr>
          <w:cantSplit/>
        </w:trPr>
        <w:tc>
          <w:tcPr>
            <w:tcW w:w="2726" w:type="dxa"/>
            <w:shd w:val="clear" w:color="auto" w:fill="FBD4B4" w:themeFill="accent6" w:themeFillTint="66"/>
          </w:tcPr>
          <w:p w14:paraId="3132F9E3" w14:textId="77777777" w:rsidR="00DA4EFA" w:rsidRPr="00A71EA8" w:rsidRDefault="00DA4EFA" w:rsidP="00D60837">
            <w:pPr>
              <w:pStyle w:val="BodyText"/>
              <w:spacing w:before="0" w:after="0"/>
              <w:jc w:val="left"/>
              <w:rPr>
                <w:i/>
                <w:sz w:val="14"/>
                <w:szCs w:val="16"/>
                <w:lang w:val="en-GB"/>
              </w:rPr>
            </w:pPr>
            <w:r w:rsidRPr="00A71EA8">
              <w:rPr>
                <w:i/>
                <w:sz w:val="14"/>
                <w:szCs w:val="16"/>
                <w:lang w:val="en-GB"/>
              </w:rPr>
              <w:t>Assets = Liabilities + Equity;</w:t>
            </w:r>
          </w:p>
          <w:p w14:paraId="0BA95003" w14:textId="77777777" w:rsidR="00DA4EFA" w:rsidRPr="00A71EA8" w:rsidRDefault="00DA4EFA" w:rsidP="00D60837">
            <w:pPr>
              <w:pStyle w:val="BodyText"/>
              <w:spacing w:before="0" w:after="0"/>
              <w:jc w:val="left"/>
              <w:rPr>
                <w:i/>
                <w:sz w:val="14"/>
                <w:szCs w:val="16"/>
                <w:lang w:val="en-GB"/>
              </w:rPr>
            </w:pPr>
            <w:r w:rsidRPr="00A71EA8">
              <w:rPr>
                <w:i/>
                <w:sz w:val="14"/>
                <w:szCs w:val="16"/>
                <w:lang w:val="en-GB"/>
              </w:rPr>
              <w:t>Beginning cash + net cash flows = ending cash</w:t>
            </w:r>
          </w:p>
        </w:tc>
        <w:tc>
          <w:tcPr>
            <w:tcW w:w="3780" w:type="dxa"/>
          </w:tcPr>
          <w:p w14:paraId="796F2EB2" w14:textId="77777777" w:rsidR="00DA4EFA" w:rsidRDefault="00DA4EFA" w:rsidP="00D60837">
            <w:pPr>
              <w:pStyle w:val="BodyText"/>
              <w:spacing w:before="0" w:after="0"/>
              <w:jc w:val="left"/>
              <w:rPr>
                <w:sz w:val="14"/>
                <w:szCs w:val="16"/>
                <w:lang w:val="en-GB"/>
              </w:rPr>
            </w:pPr>
            <w:r>
              <w:rPr>
                <w:b/>
                <w:sz w:val="14"/>
                <w:szCs w:val="16"/>
                <w:lang w:val="en-GB"/>
              </w:rPr>
              <w:t>Relation</w:t>
            </w:r>
            <w:r>
              <w:rPr>
                <w:sz w:val="14"/>
                <w:szCs w:val="16"/>
                <w:lang w:val="en-GB"/>
              </w:rPr>
              <w:t xml:space="preserve"> – The relation from one object of a financial report to another object or objects.</w:t>
            </w:r>
          </w:p>
          <w:p w14:paraId="395F57ED" w14:textId="77777777" w:rsidR="00DA4EFA" w:rsidRDefault="00DA4EFA" w:rsidP="00D60837">
            <w:pPr>
              <w:pStyle w:val="BodyText"/>
              <w:spacing w:before="0" w:after="0"/>
              <w:jc w:val="left"/>
              <w:rPr>
                <w:sz w:val="14"/>
                <w:szCs w:val="16"/>
                <w:lang w:val="en-GB"/>
              </w:rPr>
            </w:pPr>
          </w:p>
          <w:p w14:paraId="19BD0348" w14:textId="77777777" w:rsidR="00DA4EFA" w:rsidRDefault="00DA4EFA" w:rsidP="00D60837">
            <w:pPr>
              <w:pStyle w:val="BodyText"/>
              <w:spacing w:before="0" w:after="0"/>
              <w:jc w:val="left"/>
              <w:rPr>
                <w:sz w:val="14"/>
                <w:szCs w:val="16"/>
                <w:lang w:val="en-GB"/>
              </w:rPr>
            </w:pPr>
            <w:r>
              <w:rPr>
                <w:sz w:val="14"/>
                <w:szCs w:val="16"/>
                <w:lang w:val="en-GB"/>
              </w:rPr>
              <w:t>(Business rules, model structure, report sequence or ordering are types of relations)</w:t>
            </w:r>
          </w:p>
        </w:tc>
        <w:tc>
          <w:tcPr>
            <w:tcW w:w="2314" w:type="dxa"/>
          </w:tcPr>
          <w:p w14:paraId="03338F04" w14:textId="77777777" w:rsidR="00DA4EFA" w:rsidRDefault="00DA4EFA" w:rsidP="00D60837">
            <w:pPr>
              <w:pStyle w:val="BodyText"/>
              <w:spacing w:before="0" w:after="0"/>
              <w:jc w:val="left"/>
              <w:rPr>
                <w:sz w:val="14"/>
                <w:szCs w:val="16"/>
                <w:lang w:val="en-GB"/>
              </w:rPr>
            </w:pPr>
            <w:r>
              <w:rPr>
                <w:sz w:val="14"/>
                <w:szCs w:val="16"/>
                <w:lang w:val="en-GB"/>
              </w:rPr>
              <w:t>Relation</w:t>
            </w:r>
          </w:p>
        </w:tc>
      </w:tr>
      <w:tr w:rsidR="00DA4EFA" w:rsidRPr="00201438" w14:paraId="54215352" w14:textId="77777777" w:rsidTr="00565BAE">
        <w:trPr>
          <w:cantSplit/>
        </w:trPr>
        <w:tc>
          <w:tcPr>
            <w:tcW w:w="2726" w:type="dxa"/>
            <w:shd w:val="clear" w:color="auto" w:fill="FBD4B4" w:themeFill="accent6" w:themeFillTint="66"/>
          </w:tcPr>
          <w:p w14:paraId="2E4CD446" w14:textId="77777777" w:rsidR="00DA4EFA" w:rsidRPr="00A71EA8" w:rsidRDefault="00DA4EFA" w:rsidP="00D60837">
            <w:pPr>
              <w:pStyle w:val="BodyText"/>
              <w:spacing w:before="0" w:after="0"/>
              <w:jc w:val="left"/>
              <w:rPr>
                <w:i/>
                <w:sz w:val="14"/>
                <w:szCs w:val="16"/>
                <w:lang w:val="en-GB"/>
              </w:rPr>
            </w:pPr>
            <w:r w:rsidRPr="00A71EA8">
              <w:rPr>
                <w:i/>
                <w:sz w:val="14"/>
                <w:szCs w:val="16"/>
                <w:lang w:val="en-GB"/>
              </w:rPr>
              <w:t>Value of 1000 for the concept “Cash and cash equivalents” for the legal entity “consolidated entity” for the period ended “December 31, 2010” expressed in US Dollars rounded to millions</w:t>
            </w:r>
          </w:p>
        </w:tc>
        <w:tc>
          <w:tcPr>
            <w:tcW w:w="3780" w:type="dxa"/>
          </w:tcPr>
          <w:p w14:paraId="54784AA2" w14:textId="77777777" w:rsidR="00DA4EFA" w:rsidRDefault="00DA4EFA" w:rsidP="00D60837">
            <w:pPr>
              <w:pStyle w:val="BodyText"/>
              <w:spacing w:before="0" w:after="0"/>
              <w:jc w:val="left"/>
              <w:rPr>
                <w:sz w:val="14"/>
                <w:szCs w:val="16"/>
                <w:lang w:val="en-GB"/>
              </w:rPr>
            </w:pPr>
            <w:r w:rsidRPr="003F03E3">
              <w:rPr>
                <w:b/>
                <w:sz w:val="14"/>
                <w:szCs w:val="16"/>
                <w:lang w:val="en-GB"/>
              </w:rPr>
              <w:t>Fact</w:t>
            </w:r>
            <w:r>
              <w:rPr>
                <w:sz w:val="14"/>
                <w:szCs w:val="16"/>
                <w:lang w:val="en-GB"/>
              </w:rPr>
              <w:t xml:space="preserve"> – </w:t>
            </w:r>
            <w:r w:rsidRPr="00212E87">
              <w:rPr>
                <w:sz w:val="14"/>
                <w:szCs w:val="16"/>
                <w:lang w:val="en-GB"/>
              </w:rPr>
              <w:t>A single, observable, reported piece of information</w:t>
            </w:r>
            <w:r>
              <w:rPr>
                <w:sz w:val="14"/>
                <w:szCs w:val="16"/>
                <w:lang w:val="en-GB"/>
              </w:rPr>
              <w:t>. Intersection of characteristics, a value, traits of the value if numeric, and parenthetical information</w:t>
            </w:r>
          </w:p>
        </w:tc>
        <w:tc>
          <w:tcPr>
            <w:tcW w:w="2314" w:type="dxa"/>
          </w:tcPr>
          <w:p w14:paraId="25D41473" w14:textId="77777777" w:rsidR="00DA4EFA" w:rsidRPr="00266575" w:rsidRDefault="00DA4EFA" w:rsidP="00D60837">
            <w:pPr>
              <w:pStyle w:val="BodyText"/>
              <w:spacing w:before="0" w:after="0"/>
              <w:jc w:val="left"/>
              <w:rPr>
                <w:sz w:val="14"/>
                <w:szCs w:val="16"/>
                <w:lang w:val="en-GB"/>
              </w:rPr>
            </w:pPr>
            <w:r>
              <w:rPr>
                <w:sz w:val="14"/>
                <w:szCs w:val="16"/>
                <w:lang w:val="en-GB"/>
              </w:rPr>
              <w:t>Data Point</w:t>
            </w:r>
          </w:p>
        </w:tc>
      </w:tr>
      <w:tr w:rsidR="00DA4EFA" w:rsidRPr="00201438" w14:paraId="60965FB1" w14:textId="77777777" w:rsidTr="00565BAE">
        <w:trPr>
          <w:cantSplit/>
        </w:trPr>
        <w:tc>
          <w:tcPr>
            <w:tcW w:w="2726" w:type="dxa"/>
            <w:shd w:val="clear" w:color="auto" w:fill="FBD4B4" w:themeFill="accent6" w:themeFillTint="66"/>
          </w:tcPr>
          <w:p w14:paraId="1D865EF0" w14:textId="77777777" w:rsidR="00DA4EFA" w:rsidRDefault="00DA4EFA" w:rsidP="00D60837">
            <w:pPr>
              <w:pStyle w:val="BodyText"/>
              <w:spacing w:before="0" w:after="0"/>
              <w:jc w:val="left"/>
              <w:rPr>
                <w:i/>
                <w:sz w:val="14"/>
                <w:szCs w:val="16"/>
                <w:lang w:val="en-GB"/>
              </w:rPr>
            </w:pPr>
            <w:r>
              <w:rPr>
                <w:i/>
                <w:sz w:val="14"/>
                <w:szCs w:val="16"/>
                <w:lang w:val="en-GB"/>
              </w:rPr>
              <w:t>Parenthetical explanation on the bottom of a page, a footnote to a financial fact</w:t>
            </w:r>
          </w:p>
        </w:tc>
        <w:tc>
          <w:tcPr>
            <w:tcW w:w="3780" w:type="dxa"/>
          </w:tcPr>
          <w:p w14:paraId="46F4D11D" w14:textId="77777777" w:rsidR="00DA4EFA" w:rsidRPr="00FC1D74" w:rsidRDefault="00DA4EFA" w:rsidP="00D60837">
            <w:pPr>
              <w:pStyle w:val="BodyText"/>
              <w:spacing w:before="0" w:after="0"/>
              <w:jc w:val="left"/>
              <w:rPr>
                <w:b/>
                <w:sz w:val="14"/>
                <w:szCs w:val="16"/>
                <w:lang w:val="en-GB"/>
              </w:rPr>
            </w:pPr>
            <w:r>
              <w:rPr>
                <w:b/>
                <w:sz w:val="14"/>
                <w:szCs w:val="16"/>
                <w:lang w:val="en-GB"/>
              </w:rPr>
              <w:t xml:space="preserve">Parenthetical explanation </w:t>
            </w:r>
            <w:r w:rsidRPr="00BD6D28">
              <w:rPr>
                <w:sz w:val="14"/>
                <w:szCs w:val="16"/>
                <w:lang w:val="en-GB"/>
              </w:rPr>
              <w:t>– provide additional descriptive information about a fact.</w:t>
            </w:r>
          </w:p>
        </w:tc>
        <w:tc>
          <w:tcPr>
            <w:tcW w:w="2314" w:type="dxa"/>
          </w:tcPr>
          <w:p w14:paraId="39071AA8" w14:textId="77777777" w:rsidR="00DA4EFA" w:rsidRPr="00FC1D74" w:rsidRDefault="00DA4EFA" w:rsidP="00D60837">
            <w:pPr>
              <w:pStyle w:val="BodyText"/>
              <w:spacing w:before="0" w:after="0"/>
              <w:jc w:val="left"/>
              <w:rPr>
                <w:i/>
                <w:sz w:val="14"/>
                <w:szCs w:val="16"/>
                <w:lang w:val="en-GB"/>
              </w:rPr>
            </w:pPr>
            <w:r>
              <w:rPr>
                <w:sz w:val="14"/>
                <w:szCs w:val="16"/>
                <w:lang w:val="en-GB"/>
              </w:rPr>
              <w:t>Footnote</w:t>
            </w:r>
          </w:p>
        </w:tc>
      </w:tr>
      <w:tr w:rsidR="00DA4EFA" w:rsidRPr="00201438" w14:paraId="461409C6" w14:textId="77777777" w:rsidTr="00565BAE">
        <w:trPr>
          <w:cantSplit/>
        </w:trPr>
        <w:tc>
          <w:tcPr>
            <w:tcW w:w="2726" w:type="dxa"/>
            <w:shd w:val="clear" w:color="auto" w:fill="FBD4B4" w:themeFill="accent6" w:themeFillTint="66"/>
          </w:tcPr>
          <w:p w14:paraId="03E20024" w14:textId="77777777" w:rsidR="00DA4EFA" w:rsidRPr="00A71EA8" w:rsidRDefault="00DA4EFA" w:rsidP="00D60837">
            <w:pPr>
              <w:pStyle w:val="BodyText"/>
              <w:spacing w:before="0" w:after="0"/>
              <w:jc w:val="left"/>
              <w:rPr>
                <w:i/>
                <w:sz w:val="14"/>
                <w:szCs w:val="16"/>
                <w:lang w:val="en-GB"/>
              </w:rPr>
            </w:pPr>
            <w:r>
              <w:rPr>
                <w:i/>
                <w:sz w:val="14"/>
                <w:szCs w:val="16"/>
                <w:lang w:val="en-GB"/>
              </w:rPr>
              <w:t>Roll up, roll forward, hierarchy</w:t>
            </w:r>
          </w:p>
        </w:tc>
        <w:tc>
          <w:tcPr>
            <w:tcW w:w="3780" w:type="dxa"/>
          </w:tcPr>
          <w:p w14:paraId="102C1BB4" w14:textId="77777777" w:rsidR="00DA4EFA" w:rsidRDefault="00DA4EFA" w:rsidP="00D60837">
            <w:pPr>
              <w:pStyle w:val="BodyText"/>
              <w:spacing w:before="0" w:after="0"/>
              <w:jc w:val="left"/>
              <w:rPr>
                <w:sz w:val="14"/>
                <w:szCs w:val="16"/>
                <w:lang w:val="en-GB"/>
              </w:rPr>
            </w:pPr>
            <w:r>
              <w:rPr>
                <w:sz w:val="14"/>
                <w:szCs w:val="16"/>
                <w:lang w:val="en-GB"/>
              </w:rPr>
              <w:t>Relation between concepts within the concept characteristic</w:t>
            </w:r>
          </w:p>
        </w:tc>
        <w:tc>
          <w:tcPr>
            <w:tcW w:w="2314" w:type="dxa"/>
          </w:tcPr>
          <w:p w14:paraId="072F8BD4" w14:textId="77777777" w:rsidR="00DA4EFA" w:rsidRPr="00FC1D74" w:rsidRDefault="00DA4EFA" w:rsidP="00D60837">
            <w:pPr>
              <w:pStyle w:val="BodyText"/>
              <w:spacing w:before="0" w:after="0"/>
              <w:jc w:val="left"/>
              <w:rPr>
                <w:i/>
                <w:sz w:val="14"/>
                <w:szCs w:val="16"/>
                <w:lang w:val="en-GB"/>
              </w:rPr>
            </w:pPr>
            <w:r>
              <w:rPr>
                <w:sz w:val="14"/>
                <w:szCs w:val="16"/>
                <w:lang w:val="en-GB"/>
              </w:rPr>
              <w:t>Relation</w:t>
            </w:r>
          </w:p>
        </w:tc>
      </w:tr>
      <w:tr w:rsidR="00DA4EFA" w:rsidRPr="00201438" w14:paraId="2F42549A" w14:textId="77777777" w:rsidTr="00565BAE">
        <w:trPr>
          <w:cantSplit/>
        </w:trPr>
        <w:tc>
          <w:tcPr>
            <w:tcW w:w="2726" w:type="dxa"/>
            <w:shd w:val="clear" w:color="auto" w:fill="FBD4B4" w:themeFill="accent6" w:themeFillTint="66"/>
          </w:tcPr>
          <w:p w14:paraId="09C7CEE5" w14:textId="77777777" w:rsidR="00DA4EFA" w:rsidRDefault="00DA4EFA" w:rsidP="00D60837">
            <w:pPr>
              <w:pStyle w:val="BodyText"/>
              <w:spacing w:before="0" w:after="0"/>
              <w:jc w:val="left"/>
              <w:rPr>
                <w:i/>
                <w:sz w:val="14"/>
                <w:szCs w:val="16"/>
                <w:lang w:val="en-GB"/>
              </w:rPr>
            </w:pPr>
            <w:r>
              <w:rPr>
                <w:i/>
                <w:sz w:val="14"/>
                <w:szCs w:val="16"/>
                <w:lang w:val="en-GB"/>
              </w:rPr>
              <w:t>North America, United States, Canada</w:t>
            </w:r>
          </w:p>
        </w:tc>
        <w:tc>
          <w:tcPr>
            <w:tcW w:w="3780" w:type="dxa"/>
          </w:tcPr>
          <w:p w14:paraId="5158D220" w14:textId="77777777" w:rsidR="00DA4EFA" w:rsidRDefault="00DA4EFA" w:rsidP="00D60837">
            <w:pPr>
              <w:pStyle w:val="BodyText"/>
              <w:spacing w:before="0" w:after="0"/>
              <w:jc w:val="left"/>
              <w:rPr>
                <w:sz w:val="14"/>
                <w:szCs w:val="16"/>
                <w:lang w:val="en-GB"/>
              </w:rPr>
            </w:pPr>
            <w:r>
              <w:rPr>
                <w:sz w:val="14"/>
                <w:szCs w:val="16"/>
                <w:lang w:val="en-GB"/>
              </w:rPr>
              <w:t>Relations between values of a characteristic</w:t>
            </w:r>
          </w:p>
        </w:tc>
        <w:tc>
          <w:tcPr>
            <w:tcW w:w="2314" w:type="dxa"/>
          </w:tcPr>
          <w:p w14:paraId="5781F289" w14:textId="77777777" w:rsidR="00DA4EFA" w:rsidRPr="00FC1D74" w:rsidRDefault="00DA4EFA" w:rsidP="00D60837">
            <w:pPr>
              <w:pStyle w:val="BodyText"/>
              <w:spacing w:before="0" w:after="0"/>
              <w:jc w:val="left"/>
              <w:rPr>
                <w:i/>
                <w:sz w:val="14"/>
                <w:szCs w:val="16"/>
                <w:lang w:val="en-GB"/>
              </w:rPr>
            </w:pPr>
            <w:r>
              <w:rPr>
                <w:sz w:val="14"/>
                <w:szCs w:val="16"/>
                <w:lang w:val="en-GB"/>
              </w:rPr>
              <w:t>Relation</w:t>
            </w:r>
          </w:p>
        </w:tc>
      </w:tr>
      <w:tr w:rsidR="00DA4EFA" w:rsidRPr="00201438" w14:paraId="5EC4C156" w14:textId="77777777" w:rsidTr="00565BAE">
        <w:trPr>
          <w:cantSplit/>
        </w:trPr>
        <w:tc>
          <w:tcPr>
            <w:tcW w:w="2726" w:type="dxa"/>
            <w:shd w:val="clear" w:color="auto" w:fill="FBD4B4" w:themeFill="accent6" w:themeFillTint="66"/>
          </w:tcPr>
          <w:p w14:paraId="1EB461D4" w14:textId="77777777" w:rsidR="00DA4EFA" w:rsidRPr="00A71EA8" w:rsidRDefault="00DA4EFA" w:rsidP="00D60837">
            <w:pPr>
              <w:pStyle w:val="BodyText"/>
              <w:spacing w:before="0" w:after="0"/>
              <w:jc w:val="left"/>
              <w:rPr>
                <w:i/>
                <w:sz w:val="14"/>
                <w:szCs w:val="16"/>
                <w:lang w:val="en-GB"/>
              </w:rPr>
            </w:pPr>
            <w:r>
              <w:rPr>
                <w:i/>
                <w:sz w:val="14"/>
                <w:szCs w:val="16"/>
                <w:lang w:val="en-GB"/>
              </w:rPr>
              <w:t>Balance sheet, then income statement, then statement of changes in equity, …</w:t>
            </w:r>
          </w:p>
        </w:tc>
        <w:tc>
          <w:tcPr>
            <w:tcW w:w="3780" w:type="dxa"/>
          </w:tcPr>
          <w:p w14:paraId="0919B93E" w14:textId="77777777" w:rsidR="00DA4EFA" w:rsidRDefault="00DA4EFA" w:rsidP="00D60837">
            <w:pPr>
              <w:pStyle w:val="BodyText"/>
              <w:spacing w:before="0" w:after="0"/>
              <w:jc w:val="left"/>
              <w:rPr>
                <w:sz w:val="14"/>
                <w:szCs w:val="16"/>
                <w:lang w:val="en-GB"/>
              </w:rPr>
            </w:pPr>
            <w:r>
              <w:rPr>
                <w:sz w:val="14"/>
                <w:szCs w:val="16"/>
                <w:lang w:val="en-GB"/>
              </w:rPr>
              <w:t>Relationship between components or the order or sequence of components</w:t>
            </w:r>
          </w:p>
        </w:tc>
        <w:tc>
          <w:tcPr>
            <w:tcW w:w="2314" w:type="dxa"/>
          </w:tcPr>
          <w:p w14:paraId="3AE42DFB" w14:textId="77777777" w:rsidR="00DA4EFA" w:rsidRPr="00FC1D74" w:rsidRDefault="00DA4EFA" w:rsidP="00D60837">
            <w:pPr>
              <w:pStyle w:val="BodyText"/>
              <w:spacing w:before="0" w:after="0"/>
              <w:jc w:val="left"/>
              <w:rPr>
                <w:i/>
                <w:sz w:val="14"/>
                <w:szCs w:val="16"/>
                <w:lang w:val="en-GB"/>
              </w:rPr>
            </w:pPr>
            <w:r>
              <w:rPr>
                <w:sz w:val="14"/>
                <w:szCs w:val="16"/>
                <w:lang w:val="en-GB"/>
              </w:rPr>
              <w:t>Relation</w:t>
            </w:r>
          </w:p>
        </w:tc>
      </w:tr>
      <w:tr w:rsidR="00DA4EFA" w:rsidRPr="00201438" w14:paraId="2F4FA946" w14:textId="77777777" w:rsidTr="00565BAE">
        <w:trPr>
          <w:cantSplit/>
        </w:trPr>
        <w:tc>
          <w:tcPr>
            <w:tcW w:w="2726" w:type="dxa"/>
            <w:shd w:val="clear" w:color="auto" w:fill="FBD4B4" w:themeFill="accent6" w:themeFillTint="66"/>
          </w:tcPr>
          <w:p w14:paraId="3D39E133" w14:textId="77777777" w:rsidR="00DA4EFA" w:rsidRDefault="00DA4EFA" w:rsidP="00D60837">
            <w:pPr>
              <w:pStyle w:val="BodyText"/>
              <w:spacing w:before="0" w:after="0"/>
              <w:jc w:val="left"/>
              <w:rPr>
                <w:i/>
                <w:sz w:val="14"/>
                <w:szCs w:val="16"/>
                <w:lang w:val="en-GB"/>
              </w:rPr>
            </w:pPr>
            <w:r>
              <w:rPr>
                <w:i/>
                <w:sz w:val="14"/>
                <w:szCs w:val="16"/>
                <w:lang w:val="en-GB"/>
              </w:rPr>
              <w:t>Units, rounding, balance type, period type</w:t>
            </w:r>
          </w:p>
        </w:tc>
        <w:tc>
          <w:tcPr>
            <w:tcW w:w="3780" w:type="dxa"/>
          </w:tcPr>
          <w:p w14:paraId="70813D03" w14:textId="77777777" w:rsidR="00DA4EFA" w:rsidRDefault="00DA4EFA" w:rsidP="00D60837">
            <w:pPr>
              <w:pStyle w:val="BodyText"/>
              <w:spacing w:before="0" w:after="0"/>
              <w:jc w:val="left"/>
              <w:rPr>
                <w:b/>
                <w:sz w:val="14"/>
                <w:szCs w:val="16"/>
                <w:lang w:val="en-GB"/>
              </w:rPr>
            </w:pPr>
            <w:r>
              <w:rPr>
                <w:b/>
                <w:sz w:val="14"/>
                <w:szCs w:val="16"/>
                <w:lang w:val="en-GB"/>
              </w:rPr>
              <w:t xml:space="preserve">Property </w:t>
            </w:r>
            <w:r w:rsidRPr="0005385B">
              <w:rPr>
                <w:sz w:val="14"/>
                <w:szCs w:val="16"/>
                <w:lang w:val="en-GB"/>
              </w:rPr>
              <w:t xml:space="preserve">– Property </w:t>
            </w:r>
            <w:r>
              <w:rPr>
                <w:sz w:val="14"/>
                <w:szCs w:val="16"/>
                <w:lang w:val="en-GB"/>
              </w:rPr>
              <w:t xml:space="preserve">or trait </w:t>
            </w:r>
            <w:r w:rsidRPr="0005385B">
              <w:rPr>
                <w:sz w:val="14"/>
                <w:szCs w:val="16"/>
                <w:lang w:val="en-GB"/>
              </w:rPr>
              <w:t>of an object</w:t>
            </w:r>
            <w:r>
              <w:rPr>
                <w:sz w:val="14"/>
                <w:szCs w:val="16"/>
                <w:lang w:val="en-GB"/>
              </w:rPr>
              <w:t>.</w:t>
            </w:r>
          </w:p>
        </w:tc>
        <w:tc>
          <w:tcPr>
            <w:tcW w:w="2314" w:type="dxa"/>
          </w:tcPr>
          <w:p w14:paraId="290E93FA" w14:textId="77777777" w:rsidR="00DA4EFA" w:rsidRPr="0005385B" w:rsidRDefault="00DA4EFA" w:rsidP="00D60837">
            <w:pPr>
              <w:pStyle w:val="BodyText"/>
              <w:spacing w:before="0" w:after="0"/>
              <w:jc w:val="left"/>
              <w:rPr>
                <w:sz w:val="14"/>
                <w:szCs w:val="16"/>
                <w:lang w:val="en-GB"/>
              </w:rPr>
            </w:pPr>
            <w:r>
              <w:rPr>
                <w:sz w:val="14"/>
                <w:szCs w:val="16"/>
                <w:lang w:val="en-GB"/>
              </w:rPr>
              <w:t>Attribute</w:t>
            </w:r>
          </w:p>
        </w:tc>
      </w:tr>
    </w:tbl>
    <w:p w14:paraId="1E1DB8E6" w14:textId="77777777" w:rsidR="00DA4EFA" w:rsidRDefault="00DA4EFA" w:rsidP="00200171">
      <w:pPr>
        <w:spacing w:after="200" w:line="276" w:lineRule="auto"/>
        <w:rPr>
          <w:b/>
        </w:rPr>
      </w:pPr>
    </w:p>
    <w:p w14:paraId="754B1A8E" w14:textId="77777777" w:rsidR="00DA4EFA" w:rsidRDefault="00DA4EFA" w:rsidP="00200171">
      <w:pPr>
        <w:spacing w:after="200" w:line="276" w:lineRule="auto"/>
        <w:rPr>
          <w:b/>
        </w:rPr>
      </w:pPr>
    </w:p>
    <w:p w14:paraId="5D46B2F8" w14:textId="77777777" w:rsidR="00DA4EFA" w:rsidRDefault="00DA4EFA" w:rsidP="00200171">
      <w:pPr>
        <w:spacing w:after="200" w:line="276" w:lineRule="auto"/>
        <w:rPr>
          <w:b/>
        </w:rPr>
      </w:pPr>
    </w:p>
    <w:p w14:paraId="7C4CB7D2" w14:textId="77777777" w:rsidR="00DA4EFA" w:rsidRDefault="00DA4EFA">
      <w:pPr>
        <w:rPr>
          <w:rFonts w:ascii="Arial" w:hAnsi="Arial" w:cs="Arial"/>
          <w:b/>
          <w:bCs/>
          <w:i/>
          <w:iCs/>
          <w:sz w:val="28"/>
          <w:szCs w:val="28"/>
          <w:lang w:val="en-GB"/>
        </w:rPr>
      </w:pPr>
      <w:r>
        <w:rPr>
          <w:lang w:val="en-GB"/>
        </w:rPr>
        <w:br w:type="page"/>
      </w:r>
    </w:p>
    <w:p w14:paraId="2634EA6D" w14:textId="77777777" w:rsidR="00DA4EFA" w:rsidRDefault="00DA4EFA" w:rsidP="00565BAE">
      <w:pPr>
        <w:pStyle w:val="Heading2"/>
        <w:rPr>
          <w:lang w:val="en-GB"/>
        </w:rPr>
      </w:pPr>
      <w:r w:rsidRPr="00565BAE">
        <w:rPr>
          <w:lang w:val="en-GB"/>
        </w:rPr>
        <w:lastRenderedPageBreak/>
        <w:t>Reconciliation of US GAAP/SEC Model Terminology to XBRL Abstract Model 2.0</w:t>
      </w:r>
    </w:p>
    <w:p w14:paraId="57122A3E" w14:textId="77777777" w:rsidR="00DA4EFA" w:rsidRPr="00565BAE" w:rsidRDefault="00DA4EFA" w:rsidP="00565BAE">
      <w:pPr>
        <w:pStyle w:val="BodyText"/>
        <w:rPr>
          <w:lang w:val="en-GB"/>
        </w:rPr>
      </w:pPr>
      <w:r>
        <w:rPr>
          <w:lang w:val="en-GB"/>
        </w:rPr>
        <w:t>US GAAP XBRL Taxonomy and SEC model to XBRL Abstract Model 2.0.</w:t>
      </w:r>
    </w:p>
    <w:p w14:paraId="6EEB73C6" w14:textId="77777777" w:rsidR="00DA4EFA" w:rsidRDefault="00DA4EFA" w:rsidP="00200171"/>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26"/>
        <w:gridCol w:w="2700"/>
        <w:gridCol w:w="3394"/>
      </w:tblGrid>
      <w:tr w:rsidR="00DA4EFA" w:rsidRPr="00201438" w14:paraId="2E236E9D" w14:textId="77777777" w:rsidTr="00565BAE">
        <w:trPr>
          <w:cantSplit/>
          <w:tblHeader/>
        </w:trPr>
        <w:tc>
          <w:tcPr>
            <w:tcW w:w="2726" w:type="dxa"/>
            <w:tcBorders>
              <w:bottom w:val="single" w:sz="4" w:space="0" w:color="auto"/>
            </w:tcBorders>
            <w:shd w:val="pct15" w:color="auto" w:fill="F79646" w:themeFill="accent6"/>
          </w:tcPr>
          <w:p w14:paraId="59C5584E" w14:textId="77777777" w:rsidR="00DA4EFA" w:rsidRPr="00A71EA8" w:rsidRDefault="00DA4EFA" w:rsidP="00D60837">
            <w:pPr>
              <w:pStyle w:val="BodyText"/>
              <w:spacing w:before="0" w:after="0"/>
              <w:jc w:val="center"/>
              <w:rPr>
                <w:b/>
                <w:i/>
                <w:sz w:val="14"/>
                <w:szCs w:val="16"/>
                <w:lang w:val="en-GB"/>
              </w:rPr>
            </w:pPr>
          </w:p>
          <w:p w14:paraId="02D99F67" w14:textId="77777777" w:rsidR="00DA4EFA" w:rsidRPr="00A71EA8" w:rsidRDefault="00DA4EFA" w:rsidP="00D60837">
            <w:pPr>
              <w:pStyle w:val="BodyText"/>
              <w:spacing w:before="0" w:after="0"/>
              <w:jc w:val="center"/>
              <w:rPr>
                <w:b/>
                <w:i/>
                <w:sz w:val="14"/>
                <w:szCs w:val="16"/>
                <w:lang w:val="en-GB"/>
              </w:rPr>
            </w:pPr>
            <w:r w:rsidRPr="00A71EA8">
              <w:rPr>
                <w:b/>
                <w:i/>
                <w:sz w:val="14"/>
                <w:szCs w:val="16"/>
                <w:lang w:val="en-GB"/>
              </w:rPr>
              <w:t>Example</w:t>
            </w:r>
          </w:p>
        </w:tc>
        <w:tc>
          <w:tcPr>
            <w:tcW w:w="2700" w:type="dxa"/>
            <w:shd w:val="pct20" w:color="auto" w:fill="auto"/>
          </w:tcPr>
          <w:p w14:paraId="71C4D794" w14:textId="77777777" w:rsidR="00DA4EFA" w:rsidRDefault="00DA4EFA" w:rsidP="00D60837">
            <w:pPr>
              <w:pStyle w:val="BodyText"/>
              <w:spacing w:before="0" w:after="0"/>
              <w:jc w:val="center"/>
              <w:rPr>
                <w:b/>
                <w:sz w:val="14"/>
                <w:szCs w:val="16"/>
                <w:lang w:val="en-GB"/>
              </w:rPr>
            </w:pPr>
          </w:p>
          <w:p w14:paraId="278F4C92" w14:textId="77777777" w:rsidR="00DA4EFA" w:rsidRDefault="00FC0121" w:rsidP="00D60837">
            <w:pPr>
              <w:pStyle w:val="BodyText"/>
              <w:spacing w:before="0" w:after="0"/>
              <w:jc w:val="center"/>
              <w:rPr>
                <w:b/>
                <w:sz w:val="14"/>
                <w:szCs w:val="16"/>
                <w:lang w:val="en-GB"/>
              </w:rPr>
            </w:pPr>
            <w:hyperlink r:id="rId10" w:history="1">
              <w:r w:rsidR="00DA4EFA" w:rsidRPr="0031110E">
                <w:rPr>
                  <w:rStyle w:val="Hyperlink"/>
                  <w:b/>
                  <w:sz w:val="14"/>
                  <w:szCs w:val="16"/>
                  <w:lang w:val="en-GB"/>
                </w:rPr>
                <w:t>US GAAP/SEC Model</w:t>
              </w:r>
            </w:hyperlink>
            <w:r w:rsidR="00DA4EFA">
              <w:rPr>
                <w:b/>
                <w:sz w:val="14"/>
                <w:szCs w:val="16"/>
                <w:lang w:val="en-GB"/>
              </w:rPr>
              <w:t xml:space="preserve"> Object</w:t>
            </w:r>
          </w:p>
        </w:tc>
        <w:tc>
          <w:tcPr>
            <w:tcW w:w="3394" w:type="dxa"/>
            <w:shd w:val="pct20" w:color="auto" w:fill="auto"/>
          </w:tcPr>
          <w:p w14:paraId="3F793490" w14:textId="77777777" w:rsidR="00DA4EFA" w:rsidRDefault="00DA4EFA" w:rsidP="00D60837">
            <w:pPr>
              <w:pStyle w:val="BodyText"/>
              <w:spacing w:before="0" w:after="0"/>
              <w:jc w:val="center"/>
              <w:rPr>
                <w:b/>
                <w:sz w:val="14"/>
                <w:szCs w:val="16"/>
                <w:lang w:val="en-GB"/>
              </w:rPr>
            </w:pPr>
          </w:p>
          <w:p w14:paraId="27E242A5" w14:textId="77777777" w:rsidR="00DA4EFA" w:rsidRPr="00201438" w:rsidRDefault="00FC0121" w:rsidP="00D60837">
            <w:pPr>
              <w:pStyle w:val="BodyText"/>
              <w:spacing w:before="0" w:after="0"/>
              <w:jc w:val="center"/>
              <w:rPr>
                <w:b/>
                <w:sz w:val="14"/>
                <w:szCs w:val="16"/>
                <w:lang w:val="en-GB"/>
              </w:rPr>
            </w:pPr>
            <w:hyperlink r:id="rId11" w:history="1">
              <w:r w:rsidR="00DA4EFA" w:rsidRPr="005A2CCD">
                <w:rPr>
                  <w:rStyle w:val="Hyperlink"/>
                  <w:b/>
                  <w:sz w:val="14"/>
                  <w:szCs w:val="16"/>
                  <w:lang w:val="en-GB"/>
                </w:rPr>
                <w:t>XBRL Abstract Model 2.0</w:t>
              </w:r>
            </w:hyperlink>
            <w:r w:rsidR="00DA4EFA">
              <w:rPr>
                <w:b/>
                <w:sz w:val="14"/>
                <w:szCs w:val="16"/>
                <w:lang w:val="en-GB"/>
              </w:rPr>
              <w:t xml:space="preserve"> Object</w:t>
            </w:r>
          </w:p>
        </w:tc>
      </w:tr>
      <w:tr w:rsidR="00DA4EFA" w:rsidRPr="00201438" w14:paraId="30285E15" w14:textId="77777777" w:rsidTr="00565BAE">
        <w:trPr>
          <w:cantSplit/>
        </w:trPr>
        <w:tc>
          <w:tcPr>
            <w:tcW w:w="2726" w:type="dxa"/>
            <w:shd w:val="clear" w:color="auto" w:fill="FBD4B4" w:themeFill="accent6" w:themeFillTint="66"/>
          </w:tcPr>
          <w:p w14:paraId="20573921" w14:textId="77777777" w:rsidR="00DA4EFA" w:rsidRPr="00A71EA8" w:rsidRDefault="00DA4EFA" w:rsidP="00D60837">
            <w:pPr>
              <w:pStyle w:val="BodyText"/>
              <w:spacing w:before="0" w:after="0"/>
              <w:jc w:val="left"/>
              <w:rPr>
                <w:i/>
                <w:sz w:val="14"/>
                <w:szCs w:val="16"/>
                <w:lang w:val="en-GB"/>
              </w:rPr>
            </w:pPr>
            <w:r w:rsidRPr="00A71EA8">
              <w:rPr>
                <w:i/>
                <w:sz w:val="14"/>
                <w:szCs w:val="16"/>
                <w:lang w:val="en-GB"/>
              </w:rPr>
              <w:t>Financial statement portion of a 10-Q or 10-K; financial statement issued by a private entity</w:t>
            </w:r>
          </w:p>
        </w:tc>
        <w:tc>
          <w:tcPr>
            <w:tcW w:w="2700" w:type="dxa"/>
          </w:tcPr>
          <w:p w14:paraId="4D377464" w14:textId="77777777" w:rsidR="00DA4EFA" w:rsidRDefault="00DA4EFA" w:rsidP="00D60837">
            <w:pPr>
              <w:pStyle w:val="BodyText"/>
              <w:spacing w:before="0" w:after="0"/>
              <w:jc w:val="left"/>
              <w:rPr>
                <w:sz w:val="14"/>
                <w:szCs w:val="16"/>
                <w:lang w:val="en-GB"/>
              </w:rPr>
            </w:pPr>
            <w:r w:rsidRPr="004D7AE6">
              <w:rPr>
                <w:b/>
                <w:sz w:val="14"/>
                <w:szCs w:val="16"/>
                <w:lang w:val="en-GB"/>
              </w:rPr>
              <w:t>SEC XBRL financial filing</w:t>
            </w:r>
            <w:r>
              <w:rPr>
                <w:sz w:val="14"/>
                <w:szCs w:val="16"/>
                <w:lang w:val="en-GB"/>
              </w:rPr>
              <w:t xml:space="preserve">; XBRL instance + XBRL taxonomy; </w:t>
            </w:r>
          </w:p>
          <w:p w14:paraId="6378EC27" w14:textId="77777777" w:rsidR="00DA4EFA" w:rsidRPr="00E56D78" w:rsidRDefault="00DA4EFA" w:rsidP="00D60837">
            <w:pPr>
              <w:pStyle w:val="BodyText"/>
              <w:spacing w:before="0" w:after="0"/>
              <w:jc w:val="left"/>
              <w:rPr>
                <w:sz w:val="14"/>
                <w:szCs w:val="16"/>
                <w:lang w:val="en-GB"/>
              </w:rPr>
            </w:pPr>
          </w:p>
        </w:tc>
        <w:tc>
          <w:tcPr>
            <w:tcW w:w="3394" w:type="dxa"/>
          </w:tcPr>
          <w:p w14:paraId="31088D7A" w14:textId="77777777" w:rsidR="00DA4EFA" w:rsidRPr="00266575" w:rsidRDefault="00DA4EFA" w:rsidP="00D60837">
            <w:pPr>
              <w:pStyle w:val="BodyText"/>
              <w:spacing w:before="0" w:after="0"/>
              <w:jc w:val="left"/>
              <w:rPr>
                <w:sz w:val="14"/>
                <w:szCs w:val="16"/>
                <w:lang w:val="en-GB"/>
              </w:rPr>
            </w:pPr>
            <w:r>
              <w:rPr>
                <w:sz w:val="14"/>
                <w:szCs w:val="16"/>
                <w:lang w:val="en-GB"/>
              </w:rPr>
              <w:t>Document, Manifest</w:t>
            </w:r>
          </w:p>
        </w:tc>
      </w:tr>
      <w:tr w:rsidR="00DA4EFA" w:rsidRPr="00201438" w14:paraId="02150991" w14:textId="77777777" w:rsidTr="00565BAE">
        <w:trPr>
          <w:cantSplit/>
        </w:trPr>
        <w:tc>
          <w:tcPr>
            <w:tcW w:w="2726" w:type="dxa"/>
            <w:shd w:val="clear" w:color="auto" w:fill="FBD4B4" w:themeFill="accent6" w:themeFillTint="66"/>
          </w:tcPr>
          <w:p w14:paraId="17AE2087" w14:textId="77777777" w:rsidR="00DA4EFA" w:rsidRDefault="00DA4EFA" w:rsidP="00D60837">
            <w:pPr>
              <w:pStyle w:val="BodyText"/>
              <w:spacing w:before="0" w:after="0"/>
              <w:jc w:val="left"/>
              <w:rPr>
                <w:i/>
                <w:sz w:val="14"/>
                <w:szCs w:val="16"/>
                <w:lang w:val="en-GB"/>
              </w:rPr>
            </w:pPr>
            <w:r>
              <w:rPr>
                <w:i/>
                <w:sz w:val="14"/>
                <w:szCs w:val="16"/>
                <w:lang w:val="en-GB"/>
              </w:rPr>
              <w:t>See the examples from each rudimentary or primitive piece above</w:t>
            </w:r>
          </w:p>
        </w:tc>
        <w:tc>
          <w:tcPr>
            <w:tcW w:w="2700" w:type="dxa"/>
          </w:tcPr>
          <w:p w14:paraId="0E2286CE" w14:textId="77777777" w:rsidR="00DA4EFA" w:rsidRPr="004D7AE6" w:rsidRDefault="00DA4EFA" w:rsidP="00D60837">
            <w:pPr>
              <w:pStyle w:val="BodyText"/>
              <w:spacing w:before="0" w:after="0"/>
              <w:jc w:val="left"/>
              <w:rPr>
                <w:b/>
                <w:sz w:val="14"/>
                <w:szCs w:val="16"/>
                <w:lang w:val="en-GB"/>
              </w:rPr>
            </w:pPr>
            <w:r w:rsidRPr="004D7AE6">
              <w:rPr>
                <w:b/>
                <w:sz w:val="14"/>
                <w:szCs w:val="16"/>
                <w:lang w:val="en-GB"/>
              </w:rPr>
              <w:t>Report element</w:t>
            </w:r>
            <w:r w:rsidRPr="004D7AE6">
              <w:rPr>
                <w:sz w:val="14"/>
                <w:szCs w:val="16"/>
                <w:lang w:val="en-GB"/>
              </w:rPr>
              <w:t xml:space="preserve">: </w:t>
            </w:r>
            <w:r>
              <w:rPr>
                <w:sz w:val="14"/>
                <w:szCs w:val="16"/>
                <w:lang w:val="en-GB"/>
              </w:rPr>
              <w:t>Network, [Table], [Axis], [Member], [Line Items], Concept, Abstract concept, Fact, Footnote</w:t>
            </w:r>
          </w:p>
        </w:tc>
        <w:tc>
          <w:tcPr>
            <w:tcW w:w="3394" w:type="dxa"/>
          </w:tcPr>
          <w:p w14:paraId="5D9A434F" w14:textId="77777777" w:rsidR="00DA4EFA" w:rsidRPr="00560862" w:rsidRDefault="00DA4EFA" w:rsidP="00D60837">
            <w:pPr>
              <w:pStyle w:val="BodyText"/>
              <w:spacing w:before="0" w:after="0"/>
              <w:jc w:val="left"/>
              <w:rPr>
                <w:sz w:val="14"/>
                <w:szCs w:val="16"/>
                <w:lang w:val="en-GB"/>
              </w:rPr>
            </w:pPr>
            <w:r>
              <w:rPr>
                <w:sz w:val="14"/>
                <w:szCs w:val="16"/>
                <w:lang w:val="en-GB"/>
              </w:rPr>
              <w:t>Model Element</w:t>
            </w:r>
          </w:p>
        </w:tc>
      </w:tr>
      <w:tr w:rsidR="00DA4EFA" w:rsidRPr="00201438" w14:paraId="26340B92" w14:textId="77777777" w:rsidTr="00565BAE">
        <w:trPr>
          <w:cantSplit/>
        </w:trPr>
        <w:tc>
          <w:tcPr>
            <w:tcW w:w="2726" w:type="dxa"/>
            <w:shd w:val="clear" w:color="auto" w:fill="FBD4B4" w:themeFill="accent6" w:themeFillTint="66"/>
          </w:tcPr>
          <w:p w14:paraId="7C1CA74F" w14:textId="77777777" w:rsidR="00DA4EFA" w:rsidRDefault="00DA4EFA" w:rsidP="00D60837">
            <w:pPr>
              <w:pStyle w:val="BodyText"/>
              <w:spacing w:before="0" w:after="0"/>
              <w:jc w:val="left"/>
              <w:rPr>
                <w:i/>
                <w:sz w:val="14"/>
                <w:szCs w:val="16"/>
                <w:lang w:val="en-GB"/>
              </w:rPr>
            </w:pPr>
            <w:r w:rsidRPr="00A71EA8">
              <w:rPr>
                <w:i/>
                <w:sz w:val="14"/>
                <w:szCs w:val="16"/>
                <w:lang w:val="en-GB"/>
              </w:rPr>
              <w:t>Balance sheet, significant accounting policies, maturities of long-term debt</w:t>
            </w:r>
          </w:p>
        </w:tc>
        <w:tc>
          <w:tcPr>
            <w:tcW w:w="2700" w:type="dxa"/>
          </w:tcPr>
          <w:p w14:paraId="724B8546" w14:textId="77777777" w:rsidR="00DA4EFA" w:rsidRDefault="00DA4EFA" w:rsidP="00D60837">
            <w:pPr>
              <w:pStyle w:val="BodyText"/>
              <w:spacing w:before="0" w:after="0"/>
              <w:jc w:val="left"/>
              <w:rPr>
                <w:sz w:val="14"/>
                <w:szCs w:val="16"/>
                <w:lang w:val="en-GB"/>
              </w:rPr>
            </w:pPr>
            <w:r w:rsidRPr="004C06B4">
              <w:rPr>
                <w:b/>
                <w:sz w:val="14"/>
                <w:szCs w:val="16"/>
                <w:lang w:val="en-GB"/>
              </w:rPr>
              <w:t>Network</w:t>
            </w:r>
          </w:p>
        </w:tc>
        <w:tc>
          <w:tcPr>
            <w:tcW w:w="3394" w:type="dxa"/>
          </w:tcPr>
          <w:p w14:paraId="5644BDD9" w14:textId="77777777" w:rsidR="00DA4EFA" w:rsidRDefault="00DA4EFA" w:rsidP="00D60837">
            <w:pPr>
              <w:pStyle w:val="BodyText"/>
              <w:spacing w:before="0" w:after="0"/>
              <w:jc w:val="left"/>
              <w:rPr>
                <w:sz w:val="14"/>
                <w:szCs w:val="16"/>
                <w:lang w:val="en-GB"/>
              </w:rPr>
            </w:pPr>
            <w:r>
              <w:rPr>
                <w:sz w:val="14"/>
                <w:szCs w:val="16"/>
                <w:lang w:val="en-GB"/>
              </w:rPr>
              <w:t>Cube, Cube Region</w:t>
            </w:r>
          </w:p>
        </w:tc>
      </w:tr>
      <w:tr w:rsidR="00DA4EFA" w:rsidRPr="00201438" w14:paraId="04108550" w14:textId="77777777" w:rsidTr="00565BAE">
        <w:trPr>
          <w:cantSplit/>
        </w:trPr>
        <w:tc>
          <w:tcPr>
            <w:tcW w:w="2726" w:type="dxa"/>
            <w:shd w:val="clear" w:color="auto" w:fill="FBD4B4" w:themeFill="accent6" w:themeFillTint="66"/>
          </w:tcPr>
          <w:p w14:paraId="35AC9C6F" w14:textId="77777777" w:rsidR="00DA4EFA" w:rsidRDefault="00DA4EFA" w:rsidP="00D60837">
            <w:pPr>
              <w:pStyle w:val="BodyText"/>
              <w:spacing w:before="0" w:after="0"/>
              <w:jc w:val="left"/>
              <w:rPr>
                <w:i/>
                <w:sz w:val="14"/>
                <w:szCs w:val="16"/>
                <w:lang w:val="en-GB"/>
              </w:rPr>
            </w:pPr>
            <w:r w:rsidRPr="00A71EA8">
              <w:rPr>
                <w:i/>
                <w:sz w:val="14"/>
                <w:szCs w:val="16"/>
                <w:lang w:val="en-GB"/>
              </w:rPr>
              <w:t>Balance sheet, significant accounting policies, maturities of long-term debt</w:t>
            </w:r>
          </w:p>
        </w:tc>
        <w:tc>
          <w:tcPr>
            <w:tcW w:w="2700" w:type="dxa"/>
          </w:tcPr>
          <w:p w14:paraId="39FA113C" w14:textId="77777777" w:rsidR="00DA4EFA" w:rsidRDefault="00DA4EFA" w:rsidP="00D60837">
            <w:pPr>
              <w:pStyle w:val="BodyText"/>
              <w:spacing w:before="0" w:after="0"/>
              <w:jc w:val="left"/>
              <w:rPr>
                <w:sz w:val="14"/>
                <w:szCs w:val="16"/>
                <w:lang w:val="en-GB"/>
              </w:rPr>
            </w:pPr>
            <w:r w:rsidRPr="004C06B4">
              <w:rPr>
                <w:b/>
                <w:sz w:val="14"/>
                <w:szCs w:val="16"/>
                <w:lang w:val="en-GB"/>
              </w:rPr>
              <w:t>[Table]</w:t>
            </w:r>
          </w:p>
        </w:tc>
        <w:tc>
          <w:tcPr>
            <w:tcW w:w="3394" w:type="dxa"/>
          </w:tcPr>
          <w:p w14:paraId="49740C81" w14:textId="77777777" w:rsidR="00DA4EFA" w:rsidRDefault="00DA4EFA" w:rsidP="00D60837">
            <w:pPr>
              <w:pStyle w:val="BodyText"/>
              <w:spacing w:before="0" w:after="0"/>
              <w:jc w:val="left"/>
              <w:rPr>
                <w:sz w:val="14"/>
                <w:szCs w:val="16"/>
                <w:lang w:val="en-GB"/>
              </w:rPr>
            </w:pPr>
            <w:r>
              <w:rPr>
                <w:sz w:val="14"/>
                <w:szCs w:val="16"/>
                <w:lang w:val="en-GB"/>
              </w:rPr>
              <w:t>Cube, Cube Region</w:t>
            </w:r>
          </w:p>
        </w:tc>
      </w:tr>
      <w:tr w:rsidR="00DA4EFA" w:rsidRPr="00201438" w14:paraId="4CE76515" w14:textId="77777777" w:rsidTr="00565BAE">
        <w:trPr>
          <w:cantSplit/>
        </w:trPr>
        <w:tc>
          <w:tcPr>
            <w:tcW w:w="2726" w:type="dxa"/>
            <w:shd w:val="clear" w:color="auto" w:fill="FBD4B4" w:themeFill="accent6" w:themeFillTint="66"/>
          </w:tcPr>
          <w:p w14:paraId="08D6F661" w14:textId="77777777" w:rsidR="00DA4EFA" w:rsidRDefault="00DA4EFA" w:rsidP="00D60837">
            <w:pPr>
              <w:pStyle w:val="BodyText"/>
              <w:spacing w:before="0" w:after="0"/>
              <w:jc w:val="left"/>
              <w:rPr>
                <w:i/>
                <w:sz w:val="14"/>
                <w:szCs w:val="16"/>
                <w:lang w:val="en-GB"/>
              </w:rPr>
            </w:pPr>
            <w:r>
              <w:rPr>
                <w:i/>
                <w:sz w:val="14"/>
                <w:szCs w:val="16"/>
                <w:lang w:val="en-GB"/>
              </w:rPr>
              <w:t>The “Legal entity” to which a fact relates</w:t>
            </w:r>
          </w:p>
        </w:tc>
        <w:tc>
          <w:tcPr>
            <w:tcW w:w="2700" w:type="dxa"/>
          </w:tcPr>
          <w:p w14:paraId="39B69013" w14:textId="77777777" w:rsidR="00DA4EFA" w:rsidRDefault="00DA4EFA" w:rsidP="00D60837">
            <w:pPr>
              <w:pStyle w:val="BodyText"/>
              <w:spacing w:before="0" w:after="0"/>
              <w:jc w:val="left"/>
              <w:rPr>
                <w:sz w:val="14"/>
                <w:szCs w:val="16"/>
                <w:lang w:val="en-GB"/>
              </w:rPr>
            </w:pPr>
            <w:r w:rsidRPr="004C06B4">
              <w:rPr>
                <w:b/>
                <w:sz w:val="14"/>
                <w:szCs w:val="16"/>
                <w:lang w:val="en-GB"/>
              </w:rPr>
              <w:t>[Axis]</w:t>
            </w:r>
          </w:p>
        </w:tc>
        <w:tc>
          <w:tcPr>
            <w:tcW w:w="3394" w:type="dxa"/>
          </w:tcPr>
          <w:p w14:paraId="2BC20285" w14:textId="77777777" w:rsidR="00DA4EFA" w:rsidRDefault="00DA4EFA" w:rsidP="00D60837">
            <w:pPr>
              <w:pStyle w:val="BodyText"/>
              <w:spacing w:before="0" w:after="0"/>
              <w:jc w:val="left"/>
              <w:rPr>
                <w:sz w:val="14"/>
                <w:szCs w:val="16"/>
                <w:lang w:val="en-GB"/>
              </w:rPr>
            </w:pPr>
            <w:r>
              <w:rPr>
                <w:sz w:val="14"/>
                <w:szCs w:val="16"/>
                <w:lang w:val="en-GB"/>
              </w:rPr>
              <w:t>Aspect</w:t>
            </w:r>
          </w:p>
        </w:tc>
      </w:tr>
      <w:tr w:rsidR="00DA4EFA" w:rsidRPr="00201438" w14:paraId="1BED3E30" w14:textId="77777777" w:rsidTr="00565BAE">
        <w:trPr>
          <w:cantSplit/>
        </w:trPr>
        <w:tc>
          <w:tcPr>
            <w:tcW w:w="2726" w:type="dxa"/>
            <w:shd w:val="clear" w:color="auto" w:fill="FBD4B4" w:themeFill="accent6" w:themeFillTint="66"/>
          </w:tcPr>
          <w:p w14:paraId="641DBC61" w14:textId="77777777" w:rsidR="00DA4EFA" w:rsidRPr="00A71EA8" w:rsidRDefault="00DA4EFA" w:rsidP="00D60837">
            <w:pPr>
              <w:pStyle w:val="BodyText"/>
              <w:spacing w:before="0" w:after="0"/>
              <w:jc w:val="left"/>
              <w:rPr>
                <w:i/>
                <w:sz w:val="14"/>
                <w:szCs w:val="16"/>
                <w:lang w:val="en-GB"/>
              </w:rPr>
            </w:pPr>
            <w:r>
              <w:rPr>
                <w:i/>
                <w:sz w:val="14"/>
                <w:szCs w:val="16"/>
                <w:lang w:val="en-GB"/>
              </w:rPr>
              <w:t>“Consolidated entity” is the value of “Legal Entity” characteristic</w:t>
            </w:r>
          </w:p>
        </w:tc>
        <w:tc>
          <w:tcPr>
            <w:tcW w:w="2700" w:type="dxa"/>
          </w:tcPr>
          <w:p w14:paraId="63D0C8B3" w14:textId="77777777" w:rsidR="00DA4EFA" w:rsidRPr="004C06B4" w:rsidRDefault="00DA4EFA" w:rsidP="00D60837">
            <w:pPr>
              <w:pStyle w:val="BodyText"/>
              <w:spacing w:before="0" w:after="0"/>
              <w:jc w:val="left"/>
              <w:rPr>
                <w:b/>
                <w:sz w:val="14"/>
                <w:szCs w:val="16"/>
                <w:lang w:val="en-GB"/>
              </w:rPr>
            </w:pPr>
            <w:r w:rsidRPr="004C06B4">
              <w:rPr>
                <w:b/>
                <w:sz w:val="14"/>
                <w:szCs w:val="16"/>
                <w:lang w:val="en-GB"/>
              </w:rPr>
              <w:t>[Member]</w:t>
            </w:r>
          </w:p>
        </w:tc>
        <w:tc>
          <w:tcPr>
            <w:tcW w:w="3394" w:type="dxa"/>
          </w:tcPr>
          <w:p w14:paraId="5BB077B5" w14:textId="77777777" w:rsidR="00DA4EFA" w:rsidRPr="00266575" w:rsidRDefault="00DA4EFA" w:rsidP="00D60837">
            <w:pPr>
              <w:pStyle w:val="BodyText"/>
              <w:spacing w:before="0" w:after="0"/>
              <w:jc w:val="left"/>
              <w:rPr>
                <w:sz w:val="14"/>
                <w:szCs w:val="16"/>
                <w:lang w:val="en-GB"/>
              </w:rPr>
            </w:pPr>
            <w:r>
              <w:rPr>
                <w:sz w:val="14"/>
                <w:szCs w:val="16"/>
                <w:lang w:val="en-GB"/>
              </w:rPr>
              <w:t>Aspect Value</w:t>
            </w:r>
          </w:p>
        </w:tc>
      </w:tr>
      <w:tr w:rsidR="00DA4EFA" w:rsidRPr="00201438" w14:paraId="4C93F5E5" w14:textId="77777777" w:rsidTr="00565BAE">
        <w:trPr>
          <w:cantSplit/>
        </w:trPr>
        <w:tc>
          <w:tcPr>
            <w:tcW w:w="2726" w:type="dxa"/>
            <w:shd w:val="clear" w:color="auto" w:fill="FBD4B4" w:themeFill="accent6" w:themeFillTint="66"/>
          </w:tcPr>
          <w:p w14:paraId="77776C55" w14:textId="77777777" w:rsidR="00DA4EFA" w:rsidRPr="00A71EA8" w:rsidRDefault="00DA4EFA" w:rsidP="00D60837">
            <w:pPr>
              <w:pStyle w:val="BodyText"/>
              <w:spacing w:before="0" w:after="0"/>
              <w:jc w:val="left"/>
              <w:rPr>
                <w:i/>
                <w:sz w:val="14"/>
                <w:szCs w:val="16"/>
                <w:lang w:val="en-GB"/>
              </w:rPr>
            </w:pPr>
            <w:r w:rsidRPr="00A71EA8">
              <w:rPr>
                <w:i/>
                <w:sz w:val="14"/>
                <w:szCs w:val="16"/>
                <w:lang w:val="en-GB"/>
              </w:rPr>
              <w:t>Assets [Roll up] of a balance sheet</w:t>
            </w:r>
          </w:p>
        </w:tc>
        <w:tc>
          <w:tcPr>
            <w:tcW w:w="2700" w:type="dxa"/>
          </w:tcPr>
          <w:p w14:paraId="3B840239" w14:textId="77777777" w:rsidR="00DA4EFA" w:rsidRPr="004C06B4" w:rsidRDefault="00DA4EFA" w:rsidP="00D60837">
            <w:pPr>
              <w:pStyle w:val="BodyText"/>
              <w:spacing w:before="0" w:after="0"/>
              <w:jc w:val="left"/>
              <w:rPr>
                <w:b/>
                <w:sz w:val="14"/>
                <w:szCs w:val="16"/>
                <w:lang w:val="en-GB"/>
              </w:rPr>
            </w:pPr>
            <w:r w:rsidRPr="004C06B4">
              <w:rPr>
                <w:b/>
                <w:sz w:val="14"/>
                <w:szCs w:val="16"/>
                <w:lang w:val="en-GB"/>
              </w:rPr>
              <w:t>[Line Items]</w:t>
            </w:r>
          </w:p>
        </w:tc>
        <w:tc>
          <w:tcPr>
            <w:tcW w:w="3394" w:type="dxa"/>
          </w:tcPr>
          <w:p w14:paraId="52561C99" w14:textId="77777777" w:rsidR="00DA4EFA" w:rsidRPr="00266575" w:rsidRDefault="00DA4EFA" w:rsidP="00D60837">
            <w:pPr>
              <w:pStyle w:val="BodyText"/>
              <w:spacing w:before="0" w:after="0"/>
              <w:jc w:val="left"/>
              <w:rPr>
                <w:sz w:val="14"/>
                <w:szCs w:val="16"/>
                <w:lang w:val="en-GB"/>
              </w:rPr>
            </w:pPr>
            <w:r>
              <w:rPr>
                <w:sz w:val="14"/>
                <w:szCs w:val="16"/>
                <w:lang w:val="en-GB"/>
              </w:rPr>
              <w:t>Aspect</w:t>
            </w:r>
          </w:p>
        </w:tc>
      </w:tr>
      <w:tr w:rsidR="00DA4EFA" w:rsidRPr="00201438" w14:paraId="4A4A410C" w14:textId="77777777" w:rsidTr="00565BAE">
        <w:trPr>
          <w:cantSplit/>
        </w:trPr>
        <w:tc>
          <w:tcPr>
            <w:tcW w:w="2726" w:type="dxa"/>
            <w:shd w:val="clear" w:color="auto" w:fill="FBD4B4" w:themeFill="accent6" w:themeFillTint="66"/>
          </w:tcPr>
          <w:p w14:paraId="634D23A3" w14:textId="77777777" w:rsidR="00DA4EFA" w:rsidRDefault="00DA4EFA" w:rsidP="00D60837">
            <w:pPr>
              <w:pStyle w:val="BodyText"/>
              <w:spacing w:before="0" w:after="0"/>
              <w:jc w:val="left"/>
              <w:rPr>
                <w:i/>
                <w:sz w:val="14"/>
                <w:szCs w:val="16"/>
                <w:lang w:val="en-GB"/>
              </w:rPr>
            </w:pPr>
            <w:r>
              <w:rPr>
                <w:i/>
                <w:sz w:val="14"/>
                <w:szCs w:val="16"/>
                <w:lang w:val="en-GB"/>
              </w:rPr>
              <w:t>Cash and cash equivalents; Assets; Net income (loss)</w:t>
            </w:r>
          </w:p>
        </w:tc>
        <w:tc>
          <w:tcPr>
            <w:tcW w:w="2700" w:type="dxa"/>
          </w:tcPr>
          <w:p w14:paraId="215D0F11" w14:textId="77777777" w:rsidR="00DA4EFA" w:rsidRDefault="00DA4EFA" w:rsidP="00D60837">
            <w:pPr>
              <w:pStyle w:val="BodyText"/>
              <w:spacing w:before="0" w:after="0"/>
              <w:jc w:val="left"/>
              <w:rPr>
                <w:sz w:val="14"/>
                <w:szCs w:val="16"/>
                <w:lang w:val="en-GB"/>
              </w:rPr>
            </w:pPr>
            <w:r w:rsidRPr="00BD6D28">
              <w:rPr>
                <w:b/>
                <w:sz w:val="14"/>
                <w:szCs w:val="16"/>
                <w:lang w:val="en-GB"/>
              </w:rPr>
              <w:t>Concept</w:t>
            </w:r>
            <w:r>
              <w:rPr>
                <w:sz w:val="14"/>
                <w:szCs w:val="16"/>
                <w:lang w:val="en-GB"/>
              </w:rPr>
              <w:t xml:space="preserve"> or </w:t>
            </w:r>
            <w:r w:rsidRPr="00BD6D28">
              <w:rPr>
                <w:b/>
                <w:sz w:val="14"/>
                <w:szCs w:val="16"/>
                <w:lang w:val="en-GB"/>
              </w:rPr>
              <w:t>Line Item</w:t>
            </w:r>
          </w:p>
        </w:tc>
        <w:tc>
          <w:tcPr>
            <w:tcW w:w="3394" w:type="dxa"/>
          </w:tcPr>
          <w:p w14:paraId="0A17B368" w14:textId="77777777" w:rsidR="00DA4EFA" w:rsidRDefault="00DA4EFA" w:rsidP="00D60837">
            <w:pPr>
              <w:pStyle w:val="BodyText"/>
              <w:spacing w:before="0" w:after="0"/>
              <w:jc w:val="left"/>
              <w:rPr>
                <w:sz w:val="14"/>
                <w:szCs w:val="16"/>
                <w:lang w:val="en-GB"/>
              </w:rPr>
            </w:pPr>
            <w:r>
              <w:rPr>
                <w:sz w:val="14"/>
                <w:szCs w:val="16"/>
                <w:lang w:val="en-GB"/>
              </w:rPr>
              <w:t>Aspect Value</w:t>
            </w:r>
          </w:p>
        </w:tc>
      </w:tr>
      <w:tr w:rsidR="00DA4EFA" w:rsidRPr="00201438" w14:paraId="44FF9AAD" w14:textId="77777777" w:rsidTr="00565BAE">
        <w:trPr>
          <w:cantSplit/>
        </w:trPr>
        <w:tc>
          <w:tcPr>
            <w:tcW w:w="2726" w:type="dxa"/>
            <w:shd w:val="clear" w:color="auto" w:fill="FBD4B4" w:themeFill="accent6" w:themeFillTint="66"/>
          </w:tcPr>
          <w:p w14:paraId="1DAE3FE7" w14:textId="77777777" w:rsidR="00DA4EFA" w:rsidRDefault="00DA4EFA" w:rsidP="00D60837">
            <w:pPr>
              <w:pStyle w:val="BodyText"/>
              <w:spacing w:before="0" w:after="0"/>
              <w:jc w:val="left"/>
              <w:rPr>
                <w:i/>
                <w:sz w:val="14"/>
                <w:szCs w:val="16"/>
                <w:lang w:val="en-GB"/>
              </w:rPr>
            </w:pPr>
            <w:r>
              <w:rPr>
                <w:i/>
                <w:sz w:val="14"/>
                <w:szCs w:val="16"/>
                <w:lang w:val="en-GB"/>
              </w:rPr>
              <w:t>Assets for the legal entity “consolidated entity” of the reporting entity with CIK 0000000001 for December 31, 2010</w:t>
            </w:r>
          </w:p>
        </w:tc>
        <w:tc>
          <w:tcPr>
            <w:tcW w:w="2700" w:type="dxa"/>
          </w:tcPr>
          <w:p w14:paraId="40D652E4" w14:textId="77777777" w:rsidR="00DA4EFA" w:rsidRPr="00BD6D28" w:rsidRDefault="00DA4EFA" w:rsidP="00D60837">
            <w:pPr>
              <w:pStyle w:val="BodyText"/>
              <w:spacing w:before="0" w:after="0"/>
              <w:jc w:val="left"/>
              <w:rPr>
                <w:b/>
                <w:sz w:val="14"/>
                <w:szCs w:val="16"/>
                <w:lang w:val="en-GB"/>
              </w:rPr>
            </w:pPr>
            <w:r>
              <w:rPr>
                <w:b/>
                <w:sz w:val="14"/>
                <w:szCs w:val="16"/>
                <w:lang w:val="en-GB"/>
              </w:rPr>
              <w:t>Fact</w:t>
            </w:r>
          </w:p>
        </w:tc>
        <w:tc>
          <w:tcPr>
            <w:tcW w:w="3394" w:type="dxa"/>
          </w:tcPr>
          <w:p w14:paraId="7936C3B9" w14:textId="77777777" w:rsidR="00DA4EFA" w:rsidRDefault="00DA4EFA" w:rsidP="00D60837">
            <w:pPr>
              <w:pStyle w:val="BodyText"/>
              <w:spacing w:before="0" w:after="0"/>
              <w:jc w:val="left"/>
              <w:rPr>
                <w:sz w:val="14"/>
                <w:szCs w:val="16"/>
                <w:lang w:val="en-GB"/>
              </w:rPr>
            </w:pPr>
            <w:r>
              <w:rPr>
                <w:sz w:val="14"/>
                <w:szCs w:val="16"/>
                <w:lang w:val="en-GB"/>
              </w:rPr>
              <w:t>Data Point</w:t>
            </w:r>
          </w:p>
        </w:tc>
      </w:tr>
      <w:tr w:rsidR="00DA4EFA" w:rsidRPr="00201438" w14:paraId="6DC6B50C" w14:textId="77777777" w:rsidTr="00565BAE">
        <w:trPr>
          <w:cantSplit/>
        </w:trPr>
        <w:tc>
          <w:tcPr>
            <w:tcW w:w="2726" w:type="dxa"/>
            <w:shd w:val="clear" w:color="auto" w:fill="FBD4B4" w:themeFill="accent6" w:themeFillTint="66"/>
          </w:tcPr>
          <w:p w14:paraId="1CDDAC1A" w14:textId="77777777" w:rsidR="00DA4EFA" w:rsidRDefault="00DA4EFA" w:rsidP="00D60837">
            <w:pPr>
              <w:pStyle w:val="BodyText"/>
              <w:spacing w:before="0" w:after="0"/>
              <w:jc w:val="left"/>
              <w:rPr>
                <w:i/>
                <w:sz w:val="14"/>
                <w:szCs w:val="16"/>
                <w:lang w:val="en-GB"/>
              </w:rPr>
            </w:pPr>
            <w:r>
              <w:rPr>
                <w:i/>
                <w:sz w:val="14"/>
                <w:szCs w:val="16"/>
                <w:lang w:val="en-GB"/>
              </w:rPr>
              <w:t>Note that this is …</w:t>
            </w:r>
          </w:p>
        </w:tc>
        <w:tc>
          <w:tcPr>
            <w:tcW w:w="2700" w:type="dxa"/>
          </w:tcPr>
          <w:p w14:paraId="7F201F55" w14:textId="77777777" w:rsidR="00DA4EFA" w:rsidRDefault="00DA4EFA" w:rsidP="00D60837">
            <w:pPr>
              <w:pStyle w:val="BodyText"/>
              <w:spacing w:before="0" w:after="0"/>
              <w:jc w:val="left"/>
              <w:rPr>
                <w:b/>
                <w:sz w:val="14"/>
                <w:szCs w:val="16"/>
                <w:lang w:val="en-GB"/>
              </w:rPr>
            </w:pPr>
            <w:r>
              <w:rPr>
                <w:b/>
                <w:sz w:val="14"/>
                <w:szCs w:val="16"/>
                <w:lang w:val="en-GB"/>
              </w:rPr>
              <w:t>XBRL footnote</w:t>
            </w:r>
          </w:p>
        </w:tc>
        <w:tc>
          <w:tcPr>
            <w:tcW w:w="3394" w:type="dxa"/>
          </w:tcPr>
          <w:p w14:paraId="0E5F016F" w14:textId="77777777" w:rsidR="00DA4EFA" w:rsidRDefault="00DA4EFA" w:rsidP="00D60837">
            <w:pPr>
              <w:pStyle w:val="BodyText"/>
              <w:spacing w:before="0" w:after="0"/>
              <w:jc w:val="left"/>
              <w:rPr>
                <w:sz w:val="14"/>
                <w:szCs w:val="16"/>
                <w:lang w:val="en-GB"/>
              </w:rPr>
            </w:pPr>
            <w:r>
              <w:rPr>
                <w:sz w:val="14"/>
                <w:szCs w:val="16"/>
                <w:lang w:val="en-GB"/>
              </w:rPr>
              <w:t>Footnote</w:t>
            </w:r>
          </w:p>
        </w:tc>
      </w:tr>
      <w:tr w:rsidR="00DA4EFA" w:rsidRPr="00201438" w14:paraId="7078E000" w14:textId="77777777" w:rsidTr="00565BAE">
        <w:trPr>
          <w:cantSplit/>
        </w:trPr>
        <w:tc>
          <w:tcPr>
            <w:tcW w:w="2726" w:type="dxa"/>
            <w:shd w:val="clear" w:color="auto" w:fill="FBD4B4" w:themeFill="accent6" w:themeFillTint="66"/>
          </w:tcPr>
          <w:p w14:paraId="7B1C7043" w14:textId="77777777" w:rsidR="00DA4EFA" w:rsidRDefault="00DA4EFA" w:rsidP="00D60837">
            <w:pPr>
              <w:pStyle w:val="BodyText"/>
              <w:spacing w:before="0" w:after="0"/>
              <w:jc w:val="left"/>
              <w:rPr>
                <w:i/>
                <w:sz w:val="14"/>
                <w:szCs w:val="16"/>
                <w:lang w:val="en-GB"/>
              </w:rPr>
            </w:pPr>
            <w:r>
              <w:rPr>
                <w:i/>
                <w:sz w:val="14"/>
                <w:szCs w:val="16"/>
                <w:lang w:val="en-GB"/>
              </w:rPr>
              <w:t>US Dollars</w:t>
            </w:r>
          </w:p>
        </w:tc>
        <w:tc>
          <w:tcPr>
            <w:tcW w:w="2700" w:type="dxa"/>
          </w:tcPr>
          <w:p w14:paraId="0D0BB18E" w14:textId="77777777" w:rsidR="00DA4EFA" w:rsidRDefault="00DA4EFA" w:rsidP="00D60837">
            <w:pPr>
              <w:pStyle w:val="BodyText"/>
              <w:spacing w:before="0" w:after="0"/>
              <w:jc w:val="left"/>
              <w:rPr>
                <w:b/>
                <w:sz w:val="14"/>
                <w:szCs w:val="16"/>
                <w:lang w:val="en-GB"/>
              </w:rPr>
            </w:pPr>
            <w:r>
              <w:rPr>
                <w:b/>
                <w:sz w:val="14"/>
                <w:szCs w:val="16"/>
                <w:lang w:val="en-GB"/>
              </w:rPr>
              <w:t>Units</w:t>
            </w:r>
          </w:p>
        </w:tc>
        <w:tc>
          <w:tcPr>
            <w:tcW w:w="3394" w:type="dxa"/>
          </w:tcPr>
          <w:p w14:paraId="14A747C4" w14:textId="77777777" w:rsidR="00DA4EFA" w:rsidRDefault="00DA4EFA" w:rsidP="00D60837">
            <w:pPr>
              <w:pStyle w:val="BodyText"/>
              <w:spacing w:before="0" w:after="0"/>
              <w:jc w:val="left"/>
              <w:rPr>
                <w:sz w:val="14"/>
                <w:szCs w:val="16"/>
                <w:lang w:val="en-GB"/>
              </w:rPr>
            </w:pPr>
            <w:r>
              <w:rPr>
                <w:sz w:val="14"/>
                <w:szCs w:val="16"/>
                <w:lang w:val="en-GB"/>
              </w:rPr>
              <w:t>Aspect, Aspect Value</w:t>
            </w:r>
          </w:p>
        </w:tc>
      </w:tr>
      <w:tr w:rsidR="00DA4EFA" w:rsidRPr="00201438" w14:paraId="2CB2CA15" w14:textId="77777777" w:rsidTr="00565BAE">
        <w:trPr>
          <w:cantSplit/>
        </w:trPr>
        <w:tc>
          <w:tcPr>
            <w:tcW w:w="2726" w:type="dxa"/>
            <w:shd w:val="clear" w:color="auto" w:fill="FBD4B4" w:themeFill="accent6" w:themeFillTint="66"/>
          </w:tcPr>
          <w:p w14:paraId="683649DF" w14:textId="77777777" w:rsidR="00DA4EFA" w:rsidRDefault="00DA4EFA" w:rsidP="00D60837">
            <w:pPr>
              <w:pStyle w:val="BodyText"/>
              <w:spacing w:before="0" w:after="0"/>
              <w:jc w:val="left"/>
              <w:rPr>
                <w:i/>
                <w:sz w:val="14"/>
                <w:szCs w:val="16"/>
                <w:lang w:val="en-GB"/>
              </w:rPr>
            </w:pPr>
            <w:r>
              <w:rPr>
                <w:i/>
                <w:sz w:val="14"/>
                <w:szCs w:val="16"/>
                <w:lang w:val="en-GB"/>
              </w:rPr>
              <w:t>-6 (rounded to millions)</w:t>
            </w:r>
          </w:p>
        </w:tc>
        <w:tc>
          <w:tcPr>
            <w:tcW w:w="2700" w:type="dxa"/>
          </w:tcPr>
          <w:p w14:paraId="05BCE32E" w14:textId="77777777" w:rsidR="00DA4EFA" w:rsidRDefault="00DA4EFA" w:rsidP="00D60837">
            <w:pPr>
              <w:pStyle w:val="BodyText"/>
              <w:spacing w:before="0" w:after="0"/>
              <w:jc w:val="left"/>
              <w:rPr>
                <w:b/>
                <w:sz w:val="14"/>
                <w:szCs w:val="16"/>
                <w:lang w:val="en-GB"/>
              </w:rPr>
            </w:pPr>
            <w:r>
              <w:rPr>
                <w:b/>
                <w:sz w:val="14"/>
                <w:szCs w:val="16"/>
                <w:lang w:val="en-GB"/>
              </w:rPr>
              <w:t>Decimals</w:t>
            </w:r>
          </w:p>
        </w:tc>
        <w:tc>
          <w:tcPr>
            <w:tcW w:w="3394" w:type="dxa"/>
          </w:tcPr>
          <w:p w14:paraId="3A641628" w14:textId="77777777" w:rsidR="00DA4EFA" w:rsidRDefault="00DA4EFA" w:rsidP="00D60837">
            <w:pPr>
              <w:pStyle w:val="BodyText"/>
              <w:spacing w:before="0" w:after="0"/>
              <w:jc w:val="left"/>
              <w:rPr>
                <w:sz w:val="14"/>
                <w:szCs w:val="16"/>
                <w:lang w:val="en-GB"/>
              </w:rPr>
            </w:pPr>
            <w:r>
              <w:rPr>
                <w:sz w:val="14"/>
                <w:szCs w:val="16"/>
                <w:lang w:val="en-GB"/>
              </w:rPr>
              <w:t>Aspect, Aspect Value</w:t>
            </w:r>
          </w:p>
        </w:tc>
      </w:tr>
    </w:tbl>
    <w:p w14:paraId="61FF6164" w14:textId="77777777" w:rsidR="00DA4EFA" w:rsidRDefault="00DA4EFA" w:rsidP="00200171"/>
    <w:p w14:paraId="1D482A66" w14:textId="77777777" w:rsidR="00DA4EFA" w:rsidRDefault="00DA4EFA" w:rsidP="00200171"/>
    <w:p w14:paraId="5CAE9EC2" w14:textId="77777777" w:rsidR="00DA4EFA" w:rsidRDefault="00DA4EFA" w:rsidP="00200171">
      <w:pPr>
        <w:pStyle w:val="BodyText"/>
        <w:rPr>
          <w:lang w:val="en-GB"/>
        </w:rPr>
      </w:pPr>
    </w:p>
    <w:sectPr w:rsidR="00DA4EFA" w:rsidSect="00D5119C">
      <w:headerReference w:type="default" r:id="rId12"/>
      <w:footerReference w:type="default" r:id="rId13"/>
      <w:endnotePr>
        <w:numFmt w:val="decimal"/>
      </w:endnotePr>
      <w:pgSz w:w="12240" w:h="15840" w:code="1"/>
      <w:pgMar w:top="1440" w:right="1800" w:bottom="171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1AB63D" w14:textId="77777777" w:rsidR="00FC0121" w:rsidRDefault="00FC0121">
      <w:r>
        <w:separator/>
      </w:r>
    </w:p>
  </w:endnote>
  <w:endnote w:type="continuationSeparator" w:id="0">
    <w:p w14:paraId="6550ACEA" w14:textId="77777777" w:rsidR="00FC0121" w:rsidRDefault="00FC0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vantGarde">
    <w:altName w:val="Century Gothic"/>
    <w:charset w:val="00"/>
    <w:family w:val="auto"/>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80C81" w14:textId="77777777" w:rsidR="00E3449C" w:rsidRDefault="00B1218B">
    <w:pPr>
      <w:pStyle w:val="Footer"/>
      <w:rPr>
        <w:rFonts w:cs="Lucida Sans Unicode"/>
        <w:sz w:val="16"/>
      </w:rPr>
    </w:pPr>
    <w:r>
      <w:rPr>
        <w:noProof/>
      </w:rPr>
      <w:drawing>
        <wp:inline distT="0" distB="0" distL="0" distR="0" wp14:anchorId="352CF4FF" wp14:editId="18BFA2DF">
          <wp:extent cx="1302385" cy="241300"/>
          <wp:effectExtent l="0" t="0" r="0" b="6350"/>
          <wp:docPr id="2" name="Picture 2">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r>
      <w:rPr>
        <w:color w:val="000000"/>
        <w:sz w:val="16"/>
        <w:szCs w:val="16"/>
      </w:rPr>
      <w:br/>
    </w:r>
    <w:r>
      <w:rPr>
        <w:color w:val="000000"/>
        <w:sz w:val="12"/>
        <w:szCs w:val="16"/>
      </w:rPr>
      <w:t>CC0 1.0 Universal (CC0 1.0) Public Domain Dedication</w:t>
    </w:r>
    <w:r>
      <w:t xml:space="preserve"> </w:t>
    </w:r>
    <w:hyperlink r:id="rId3" w:history="1">
      <w:r>
        <w:rPr>
          <w:rStyle w:val="Hyperlink"/>
          <w:sz w:val="12"/>
          <w:szCs w:val="16"/>
        </w:rPr>
        <w:t>https://creativecommons.org/publicdomain/zero/1.0/</w:t>
      </w:r>
    </w:hyperlink>
    <w:r w:rsidR="00E3449C">
      <w:rPr>
        <w:sz w:val="12"/>
        <w:szCs w:val="16"/>
      </w:rPr>
      <w:t xml:space="preserve"> </w:t>
    </w:r>
    <w:r w:rsidR="00E3449C">
      <w:rPr>
        <w:rFonts w:cs="Lucida Sans Unicode"/>
        <w:sz w:val="16"/>
      </w:rPr>
      <w:tab/>
    </w:r>
    <w:r w:rsidR="00E3449C">
      <w:rPr>
        <w:rFonts w:cs="Lucida Sans Unicode"/>
        <w:sz w:val="16"/>
      </w:rPr>
      <w:tab/>
    </w:r>
    <w:r w:rsidR="00E3449C">
      <w:rPr>
        <w:rFonts w:cs="Lucida Sans Unicode"/>
        <w:sz w:val="16"/>
      </w:rPr>
      <w:fldChar w:fldCharType="begin"/>
    </w:r>
    <w:r w:rsidR="00E3449C">
      <w:rPr>
        <w:rFonts w:cs="Lucida Sans Unicode"/>
        <w:sz w:val="16"/>
      </w:rPr>
      <w:instrText xml:space="preserve"> PAGE </w:instrText>
    </w:r>
    <w:r w:rsidR="00E3449C">
      <w:rPr>
        <w:rFonts w:cs="Lucida Sans Unicode"/>
        <w:sz w:val="16"/>
      </w:rPr>
      <w:fldChar w:fldCharType="separate"/>
    </w:r>
    <w:r w:rsidR="007540FB">
      <w:rPr>
        <w:rFonts w:cs="Lucida Sans Unicode"/>
        <w:noProof/>
        <w:sz w:val="16"/>
      </w:rPr>
      <w:t>1</w:t>
    </w:r>
    <w:r w:rsidR="00E3449C">
      <w:rPr>
        <w:rFonts w:cs="Lucida Sans Unicode"/>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02063D" w14:textId="77777777" w:rsidR="00FC0121" w:rsidRDefault="00FC0121">
      <w:r>
        <w:separator/>
      </w:r>
    </w:p>
  </w:footnote>
  <w:footnote w:type="continuationSeparator" w:id="0">
    <w:p w14:paraId="61D4C66E" w14:textId="77777777" w:rsidR="00FC0121" w:rsidRDefault="00FC0121">
      <w:r>
        <w:continuationSeparator/>
      </w:r>
    </w:p>
  </w:footnote>
  <w:footnote w:id="1">
    <w:p w14:paraId="0AD7FC63" w14:textId="77777777" w:rsidR="00DA4EFA" w:rsidRPr="008E033E" w:rsidRDefault="00DA4EFA" w:rsidP="004609E6">
      <w:pPr>
        <w:pStyle w:val="FootnoteText"/>
        <w:jc w:val="left"/>
        <w:rPr>
          <w:sz w:val="16"/>
        </w:rPr>
      </w:pPr>
      <w:r>
        <w:rPr>
          <w:rStyle w:val="FootnoteReference"/>
        </w:rPr>
        <w:footnoteRef/>
      </w:r>
      <w:r>
        <w:t xml:space="preserve"> </w:t>
      </w:r>
      <w:r w:rsidRPr="008E033E">
        <w:rPr>
          <w:sz w:val="16"/>
        </w:rPr>
        <w:t xml:space="preserve">OMG, </w:t>
      </w:r>
      <w:r w:rsidRPr="008E033E">
        <w:rPr>
          <w:i/>
          <w:sz w:val="16"/>
        </w:rPr>
        <w:t>Standard Business Report Model</w:t>
      </w:r>
      <w:r w:rsidRPr="008E033E">
        <w:rPr>
          <w:sz w:val="16"/>
        </w:rPr>
        <w:t xml:space="preserve">, </w:t>
      </w:r>
      <w:hyperlink r:id="rId1" w:history="1">
        <w:r w:rsidRPr="00B94C59">
          <w:rPr>
            <w:rStyle w:val="Hyperlink"/>
            <w:sz w:val="16"/>
          </w:rPr>
          <w:t>http://xbrlsite.azurewebsites.net/2019/Library/LogicalTheoryDescribingBusinessReport.pdf</w:t>
        </w:r>
      </w:hyperlink>
      <w:r>
        <w:rPr>
          <w:sz w:val="16"/>
        </w:rPr>
        <w:t xml:space="preserve"> </w:t>
      </w:r>
    </w:p>
  </w:footnote>
  <w:footnote w:id="2">
    <w:p w14:paraId="1AFA1E5C" w14:textId="77777777" w:rsidR="00DA4EFA" w:rsidRPr="008E033E" w:rsidRDefault="00DA4EFA" w:rsidP="004609E6">
      <w:pPr>
        <w:pStyle w:val="FootnoteText"/>
        <w:jc w:val="left"/>
        <w:rPr>
          <w:sz w:val="16"/>
        </w:rPr>
      </w:pPr>
      <w:r>
        <w:rPr>
          <w:rStyle w:val="FootnoteReference"/>
        </w:rPr>
        <w:footnoteRef/>
      </w:r>
      <w:r>
        <w:t xml:space="preserve"> </w:t>
      </w:r>
      <w:r w:rsidRPr="008E033E">
        <w:rPr>
          <w:sz w:val="16"/>
        </w:rPr>
        <w:t xml:space="preserve">XBRL International, </w:t>
      </w:r>
      <w:r w:rsidRPr="008E033E">
        <w:rPr>
          <w:i/>
          <w:sz w:val="16"/>
        </w:rPr>
        <w:t>XBRL 2.1 Technical Specification</w:t>
      </w:r>
      <w:r w:rsidRPr="008E033E">
        <w:rPr>
          <w:sz w:val="16"/>
        </w:rPr>
        <w:t xml:space="preserve">, </w:t>
      </w:r>
      <w:hyperlink r:id="rId2" w:history="1">
        <w:r w:rsidRPr="00B94C59">
          <w:rPr>
            <w:rStyle w:val="Hyperlink"/>
            <w:sz w:val="16"/>
          </w:rPr>
          <w:t>https://specifications.xbrl.org/work-product-index-group-base-spec-base-spec.html</w:t>
        </w:r>
      </w:hyperlink>
      <w:r>
        <w:rPr>
          <w:sz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CE05E" w14:textId="091C8D6F" w:rsidR="00E3449C" w:rsidRPr="00986E53" w:rsidRDefault="003E1007" w:rsidP="00DF64FC">
    <w:pPr>
      <w:pStyle w:val="Header"/>
      <w:jc w:val="center"/>
      <w:rPr>
        <w:sz w:val="18"/>
        <w:szCs w:val="18"/>
      </w:rPr>
    </w:pPr>
    <w:r>
      <w:rPr>
        <w:smallCaps/>
        <w:sz w:val="16"/>
        <w:szCs w:val="18"/>
      </w:rPr>
      <w:t xml:space="preserve">Mastering XBRL-based </w:t>
    </w:r>
    <w:r w:rsidR="00DF64FC" w:rsidRPr="00986E53">
      <w:rPr>
        <w:smallCaps/>
        <w:sz w:val="16"/>
        <w:szCs w:val="18"/>
      </w:rPr>
      <w:t>Digital Financial Reporting – Part 5: Technical Details – Reconciliation of Models – Charles Hoffman, CPA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0B10AC0"/>
    <w:multiLevelType w:val="multilevel"/>
    <w:tmpl w:val="82661BBC"/>
    <w:lvl w:ilvl="0">
      <w:start w:val="1"/>
      <w:numFmt w:val="decimal"/>
      <w:pStyle w:val="Heading1"/>
      <w:lvlText w:val="%1."/>
      <w:lvlJc w:val="left"/>
      <w:pPr>
        <w:tabs>
          <w:tab w:val="num" w:pos="-360"/>
        </w:tabs>
        <w:ind w:left="-360" w:firstLine="360"/>
      </w:pPr>
      <w:rPr>
        <w:rFonts w:hint="default"/>
      </w:rPr>
    </w:lvl>
    <w:lvl w:ilvl="1">
      <w:start w:val="1"/>
      <w:numFmt w:val="decimal"/>
      <w:pStyle w:val="Heading2"/>
      <w:lvlText w:val="%1.%2."/>
      <w:lvlJc w:val="left"/>
      <w:pPr>
        <w:tabs>
          <w:tab w:val="num" w:pos="-360"/>
        </w:tabs>
        <w:ind w:left="0" w:firstLine="0"/>
      </w:pPr>
      <w:rPr>
        <w:rFonts w:hint="default"/>
      </w:rPr>
    </w:lvl>
    <w:lvl w:ilvl="2">
      <w:start w:val="1"/>
      <w:numFmt w:val="decimal"/>
      <w:pStyle w:val="Heading3"/>
      <w:lvlText w:val="%1.%2.%3."/>
      <w:lvlJc w:val="left"/>
      <w:pPr>
        <w:tabs>
          <w:tab w:val="num" w:pos="360"/>
        </w:tabs>
        <w:ind w:left="504" w:hanging="504"/>
      </w:pPr>
      <w:rPr>
        <w:rFonts w:hint="default"/>
      </w:rPr>
    </w:lvl>
    <w:lvl w:ilvl="3">
      <w:start w:val="1"/>
      <w:numFmt w:val="decimal"/>
      <w:pStyle w:val="Heading4"/>
      <w:lvlText w:val="%1.%2.%3.%4."/>
      <w:lvlJc w:val="left"/>
      <w:pPr>
        <w:tabs>
          <w:tab w:val="num" w:pos="1080"/>
        </w:tabs>
        <w:ind w:left="1008" w:hanging="648"/>
      </w:pPr>
      <w:rPr>
        <w:rFonts w:hint="default"/>
      </w:rPr>
    </w:lvl>
    <w:lvl w:ilvl="4">
      <w:start w:val="1"/>
      <w:numFmt w:val="decimal"/>
      <w:pStyle w:val="Heading5"/>
      <w:lvlText w:val="%1.%2.%3.%4.%5."/>
      <w:lvlJc w:val="left"/>
      <w:pPr>
        <w:tabs>
          <w:tab w:val="num" w:pos="1800"/>
        </w:tabs>
        <w:ind w:left="1512" w:hanging="792"/>
      </w:pPr>
      <w:rPr>
        <w:rFonts w:hint="default"/>
      </w:rPr>
    </w:lvl>
    <w:lvl w:ilvl="5">
      <w:start w:val="1"/>
      <w:numFmt w:val="decimal"/>
      <w:pStyle w:val="Heading6"/>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65EA"/>
    <w:rsid w:val="000016E6"/>
    <w:rsid w:val="00001EE5"/>
    <w:rsid w:val="000032A9"/>
    <w:rsid w:val="00005A76"/>
    <w:rsid w:val="00006482"/>
    <w:rsid w:val="00006D58"/>
    <w:rsid w:val="00007240"/>
    <w:rsid w:val="00010D7E"/>
    <w:rsid w:val="000122A0"/>
    <w:rsid w:val="000148C1"/>
    <w:rsid w:val="000155DC"/>
    <w:rsid w:val="00015684"/>
    <w:rsid w:val="000161D2"/>
    <w:rsid w:val="00016253"/>
    <w:rsid w:val="000164DB"/>
    <w:rsid w:val="00016B82"/>
    <w:rsid w:val="000177CF"/>
    <w:rsid w:val="00017BBA"/>
    <w:rsid w:val="0002109F"/>
    <w:rsid w:val="00021DCD"/>
    <w:rsid w:val="000228D3"/>
    <w:rsid w:val="00023724"/>
    <w:rsid w:val="000237CC"/>
    <w:rsid w:val="000237EB"/>
    <w:rsid w:val="00025FD5"/>
    <w:rsid w:val="00030B6D"/>
    <w:rsid w:val="00032644"/>
    <w:rsid w:val="00035771"/>
    <w:rsid w:val="000358B0"/>
    <w:rsid w:val="00035C81"/>
    <w:rsid w:val="0003759F"/>
    <w:rsid w:val="00043122"/>
    <w:rsid w:val="000434D4"/>
    <w:rsid w:val="00043E99"/>
    <w:rsid w:val="00044165"/>
    <w:rsid w:val="000443D5"/>
    <w:rsid w:val="00045251"/>
    <w:rsid w:val="0004574A"/>
    <w:rsid w:val="00045D0D"/>
    <w:rsid w:val="0004620D"/>
    <w:rsid w:val="00046CEA"/>
    <w:rsid w:val="000472AF"/>
    <w:rsid w:val="000509B7"/>
    <w:rsid w:val="00051469"/>
    <w:rsid w:val="00051908"/>
    <w:rsid w:val="0005192B"/>
    <w:rsid w:val="00051A74"/>
    <w:rsid w:val="00052000"/>
    <w:rsid w:val="000526FF"/>
    <w:rsid w:val="000528AC"/>
    <w:rsid w:val="00053768"/>
    <w:rsid w:val="00053C14"/>
    <w:rsid w:val="000546A6"/>
    <w:rsid w:val="0005514B"/>
    <w:rsid w:val="00055240"/>
    <w:rsid w:val="0005563E"/>
    <w:rsid w:val="00055F80"/>
    <w:rsid w:val="00056607"/>
    <w:rsid w:val="000570AE"/>
    <w:rsid w:val="00060120"/>
    <w:rsid w:val="000609B0"/>
    <w:rsid w:val="00061B60"/>
    <w:rsid w:val="000637EB"/>
    <w:rsid w:val="00063844"/>
    <w:rsid w:val="00063DBD"/>
    <w:rsid w:val="00063F84"/>
    <w:rsid w:val="000653B6"/>
    <w:rsid w:val="000659DD"/>
    <w:rsid w:val="000659E8"/>
    <w:rsid w:val="00065BD3"/>
    <w:rsid w:val="000715DD"/>
    <w:rsid w:val="00072ABF"/>
    <w:rsid w:val="00073599"/>
    <w:rsid w:val="00074E20"/>
    <w:rsid w:val="00074E5B"/>
    <w:rsid w:val="000770E7"/>
    <w:rsid w:val="00077496"/>
    <w:rsid w:val="000803CD"/>
    <w:rsid w:val="00080C5A"/>
    <w:rsid w:val="00082761"/>
    <w:rsid w:val="00084349"/>
    <w:rsid w:val="00084367"/>
    <w:rsid w:val="00084532"/>
    <w:rsid w:val="0008471D"/>
    <w:rsid w:val="00085A93"/>
    <w:rsid w:val="00086CD7"/>
    <w:rsid w:val="000902B5"/>
    <w:rsid w:val="00090664"/>
    <w:rsid w:val="000915E4"/>
    <w:rsid w:val="00096E5C"/>
    <w:rsid w:val="000A03AF"/>
    <w:rsid w:val="000A08F0"/>
    <w:rsid w:val="000A135D"/>
    <w:rsid w:val="000A147D"/>
    <w:rsid w:val="000A2463"/>
    <w:rsid w:val="000A3DAF"/>
    <w:rsid w:val="000A408C"/>
    <w:rsid w:val="000A4F2F"/>
    <w:rsid w:val="000A6B47"/>
    <w:rsid w:val="000A7166"/>
    <w:rsid w:val="000A76D3"/>
    <w:rsid w:val="000A778C"/>
    <w:rsid w:val="000B0384"/>
    <w:rsid w:val="000B1561"/>
    <w:rsid w:val="000B1811"/>
    <w:rsid w:val="000B1A7F"/>
    <w:rsid w:val="000B1EDD"/>
    <w:rsid w:val="000B319F"/>
    <w:rsid w:val="000B320F"/>
    <w:rsid w:val="000B5569"/>
    <w:rsid w:val="000B6043"/>
    <w:rsid w:val="000B6F4E"/>
    <w:rsid w:val="000C0251"/>
    <w:rsid w:val="000C06DE"/>
    <w:rsid w:val="000C2D28"/>
    <w:rsid w:val="000C2E51"/>
    <w:rsid w:val="000C31BA"/>
    <w:rsid w:val="000C38E4"/>
    <w:rsid w:val="000C3A71"/>
    <w:rsid w:val="000C3AA2"/>
    <w:rsid w:val="000C3D77"/>
    <w:rsid w:val="000C5221"/>
    <w:rsid w:val="000C56E9"/>
    <w:rsid w:val="000C58F2"/>
    <w:rsid w:val="000C65F1"/>
    <w:rsid w:val="000C6B12"/>
    <w:rsid w:val="000C6CBB"/>
    <w:rsid w:val="000C7A92"/>
    <w:rsid w:val="000C7D1A"/>
    <w:rsid w:val="000D05F6"/>
    <w:rsid w:val="000D1438"/>
    <w:rsid w:val="000D17A6"/>
    <w:rsid w:val="000D1F0B"/>
    <w:rsid w:val="000D25AD"/>
    <w:rsid w:val="000D3601"/>
    <w:rsid w:val="000D37D0"/>
    <w:rsid w:val="000D3A04"/>
    <w:rsid w:val="000D4CF5"/>
    <w:rsid w:val="000D5414"/>
    <w:rsid w:val="000D6234"/>
    <w:rsid w:val="000D63DA"/>
    <w:rsid w:val="000D75CC"/>
    <w:rsid w:val="000E000E"/>
    <w:rsid w:val="000E0BB4"/>
    <w:rsid w:val="000E280A"/>
    <w:rsid w:val="000E2A8A"/>
    <w:rsid w:val="000E2F58"/>
    <w:rsid w:val="000E33F2"/>
    <w:rsid w:val="000E39DD"/>
    <w:rsid w:val="000E4816"/>
    <w:rsid w:val="000E5885"/>
    <w:rsid w:val="000E5A13"/>
    <w:rsid w:val="000E6454"/>
    <w:rsid w:val="000E6563"/>
    <w:rsid w:val="000E69DE"/>
    <w:rsid w:val="000E725C"/>
    <w:rsid w:val="000E760D"/>
    <w:rsid w:val="000E79D4"/>
    <w:rsid w:val="000E7EDB"/>
    <w:rsid w:val="000F0420"/>
    <w:rsid w:val="000F0570"/>
    <w:rsid w:val="000F0DD9"/>
    <w:rsid w:val="000F0EAD"/>
    <w:rsid w:val="000F249C"/>
    <w:rsid w:val="000F25BF"/>
    <w:rsid w:val="000F3253"/>
    <w:rsid w:val="000F3B30"/>
    <w:rsid w:val="000F41FF"/>
    <w:rsid w:val="000F5154"/>
    <w:rsid w:val="000F5B01"/>
    <w:rsid w:val="000F5DFD"/>
    <w:rsid w:val="000F6AF8"/>
    <w:rsid w:val="000F6D28"/>
    <w:rsid w:val="00101989"/>
    <w:rsid w:val="00101C2E"/>
    <w:rsid w:val="00102144"/>
    <w:rsid w:val="00102446"/>
    <w:rsid w:val="00102474"/>
    <w:rsid w:val="00102A68"/>
    <w:rsid w:val="00102BD9"/>
    <w:rsid w:val="001048F2"/>
    <w:rsid w:val="00104DF5"/>
    <w:rsid w:val="00104E4F"/>
    <w:rsid w:val="00104E90"/>
    <w:rsid w:val="00105961"/>
    <w:rsid w:val="0010607A"/>
    <w:rsid w:val="00106332"/>
    <w:rsid w:val="00106A41"/>
    <w:rsid w:val="00106D07"/>
    <w:rsid w:val="00106D73"/>
    <w:rsid w:val="00107C14"/>
    <w:rsid w:val="00107D24"/>
    <w:rsid w:val="0011076A"/>
    <w:rsid w:val="00111839"/>
    <w:rsid w:val="001118C7"/>
    <w:rsid w:val="001127B1"/>
    <w:rsid w:val="001146A6"/>
    <w:rsid w:val="00114B66"/>
    <w:rsid w:val="001156D1"/>
    <w:rsid w:val="00116990"/>
    <w:rsid w:val="00117313"/>
    <w:rsid w:val="001202E3"/>
    <w:rsid w:val="00120D76"/>
    <w:rsid w:val="00121AB0"/>
    <w:rsid w:val="00123CEA"/>
    <w:rsid w:val="00123F69"/>
    <w:rsid w:val="001245CE"/>
    <w:rsid w:val="0012470B"/>
    <w:rsid w:val="0012632D"/>
    <w:rsid w:val="001266F3"/>
    <w:rsid w:val="00126DD7"/>
    <w:rsid w:val="00131753"/>
    <w:rsid w:val="0013252B"/>
    <w:rsid w:val="00132B78"/>
    <w:rsid w:val="001339F4"/>
    <w:rsid w:val="00134182"/>
    <w:rsid w:val="001342E2"/>
    <w:rsid w:val="001348ED"/>
    <w:rsid w:val="00134A9C"/>
    <w:rsid w:val="0013547C"/>
    <w:rsid w:val="00135578"/>
    <w:rsid w:val="00135BA3"/>
    <w:rsid w:val="00136A53"/>
    <w:rsid w:val="00137EF0"/>
    <w:rsid w:val="001408B3"/>
    <w:rsid w:val="001418D9"/>
    <w:rsid w:val="0014285D"/>
    <w:rsid w:val="0014406C"/>
    <w:rsid w:val="001444BB"/>
    <w:rsid w:val="001446FF"/>
    <w:rsid w:val="0014473F"/>
    <w:rsid w:val="001448A2"/>
    <w:rsid w:val="00144EE2"/>
    <w:rsid w:val="00146772"/>
    <w:rsid w:val="00146ACE"/>
    <w:rsid w:val="00147103"/>
    <w:rsid w:val="001474C9"/>
    <w:rsid w:val="0014758A"/>
    <w:rsid w:val="0014770F"/>
    <w:rsid w:val="001501AA"/>
    <w:rsid w:val="0015030E"/>
    <w:rsid w:val="00150830"/>
    <w:rsid w:val="00150B2F"/>
    <w:rsid w:val="001514F1"/>
    <w:rsid w:val="00151B96"/>
    <w:rsid w:val="00152139"/>
    <w:rsid w:val="00153124"/>
    <w:rsid w:val="0015353E"/>
    <w:rsid w:val="00153F7E"/>
    <w:rsid w:val="001541E4"/>
    <w:rsid w:val="00155C8F"/>
    <w:rsid w:val="00157842"/>
    <w:rsid w:val="00160098"/>
    <w:rsid w:val="00160642"/>
    <w:rsid w:val="00160CB6"/>
    <w:rsid w:val="001613DC"/>
    <w:rsid w:val="001617B5"/>
    <w:rsid w:val="0016208B"/>
    <w:rsid w:val="0016397B"/>
    <w:rsid w:val="001646D3"/>
    <w:rsid w:val="00165318"/>
    <w:rsid w:val="0016531B"/>
    <w:rsid w:val="00166D45"/>
    <w:rsid w:val="00166F28"/>
    <w:rsid w:val="00167D35"/>
    <w:rsid w:val="0017091F"/>
    <w:rsid w:val="00170BB2"/>
    <w:rsid w:val="00171742"/>
    <w:rsid w:val="001729F1"/>
    <w:rsid w:val="00173D01"/>
    <w:rsid w:val="0017612D"/>
    <w:rsid w:val="00180AE0"/>
    <w:rsid w:val="00180CA1"/>
    <w:rsid w:val="00181043"/>
    <w:rsid w:val="00181353"/>
    <w:rsid w:val="00182624"/>
    <w:rsid w:val="001826AA"/>
    <w:rsid w:val="0018452F"/>
    <w:rsid w:val="00184AB8"/>
    <w:rsid w:val="001850BF"/>
    <w:rsid w:val="0018759B"/>
    <w:rsid w:val="001875E1"/>
    <w:rsid w:val="0018789E"/>
    <w:rsid w:val="00192D59"/>
    <w:rsid w:val="0019309F"/>
    <w:rsid w:val="001935CE"/>
    <w:rsid w:val="00193E70"/>
    <w:rsid w:val="00194758"/>
    <w:rsid w:val="00195144"/>
    <w:rsid w:val="001967A5"/>
    <w:rsid w:val="001968E6"/>
    <w:rsid w:val="0019690A"/>
    <w:rsid w:val="001972EC"/>
    <w:rsid w:val="0019783E"/>
    <w:rsid w:val="0019789F"/>
    <w:rsid w:val="001979E8"/>
    <w:rsid w:val="001A00DB"/>
    <w:rsid w:val="001A017E"/>
    <w:rsid w:val="001A0462"/>
    <w:rsid w:val="001A04D7"/>
    <w:rsid w:val="001A12AC"/>
    <w:rsid w:val="001A1A39"/>
    <w:rsid w:val="001A2EB5"/>
    <w:rsid w:val="001A42FD"/>
    <w:rsid w:val="001A4EF0"/>
    <w:rsid w:val="001A743F"/>
    <w:rsid w:val="001A7FEB"/>
    <w:rsid w:val="001B0194"/>
    <w:rsid w:val="001B039A"/>
    <w:rsid w:val="001B03B1"/>
    <w:rsid w:val="001B0607"/>
    <w:rsid w:val="001B0642"/>
    <w:rsid w:val="001B070F"/>
    <w:rsid w:val="001B127A"/>
    <w:rsid w:val="001B1F81"/>
    <w:rsid w:val="001B23AD"/>
    <w:rsid w:val="001B261D"/>
    <w:rsid w:val="001B4CC0"/>
    <w:rsid w:val="001B5253"/>
    <w:rsid w:val="001B5AF7"/>
    <w:rsid w:val="001B6F98"/>
    <w:rsid w:val="001B7B73"/>
    <w:rsid w:val="001C1847"/>
    <w:rsid w:val="001C1F76"/>
    <w:rsid w:val="001C26FD"/>
    <w:rsid w:val="001C28B5"/>
    <w:rsid w:val="001C2C2F"/>
    <w:rsid w:val="001C3B82"/>
    <w:rsid w:val="001C3CDE"/>
    <w:rsid w:val="001C3FD9"/>
    <w:rsid w:val="001C55CA"/>
    <w:rsid w:val="001C5C16"/>
    <w:rsid w:val="001C683B"/>
    <w:rsid w:val="001C78A5"/>
    <w:rsid w:val="001C7B83"/>
    <w:rsid w:val="001C7E67"/>
    <w:rsid w:val="001D0CF5"/>
    <w:rsid w:val="001D12C5"/>
    <w:rsid w:val="001D18C0"/>
    <w:rsid w:val="001D1C6B"/>
    <w:rsid w:val="001D215A"/>
    <w:rsid w:val="001D3E6C"/>
    <w:rsid w:val="001D4A45"/>
    <w:rsid w:val="001D56FC"/>
    <w:rsid w:val="001D5AE5"/>
    <w:rsid w:val="001D6E0C"/>
    <w:rsid w:val="001D778C"/>
    <w:rsid w:val="001E00E3"/>
    <w:rsid w:val="001E02A4"/>
    <w:rsid w:val="001E0946"/>
    <w:rsid w:val="001E289C"/>
    <w:rsid w:val="001E33AD"/>
    <w:rsid w:val="001E3728"/>
    <w:rsid w:val="001E3B18"/>
    <w:rsid w:val="001E3FF3"/>
    <w:rsid w:val="001E4CAB"/>
    <w:rsid w:val="001E65C3"/>
    <w:rsid w:val="001E6D6A"/>
    <w:rsid w:val="001E7225"/>
    <w:rsid w:val="001E7D7D"/>
    <w:rsid w:val="001F0088"/>
    <w:rsid w:val="001F1654"/>
    <w:rsid w:val="001F1DC5"/>
    <w:rsid w:val="001F5F20"/>
    <w:rsid w:val="001F70AB"/>
    <w:rsid w:val="001F71BB"/>
    <w:rsid w:val="001F7223"/>
    <w:rsid w:val="001F725F"/>
    <w:rsid w:val="001F7538"/>
    <w:rsid w:val="001F77AC"/>
    <w:rsid w:val="001F7CBF"/>
    <w:rsid w:val="00200171"/>
    <w:rsid w:val="00200D5A"/>
    <w:rsid w:val="00201438"/>
    <w:rsid w:val="0020177A"/>
    <w:rsid w:val="00201BED"/>
    <w:rsid w:val="0020332C"/>
    <w:rsid w:val="002039E0"/>
    <w:rsid w:val="00203FFF"/>
    <w:rsid w:val="0020439B"/>
    <w:rsid w:val="002047F4"/>
    <w:rsid w:val="002048EF"/>
    <w:rsid w:val="00205A4A"/>
    <w:rsid w:val="00206186"/>
    <w:rsid w:val="002063A7"/>
    <w:rsid w:val="00207321"/>
    <w:rsid w:val="00207FCA"/>
    <w:rsid w:val="00211BAF"/>
    <w:rsid w:val="00211D4D"/>
    <w:rsid w:val="00212028"/>
    <w:rsid w:val="002120C0"/>
    <w:rsid w:val="0021234D"/>
    <w:rsid w:val="00212AB2"/>
    <w:rsid w:val="00213647"/>
    <w:rsid w:val="00213A35"/>
    <w:rsid w:val="002140EE"/>
    <w:rsid w:val="00214CEE"/>
    <w:rsid w:val="00214EE0"/>
    <w:rsid w:val="00216137"/>
    <w:rsid w:val="002165D8"/>
    <w:rsid w:val="002172E2"/>
    <w:rsid w:val="00217664"/>
    <w:rsid w:val="00217B38"/>
    <w:rsid w:val="00217FDA"/>
    <w:rsid w:val="00220A1A"/>
    <w:rsid w:val="00220D88"/>
    <w:rsid w:val="00222661"/>
    <w:rsid w:val="00222D5C"/>
    <w:rsid w:val="0022341C"/>
    <w:rsid w:val="0022341F"/>
    <w:rsid w:val="00223708"/>
    <w:rsid w:val="00223BAE"/>
    <w:rsid w:val="0022543F"/>
    <w:rsid w:val="002254FB"/>
    <w:rsid w:val="002268C6"/>
    <w:rsid w:val="00226B4C"/>
    <w:rsid w:val="00227501"/>
    <w:rsid w:val="00230B99"/>
    <w:rsid w:val="00231E24"/>
    <w:rsid w:val="00231EC4"/>
    <w:rsid w:val="00231FD0"/>
    <w:rsid w:val="0023200D"/>
    <w:rsid w:val="00232868"/>
    <w:rsid w:val="00232F1A"/>
    <w:rsid w:val="00233B37"/>
    <w:rsid w:val="00233F3C"/>
    <w:rsid w:val="0023604C"/>
    <w:rsid w:val="00236541"/>
    <w:rsid w:val="00237F73"/>
    <w:rsid w:val="002401AA"/>
    <w:rsid w:val="00240961"/>
    <w:rsid w:val="00240C65"/>
    <w:rsid w:val="00241485"/>
    <w:rsid w:val="00241637"/>
    <w:rsid w:val="00242029"/>
    <w:rsid w:val="002423E9"/>
    <w:rsid w:val="002427D3"/>
    <w:rsid w:val="002435C0"/>
    <w:rsid w:val="00243CC7"/>
    <w:rsid w:val="002473B6"/>
    <w:rsid w:val="00247A70"/>
    <w:rsid w:val="00250A74"/>
    <w:rsid w:val="002513A8"/>
    <w:rsid w:val="00252745"/>
    <w:rsid w:val="00252781"/>
    <w:rsid w:val="00252A99"/>
    <w:rsid w:val="00252EC9"/>
    <w:rsid w:val="00252EDF"/>
    <w:rsid w:val="002532C6"/>
    <w:rsid w:val="00253EAC"/>
    <w:rsid w:val="00254B13"/>
    <w:rsid w:val="00254E06"/>
    <w:rsid w:val="00256677"/>
    <w:rsid w:val="00257142"/>
    <w:rsid w:val="00260B48"/>
    <w:rsid w:val="00260B4F"/>
    <w:rsid w:val="00260F61"/>
    <w:rsid w:val="00261416"/>
    <w:rsid w:val="00261FC2"/>
    <w:rsid w:val="002622EF"/>
    <w:rsid w:val="002623DC"/>
    <w:rsid w:val="002624B9"/>
    <w:rsid w:val="00262590"/>
    <w:rsid w:val="002633B3"/>
    <w:rsid w:val="002663E0"/>
    <w:rsid w:val="00266920"/>
    <w:rsid w:val="00266EB7"/>
    <w:rsid w:val="00267127"/>
    <w:rsid w:val="00271937"/>
    <w:rsid w:val="00272DCD"/>
    <w:rsid w:val="00272EB8"/>
    <w:rsid w:val="002732C5"/>
    <w:rsid w:val="002732FC"/>
    <w:rsid w:val="00273E52"/>
    <w:rsid w:val="002743B9"/>
    <w:rsid w:val="00274953"/>
    <w:rsid w:val="00275B1D"/>
    <w:rsid w:val="00275DD8"/>
    <w:rsid w:val="00275F2D"/>
    <w:rsid w:val="002774AB"/>
    <w:rsid w:val="002800B3"/>
    <w:rsid w:val="002817D2"/>
    <w:rsid w:val="00281C32"/>
    <w:rsid w:val="002821E6"/>
    <w:rsid w:val="00282296"/>
    <w:rsid w:val="002827AC"/>
    <w:rsid w:val="00282A89"/>
    <w:rsid w:val="002858A2"/>
    <w:rsid w:val="00285FE4"/>
    <w:rsid w:val="00287743"/>
    <w:rsid w:val="00287B9D"/>
    <w:rsid w:val="00290E4B"/>
    <w:rsid w:val="002910DA"/>
    <w:rsid w:val="002920B0"/>
    <w:rsid w:val="00293F8A"/>
    <w:rsid w:val="00294EB5"/>
    <w:rsid w:val="002953B4"/>
    <w:rsid w:val="00297554"/>
    <w:rsid w:val="002A039F"/>
    <w:rsid w:val="002A1407"/>
    <w:rsid w:val="002A23E1"/>
    <w:rsid w:val="002A2A90"/>
    <w:rsid w:val="002A338D"/>
    <w:rsid w:val="002A3FF3"/>
    <w:rsid w:val="002A438E"/>
    <w:rsid w:val="002A476C"/>
    <w:rsid w:val="002A4AFA"/>
    <w:rsid w:val="002A65F6"/>
    <w:rsid w:val="002A68B7"/>
    <w:rsid w:val="002A735D"/>
    <w:rsid w:val="002B0111"/>
    <w:rsid w:val="002B07A3"/>
    <w:rsid w:val="002B128A"/>
    <w:rsid w:val="002B1611"/>
    <w:rsid w:val="002B24EB"/>
    <w:rsid w:val="002B27B4"/>
    <w:rsid w:val="002B2B45"/>
    <w:rsid w:val="002B2E2D"/>
    <w:rsid w:val="002B31E6"/>
    <w:rsid w:val="002B3262"/>
    <w:rsid w:val="002B378A"/>
    <w:rsid w:val="002B43F6"/>
    <w:rsid w:val="002B49C8"/>
    <w:rsid w:val="002B56C2"/>
    <w:rsid w:val="002B5D05"/>
    <w:rsid w:val="002B641C"/>
    <w:rsid w:val="002B673F"/>
    <w:rsid w:val="002B69F3"/>
    <w:rsid w:val="002B6FC2"/>
    <w:rsid w:val="002B70C4"/>
    <w:rsid w:val="002B72A6"/>
    <w:rsid w:val="002B7370"/>
    <w:rsid w:val="002B7576"/>
    <w:rsid w:val="002B781C"/>
    <w:rsid w:val="002B7BA8"/>
    <w:rsid w:val="002C01FA"/>
    <w:rsid w:val="002C556A"/>
    <w:rsid w:val="002C5CC9"/>
    <w:rsid w:val="002C689C"/>
    <w:rsid w:val="002C6D02"/>
    <w:rsid w:val="002D0954"/>
    <w:rsid w:val="002D0A4F"/>
    <w:rsid w:val="002D1431"/>
    <w:rsid w:val="002D1AE4"/>
    <w:rsid w:val="002D1D9A"/>
    <w:rsid w:val="002D2081"/>
    <w:rsid w:val="002D224B"/>
    <w:rsid w:val="002D23FF"/>
    <w:rsid w:val="002D2A6E"/>
    <w:rsid w:val="002D2CA5"/>
    <w:rsid w:val="002D3449"/>
    <w:rsid w:val="002D369E"/>
    <w:rsid w:val="002D377B"/>
    <w:rsid w:val="002D3806"/>
    <w:rsid w:val="002D7667"/>
    <w:rsid w:val="002D79A3"/>
    <w:rsid w:val="002D7D6D"/>
    <w:rsid w:val="002E219A"/>
    <w:rsid w:val="002E2566"/>
    <w:rsid w:val="002E3BCB"/>
    <w:rsid w:val="002E415E"/>
    <w:rsid w:val="002E439D"/>
    <w:rsid w:val="002E55A9"/>
    <w:rsid w:val="002E5C91"/>
    <w:rsid w:val="002E5CE1"/>
    <w:rsid w:val="002E65F8"/>
    <w:rsid w:val="002E6CA9"/>
    <w:rsid w:val="002F04C1"/>
    <w:rsid w:val="002F04DD"/>
    <w:rsid w:val="002F1B0B"/>
    <w:rsid w:val="002F3C0E"/>
    <w:rsid w:val="002F7580"/>
    <w:rsid w:val="002F7668"/>
    <w:rsid w:val="0030085C"/>
    <w:rsid w:val="00301BEB"/>
    <w:rsid w:val="003023BC"/>
    <w:rsid w:val="00303C53"/>
    <w:rsid w:val="00304C3B"/>
    <w:rsid w:val="00305E80"/>
    <w:rsid w:val="00306109"/>
    <w:rsid w:val="003063F6"/>
    <w:rsid w:val="0030708B"/>
    <w:rsid w:val="003071DC"/>
    <w:rsid w:val="00307CD1"/>
    <w:rsid w:val="00310E5A"/>
    <w:rsid w:val="003112C0"/>
    <w:rsid w:val="00312076"/>
    <w:rsid w:val="00312858"/>
    <w:rsid w:val="00312865"/>
    <w:rsid w:val="003129E7"/>
    <w:rsid w:val="00313244"/>
    <w:rsid w:val="00313410"/>
    <w:rsid w:val="0031425E"/>
    <w:rsid w:val="003147FF"/>
    <w:rsid w:val="003148BA"/>
    <w:rsid w:val="00315366"/>
    <w:rsid w:val="003165AE"/>
    <w:rsid w:val="00316705"/>
    <w:rsid w:val="00317161"/>
    <w:rsid w:val="00317A66"/>
    <w:rsid w:val="00317CDD"/>
    <w:rsid w:val="0032009C"/>
    <w:rsid w:val="00320140"/>
    <w:rsid w:val="0032076B"/>
    <w:rsid w:val="003210D6"/>
    <w:rsid w:val="003222D6"/>
    <w:rsid w:val="00322899"/>
    <w:rsid w:val="003253A2"/>
    <w:rsid w:val="00325F6D"/>
    <w:rsid w:val="00326864"/>
    <w:rsid w:val="003271B2"/>
    <w:rsid w:val="003303B8"/>
    <w:rsid w:val="003304A5"/>
    <w:rsid w:val="003307DC"/>
    <w:rsid w:val="003316BB"/>
    <w:rsid w:val="00331FD6"/>
    <w:rsid w:val="003322FB"/>
    <w:rsid w:val="0033460F"/>
    <w:rsid w:val="003350AD"/>
    <w:rsid w:val="00335DC2"/>
    <w:rsid w:val="0033698F"/>
    <w:rsid w:val="00336AFA"/>
    <w:rsid w:val="00336BBE"/>
    <w:rsid w:val="00336F98"/>
    <w:rsid w:val="00337F7F"/>
    <w:rsid w:val="0034007F"/>
    <w:rsid w:val="00341617"/>
    <w:rsid w:val="00341882"/>
    <w:rsid w:val="00342534"/>
    <w:rsid w:val="00342813"/>
    <w:rsid w:val="00343786"/>
    <w:rsid w:val="00343A03"/>
    <w:rsid w:val="00343C95"/>
    <w:rsid w:val="00343E5B"/>
    <w:rsid w:val="0034576A"/>
    <w:rsid w:val="003461A9"/>
    <w:rsid w:val="0034688C"/>
    <w:rsid w:val="00347B58"/>
    <w:rsid w:val="00347D5A"/>
    <w:rsid w:val="003510F8"/>
    <w:rsid w:val="0035237F"/>
    <w:rsid w:val="00352814"/>
    <w:rsid w:val="003530E0"/>
    <w:rsid w:val="003537D9"/>
    <w:rsid w:val="0035389D"/>
    <w:rsid w:val="0035416D"/>
    <w:rsid w:val="00354E31"/>
    <w:rsid w:val="003558C4"/>
    <w:rsid w:val="00356EFB"/>
    <w:rsid w:val="00360618"/>
    <w:rsid w:val="003606A3"/>
    <w:rsid w:val="00360702"/>
    <w:rsid w:val="00361C80"/>
    <w:rsid w:val="00361F69"/>
    <w:rsid w:val="003627F7"/>
    <w:rsid w:val="00362B10"/>
    <w:rsid w:val="00364979"/>
    <w:rsid w:val="003650D3"/>
    <w:rsid w:val="00366FC6"/>
    <w:rsid w:val="003674C4"/>
    <w:rsid w:val="00367911"/>
    <w:rsid w:val="00370DB3"/>
    <w:rsid w:val="003728A5"/>
    <w:rsid w:val="00372B29"/>
    <w:rsid w:val="00373F73"/>
    <w:rsid w:val="00374273"/>
    <w:rsid w:val="00376989"/>
    <w:rsid w:val="003772C5"/>
    <w:rsid w:val="00380546"/>
    <w:rsid w:val="0038110F"/>
    <w:rsid w:val="00381499"/>
    <w:rsid w:val="00382BCF"/>
    <w:rsid w:val="00382F24"/>
    <w:rsid w:val="00383938"/>
    <w:rsid w:val="00383AB6"/>
    <w:rsid w:val="00383ACA"/>
    <w:rsid w:val="00385162"/>
    <w:rsid w:val="00385AFE"/>
    <w:rsid w:val="003862B3"/>
    <w:rsid w:val="003876E1"/>
    <w:rsid w:val="00387A35"/>
    <w:rsid w:val="00390128"/>
    <w:rsid w:val="00393B7D"/>
    <w:rsid w:val="003951FC"/>
    <w:rsid w:val="0039544B"/>
    <w:rsid w:val="00395ED4"/>
    <w:rsid w:val="00396C0C"/>
    <w:rsid w:val="003A1B5C"/>
    <w:rsid w:val="003A1F82"/>
    <w:rsid w:val="003A20C0"/>
    <w:rsid w:val="003A2E5F"/>
    <w:rsid w:val="003A313C"/>
    <w:rsid w:val="003A45B9"/>
    <w:rsid w:val="003A6D77"/>
    <w:rsid w:val="003B0237"/>
    <w:rsid w:val="003B059E"/>
    <w:rsid w:val="003B1518"/>
    <w:rsid w:val="003B1D68"/>
    <w:rsid w:val="003B1F7A"/>
    <w:rsid w:val="003B2899"/>
    <w:rsid w:val="003B29F5"/>
    <w:rsid w:val="003B3219"/>
    <w:rsid w:val="003B3812"/>
    <w:rsid w:val="003B4170"/>
    <w:rsid w:val="003B41E8"/>
    <w:rsid w:val="003B466F"/>
    <w:rsid w:val="003B469B"/>
    <w:rsid w:val="003B5961"/>
    <w:rsid w:val="003B72E2"/>
    <w:rsid w:val="003C08EB"/>
    <w:rsid w:val="003C0A8D"/>
    <w:rsid w:val="003C1AC1"/>
    <w:rsid w:val="003C251D"/>
    <w:rsid w:val="003C2F6F"/>
    <w:rsid w:val="003C3260"/>
    <w:rsid w:val="003C466C"/>
    <w:rsid w:val="003C46C0"/>
    <w:rsid w:val="003C5816"/>
    <w:rsid w:val="003C6792"/>
    <w:rsid w:val="003D1918"/>
    <w:rsid w:val="003D1AF3"/>
    <w:rsid w:val="003D29B9"/>
    <w:rsid w:val="003D2FB1"/>
    <w:rsid w:val="003D446C"/>
    <w:rsid w:val="003D5470"/>
    <w:rsid w:val="003D55B1"/>
    <w:rsid w:val="003D5780"/>
    <w:rsid w:val="003D66D2"/>
    <w:rsid w:val="003D753B"/>
    <w:rsid w:val="003E01E7"/>
    <w:rsid w:val="003E0479"/>
    <w:rsid w:val="003E1007"/>
    <w:rsid w:val="003E2BFB"/>
    <w:rsid w:val="003E3038"/>
    <w:rsid w:val="003E305D"/>
    <w:rsid w:val="003E3BE0"/>
    <w:rsid w:val="003E4110"/>
    <w:rsid w:val="003E4C31"/>
    <w:rsid w:val="003E6B4D"/>
    <w:rsid w:val="003E6D92"/>
    <w:rsid w:val="003E7AAF"/>
    <w:rsid w:val="003E7AF9"/>
    <w:rsid w:val="003E7D16"/>
    <w:rsid w:val="003F0138"/>
    <w:rsid w:val="003F27C5"/>
    <w:rsid w:val="003F2908"/>
    <w:rsid w:val="003F33C9"/>
    <w:rsid w:val="003F595B"/>
    <w:rsid w:val="003F5F4B"/>
    <w:rsid w:val="0040052D"/>
    <w:rsid w:val="004009B7"/>
    <w:rsid w:val="004011F7"/>
    <w:rsid w:val="00401C47"/>
    <w:rsid w:val="00402F09"/>
    <w:rsid w:val="00403D69"/>
    <w:rsid w:val="00403DD9"/>
    <w:rsid w:val="00404236"/>
    <w:rsid w:val="00404586"/>
    <w:rsid w:val="0040500A"/>
    <w:rsid w:val="00410188"/>
    <w:rsid w:val="00412805"/>
    <w:rsid w:val="00413500"/>
    <w:rsid w:val="00413AAB"/>
    <w:rsid w:val="004142DF"/>
    <w:rsid w:val="004147EF"/>
    <w:rsid w:val="00415667"/>
    <w:rsid w:val="00415D84"/>
    <w:rsid w:val="00416606"/>
    <w:rsid w:val="004168AC"/>
    <w:rsid w:val="00416AC2"/>
    <w:rsid w:val="00416EFC"/>
    <w:rsid w:val="00417313"/>
    <w:rsid w:val="0041739F"/>
    <w:rsid w:val="0042128B"/>
    <w:rsid w:val="00421A4E"/>
    <w:rsid w:val="00422130"/>
    <w:rsid w:val="0042274D"/>
    <w:rsid w:val="00422E9A"/>
    <w:rsid w:val="00422F82"/>
    <w:rsid w:val="00423220"/>
    <w:rsid w:val="004240FA"/>
    <w:rsid w:val="004251B6"/>
    <w:rsid w:val="004253DE"/>
    <w:rsid w:val="00426F9E"/>
    <w:rsid w:val="0042729C"/>
    <w:rsid w:val="00427719"/>
    <w:rsid w:val="00430B8A"/>
    <w:rsid w:val="004334FC"/>
    <w:rsid w:val="004345FE"/>
    <w:rsid w:val="004354DB"/>
    <w:rsid w:val="004357A0"/>
    <w:rsid w:val="0043581C"/>
    <w:rsid w:val="00437172"/>
    <w:rsid w:val="004371DF"/>
    <w:rsid w:val="00437239"/>
    <w:rsid w:val="00437941"/>
    <w:rsid w:val="00437DEE"/>
    <w:rsid w:val="00441B72"/>
    <w:rsid w:val="00443008"/>
    <w:rsid w:val="004433D9"/>
    <w:rsid w:val="004445B7"/>
    <w:rsid w:val="004455A0"/>
    <w:rsid w:val="0044669C"/>
    <w:rsid w:val="00447A27"/>
    <w:rsid w:val="004507CD"/>
    <w:rsid w:val="00451C32"/>
    <w:rsid w:val="00451C53"/>
    <w:rsid w:val="00452D90"/>
    <w:rsid w:val="00452F72"/>
    <w:rsid w:val="0045363B"/>
    <w:rsid w:val="00453FC0"/>
    <w:rsid w:val="004548FA"/>
    <w:rsid w:val="00454A73"/>
    <w:rsid w:val="00454DC5"/>
    <w:rsid w:val="0045565A"/>
    <w:rsid w:val="00456212"/>
    <w:rsid w:val="00457634"/>
    <w:rsid w:val="004609E6"/>
    <w:rsid w:val="00460FF9"/>
    <w:rsid w:val="0046199A"/>
    <w:rsid w:val="00461AAA"/>
    <w:rsid w:val="00462BA7"/>
    <w:rsid w:val="00464893"/>
    <w:rsid w:val="00465102"/>
    <w:rsid w:val="00466104"/>
    <w:rsid w:val="004664A8"/>
    <w:rsid w:val="00466CC3"/>
    <w:rsid w:val="0047006B"/>
    <w:rsid w:val="0047079E"/>
    <w:rsid w:val="00470D83"/>
    <w:rsid w:val="00470EB2"/>
    <w:rsid w:val="0047205B"/>
    <w:rsid w:val="0047322D"/>
    <w:rsid w:val="0047373B"/>
    <w:rsid w:val="00473ECD"/>
    <w:rsid w:val="0047758E"/>
    <w:rsid w:val="004777E5"/>
    <w:rsid w:val="00477C9D"/>
    <w:rsid w:val="00477E29"/>
    <w:rsid w:val="00480BC6"/>
    <w:rsid w:val="00480D86"/>
    <w:rsid w:val="004820D7"/>
    <w:rsid w:val="0048240E"/>
    <w:rsid w:val="004827A6"/>
    <w:rsid w:val="00482A74"/>
    <w:rsid w:val="00482E23"/>
    <w:rsid w:val="00483011"/>
    <w:rsid w:val="004832EF"/>
    <w:rsid w:val="00483827"/>
    <w:rsid w:val="00484CA5"/>
    <w:rsid w:val="00485129"/>
    <w:rsid w:val="00485776"/>
    <w:rsid w:val="00485B87"/>
    <w:rsid w:val="0048631B"/>
    <w:rsid w:val="00486E95"/>
    <w:rsid w:val="00487B7D"/>
    <w:rsid w:val="00487F13"/>
    <w:rsid w:val="00490A07"/>
    <w:rsid w:val="00490ECB"/>
    <w:rsid w:val="004917F9"/>
    <w:rsid w:val="00491A02"/>
    <w:rsid w:val="004923CD"/>
    <w:rsid w:val="00494040"/>
    <w:rsid w:val="004949B3"/>
    <w:rsid w:val="00495EB7"/>
    <w:rsid w:val="00495FE1"/>
    <w:rsid w:val="004961E7"/>
    <w:rsid w:val="00496570"/>
    <w:rsid w:val="0049671E"/>
    <w:rsid w:val="004973EA"/>
    <w:rsid w:val="00497CB6"/>
    <w:rsid w:val="004A0446"/>
    <w:rsid w:val="004A1168"/>
    <w:rsid w:val="004A1697"/>
    <w:rsid w:val="004A1928"/>
    <w:rsid w:val="004A1A39"/>
    <w:rsid w:val="004A1FB7"/>
    <w:rsid w:val="004A246A"/>
    <w:rsid w:val="004A24F1"/>
    <w:rsid w:val="004A38E9"/>
    <w:rsid w:val="004A3A2F"/>
    <w:rsid w:val="004A3EC7"/>
    <w:rsid w:val="004A44EB"/>
    <w:rsid w:val="004A5601"/>
    <w:rsid w:val="004A5CFE"/>
    <w:rsid w:val="004A5DBF"/>
    <w:rsid w:val="004A6DC4"/>
    <w:rsid w:val="004A6DDE"/>
    <w:rsid w:val="004B12B4"/>
    <w:rsid w:val="004B140D"/>
    <w:rsid w:val="004B3820"/>
    <w:rsid w:val="004B3979"/>
    <w:rsid w:val="004B51D5"/>
    <w:rsid w:val="004B6B40"/>
    <w:rsid w:val="004B76C3"/>
    <w:rsid w:val="004C0909"/>
    <w:rsid w:val="004C0B19"/>
    <w:rsid w:val="004C1928"/>
    <w:rsid w:val="004C234F"/>
    <w:rsid w:val="004C34D9"/>
    <w:rsid w:val="004C34E4"/>
    <w:rsid w:val="004C3CE8"/>
    <w:rsid w:val="004C3D7A"/>
    <w:rsid w:val="004C3E6C"/>
    <w:rsid w:val="004C440A"/>
    <w:rsid w:val="004C4672"/>
    <w:rsid w:val="004C5280"/>
    <w:rsid w:val="004C5616"/>
    <w:rsid w:val="004C5961"/>
    <w:rsid w:val="004C5B85"/>
    <w:rsid w:val="004C5EC3"/>
    <w:rsid w:val="004C6BDA"/>
    <w:rsid w:val="004C75F6"/>
    <w:rsid w:val="004C77D6"/>
    <w:rsid w:val="004D06F4"/>
    <w:rsid w:val="004D083D"/>
    <w:rsid w:val="004D091B"/>
    <w:rsid w:val="004D16BD"/>
    <w:rsid w:val="004D1C87"/>
    <w:rsid w:val="004D2116"/>
    <w:rsid w:val="004D315A"/>
    <w:rsid w:val="004D37F6"/>
    <w:rsid w:val="004D3B10"/>
    <w:rsid w:val="004D47A2"/>
    <w:rsid w:val="004D498B"/>
    <w:rsid w:val="004D499F"/>
    <w:rsid w:val="004D54F6"/>
    <w:rsid w:val="004D5992"/>
    <w:rsid w:val="004D7760"/>
    <w:rsid w:val="004D77DF"/>
    <w:rsid w:val="004D79CB"/>
    <w:rsid w:val="004E13C7"/>
    <w:rsid w:val="004E18EF"/>
    <w:rsid w:val="004E1AB5"/>
    <w:rsid w:val="004E2623"/>
    <w:rsid w:val="004E406C"/>
    <w:rsid w:val="004E6A16"/>
    <w:rsid w:val="004E6A6A"/>
    <w:rsid w:val="004E6AB9"/>
    <w:rsid w:val="004E7041"/>
    <w:rsid w:val="004E766F"/>
    <w:rsid w:val="004F2131"/>
    <w:rsid w:val="004F2ED4"/>
    <w:rsid w:val="004F3B83"/>
    <w:rsid w:val="004F4AD0"/>
    <w:rsid w:val="004F4B53"/>
    <w:rsid w:val="004F4FDC"/>
    <w:rsid w:val="004F57C9"/>
    <w:rsid w:val="004F5A9E"/>
    <w:rsid w:val="004F5E6B"/>
    <w:rsid w:val="004F624A"/>
    <w:rsid w:val="004F6432"/>
    <w:rsid w:val="004F75F9"/>
    <w:rsid w:val="0050045A"/>
    <w:rsid w:val="00500DA1"/>
    <w:rsid w:val="005037B2"/>
    <w:rsid w:val="0050407F"/>
    <w:rsid w:val="00504C3E"/>
    <w:rsid w:val="00505226"/>
    <w:rsid w:val="00505C72"/>
    <w:rsid w:val="0050725A"/>
    <w:rsid w:val="0050731C"/>
    <w:rsid w:val="00507655"/>
    <w:rsid w:val="0051035E"/>
    <w:rsid w:val="00510B8A"/>
    <w:rsid w:val="00510DA0"/>
    <w:rsid w:val="00511E51"/>
    <w:rsid w:val="00512DA3"/>
    <w:rsid w:val="005137C3"/>
    <w:rsid w:val="005138C1"/>
    <w:rsid w:val="0051468A"/>
    <w:rsid w:val="00514690"/>
    <w:rsid w:val="005149FC"/>
    <w:rsid w:val="00515CE6"/>
    <w:rsid w:val="00515E01"/>
    <w:rsid w:val="00516152"/>
    <w:rsid w:val="00517428"/>
    <w:rsid w:val="005202A9"/>
    <w:rsid w:val="00521E2E"/>
    <w:rsid w:val="00522A69"/>
    <w:rsid w:val="005235EF"/>
    <w:rsid w:val="00523B33"/>
    <w:rsid w:val="00524785"/>
    <w:rsid w:val="00525679"/>
    <w:rsid w:val="005258A2"/>
    <w:rsid w:val="0052601A"/>
    <w:rsid w:val="0052635F"/>
    <w:rsid w:val="00527A64"/>
    <w:rsid w:val="00527E30"/>
    <w:rsid w:val="005305E3"/>
    <w:rsid w:val="00530A6A"/>
    <w:rsid w:val="00531627"/>
    <w:rsid w:val="00531AA6"/>
    <w:rsid w:val="00531DFB"/>
    <w:rsid w:val="00532E6D"/>
    <w:rsid w:val="00533616"/>
    <w:rsid w:val="005338AB"/>
    <w:rsid w:val="005346B3"/>
    <w:rsid w:val="005346DC"/>
    <w:rsid w:val="00535A8E"/>
    <w:rsid w:val="00535AAE"/>
    <w:rsid w:val="0053623A"/>
    <w:rsid w:val="005368A7"/>
    <w:rsid w:val="005378B0"/>
    <w:rsid w:val="00537D49"/>
    <w:rsid w:val="005411E0"/>
    <w:rsid w:val="005418F1"/>
    <w:rsid w:val="00542486"/>
    <w:rsid w:val="005427A3"/>
    <w:rsid w:val="0054290A"/>
    <w:rsid w:val="00542B5E"/>
    <w:rsid w:val="00543255"/>
    <w:rsid w:val="00543948"/>
    <w:rsid w:val="00544556"/>
    <w:rsid w:val="0054463C"/>
    <w:rsid w:val="005446AA"/>
    <w:rsid w:val="00544BD6"/>
    <w:rsid w:val="00546951"/>
    <w:rsid w:val="005472B4"/>
    <w:rsid w:val="0055278E"/>
    <w:rsid w:val="0055389D"/>
    <w:rsid w:val="00554858"/>
    <w:rsid w:val="005549FC"/>
    <w:rsid w:val="00555D78"/>
    <w:rsid w:val="0056029B"/>
    <w:rsid w:val="00560832"/>
    <w:rsid w:val="00560AA3"/>
    <w:rsid w:val="00560C1C"/>
    <w:rsid w:val="00560D39"/>
    <w:rsid w:val="00561ACF"/>
    <w:rsid w:val="00561E1D"/>
    <w:rsid w:val="0056261B"/>
    <w:rsid w:val="00563162"/>
    <w:rsid w:val="00563254"/>
    <w:rsid w:val="00563658"/>
    <w:rsid w:val="00563FCE"/>
    <w:rsid w:val="00564C0E"/>
    <w:rsid w:val="00565BAE"/>
    <w:rsid w:val="00565FB8"/>
    <w:rsid w:val="00566255"/>
    <w:rsid w:val="005668EB"/>
    <w:rsid w:val="00567158"/>
    <w:rsid w:val="0057023F"/>
    <w:rsid w:val="00570FB6"/>
    <w:rsid w:val="005711ED"/>
    <w:rsid w:val="00571257"/>
    <w:rsid w:val="00571579"/>
    <w:rsid w:val="0057508A"/>
    <w:rsid w:val="00575B78"/>
    <w:rsid w:val="00576EA8"/>
    <w:rsid w:val="005801D5"/>
    <w:rsid w:val="00580ED9"/>
    <w:rsid w:val="0058103F"/>
    <w:rsid w:val="00582B54"/>
    <w:rsid w:val="00582F06"/>
    <w:rsid w:val="00583BCE"/>
    <w:rsid w:val="005840D6"/>
    <w:rsid w:val="005848EA"/>
    <w:rsid w:val="00585BE2"/>
    <w:rsid w:val="005868E2"/>
    <w:rsid w:val="00587162"/>
    <w:rsid w:val="00587276"/>
    <w:rsid w:val="0058728D"/>
    <w:rsid w:val="005872FA"/>
    <w:rsid w:val="005877AB"/>
    <w:rsid w:val="00587811"/>
    <w:rsid w:val="00587FF9"/>
    <w:rsid w:val="0059002B"/>
    <w:rsid w:val="0059082A"/>
    <w:rsid w:val="00590FCD"/>
    <w:rsid w:val="00592468"/>
    <w:rsid w:val="00592C07"/>
    <w:rsid w:val="00593E1C"/>
    <w:rsid w:val="005941E1"/>
    <w:rsid w:val="00594FB2"/>
    <w:rsid w:val="00595CF9"/>
    <w:rsid w:val="005A001D"/>
    <w:rsid w:val="005A045F"/>
    <w:rsid w:val="005A1495"/>
    <w:rsid w:val="005A1D05"/>
    <w:rsid w:val="005A1FF4"/>
    <w:rsid w:val="005A2156"/>
    <w:rsid w:val="005A2852"/>
    <w:rsid w:val="005A2DFA"/>
    <w:rsid w:val="005A3621"/>
    <w:rsid w:val="005A3946"/>
    <w:rsid w:val="005A5245"/>
    <w:rsid w:val="005A55C4"/>
    <w:rsid w:val="005A59B0"/>
    <w:rsid w:val="005A747B"/>
    <w:rsid w:val="005A78CF"/>
    <w:rsid w:val="005A7960"/>
    <w:rsid w:val="005B01EC"/>
    <w:rsid w:val="005B0412"/>
    <w:rsid w:val="005B1205"/>
    <w:rsid w:val="005B1513"/>
    <w:rsid w:val="005B238D"/>
    <w:rsid w:val="005B3CEE"/>
    <w:rsid w:val="005B4222"/>
    <w:rsid w:val="005B46E3"/>
    <w:rsid w:val="005B507B"/>
    <w:rsid w:val="005B548E"/>
    <w:rsid w:val="005B58E2"/>
    <w:rsid w:val="005B5CAA"/>
    <w:rsid w:val="005B691B"/>
    <w:rsid w:val="005B6F80"/>
    <w:rsid w:val="005B75B2"/>
    <w:rsid w:val="005B7811"/>
    <w:rsid w:val="005B79EC"/>
    <w:rsid w:val="005C020D"/>
    <w:rsid w:val="005C1200"/>
    <w:rsid w:val="005C12AF"/>
    <w:rsid w:val="005C166A"/>
    <w:rsid w:val="005C3ADE"/>
    <w:rsid w:val="005C4D16"/>
    <w:rsid w:val="005C4D91"/>
    <w:rsid w:val="005C561F"/>
    <w:rsid w:val="005C5900"/>
    <w:rsid w:val="005C5D1E"/>
    <w:rsid w:val="005C6164"/>
    <w:rsid w:val="005D03FC"/>
    <w:rsid w:val="005D12D3"/>
    <w:rsid w:val="005D194F"/>
    <w:rsid w:val="005D217A"/>
    <w:rsid w:val="005D2457"/>
    <w:rsid w:val="005D30F6"/>
    <w:rsid w:val="005D4E64"/>
    <w:rsid w:val="005D6D75"/>
    <w:rsid w:val="005D723A"/>
    <w:rsid w:val="005D7B3E"/>
    <w:rsid w:val="005E0B75"/>
    <w:rsid w:val="005E1A49"/>
    <w:rsid w:val="005E3E4B"/>
    <w:rsid w:val="005E45EB"/>
    <w:rsid w:val="005E509D"/>
    <w:rsid w:val="005E5153"/>
    <w:rsid w:val="005E633D"/>
    <w:rsid w:val="005E6E38"/>
    <w:rsid w:val="005F0E27"/>
    <w:rsid w:val="005F1B1D"/>
    <w:rsid w:val="005F22BB"/>
    <w:rsid w:val="005F3696"/>
    <w:rsid w:val="005F383F"/>
    <w:rsid w:val="005F3D04"/>
    <w:rsid w:val="005F4053"/>
    <w:rsid w:val="005F430A"/>
    <w:rsid w:val="005F4492"/>
    <w:rsid w:val="005F490B"/>
    <w:rsid w:val="005F5381"/>
    <w:rsid w:val="005F5640"/>
    <w:rsid w:val="005F640B"/>
    <w:rsid w:val="005F70F8"/>
    <w:rsid w:val="005F7171"/>
    <w:rsid w:val="005F7C5D"/>
    <w:rsid w:val="00600E72"/>
    <w:rsid w:val="0060190B"/>
    <w:rsid w:val="00602070"/>
    <w:rsid w:val="006026E2"/>
    <w:rsid w:val="00602C44"/>
    <w:rsid w:val="00602E26"/>
    <w:rsid w:val="00603434"/>
    <w:rsid w:val="006034E7"/>
    <w:rsid w:val="00603AA2"/>
    <w:rsid w:val="00604BE6"/>
    <w:rsid w:val="00605440"/>
    <w:rsid w:val="006062D0"/>
    <w:rsid w:val="006104A0"/>
    <w:rsid w:val="006105C9"/>
    <w:rsid w:val="00610CF1"/>
    <w:rsid w:val="00611F5D"/>
    <w:rsid w:val="006129EF"/>
    <w:rsid w:val="006133BB"/>
    <w:rsid w:val="006133DE"/>
    <w:rsid w:val="00613E87"/>
    <w:rsid w:val="00614734"/>
    <w:rsid w:val="0061501D"/>
    <w:rsid w:val="00615CD2"/>
    <w:rsid w:val="00616E42"/>
    <w:rsid w:val="006178E2"/>
    <w:rsid w:val="00617CF5"/>
    <w:rsid w:val="0062140F"/>
    <w:rsid w:val="006225DA"/>
    <w:rsid w:val="006229EC"/>
    <w:rsid w:val="00623329"/>
    <w:rsid w:val="006233B0"/>
    <w:rsid w:val="00623A62"/>
    <w:rsid w:val="00623C78"/>
    <w:rsid w:val="00624607"/>
    <w:rsid w:val="00624C94"/>
    <w:rsid w:val="00624E35"/>
    <w:rsid w:val="00625A14"/>
    <w:rsid w:val="006265A6"/>
    <w:rsid w:val="00626A84"/>
    <w:rsid w:val="0062792A"/>
    <w:rsid w:val="0063048D"/>
    <w:rsid w:val="00632687"/>
    <w:rsid w:val="0063274A"/>
    <w:rsid w:val="006342CA"/>
    <w:rsid w:val="006344DD"/>
    <w:rsid w:val="00634E98"/>
    <w:rsid w:val="00635EB8"/>
    <w:rsid w:val="00636C60"/>
    <w:rsid w:val="0063743D"/>
    <w:rsid w:val="00641C5F"/>
    <w:rsid w:val="006425DB"/>
    <w:rsid w:val="00645692"/>
    <w:rsid w:val="00645A01"/>
    <w:rsid w:val="00645D39"/>
    <w:rsid w:val="00645F33"/>
    <w:rsid w:val="00646631"/>
    <w:rsid w:val="00646B46"/>
    <w:rsid w:val="00646CFF"/>
    <w:rsid w:val="006474B4"/>
    <w:rsid w:val="00650D9C"/>
    <w:rsid w:val="00650E5E"/>
    <w:rsid w:val="00651B55"/>
    <w:rsid w:val="00652E60"/>
    <w:rsid w:val="006530B0"/>
    <w:rsid w:val="00653185"/>
    <w:rsid w:val="006540EA"/>
    <w:rsid w:val="006546ED"/>
    <w:rsid w:val="00654A49"/>
    <w:rsid w:val="00654AEF"/>
    <w:rsid w:val="0065630A"/>
    <w:rsid w:val="0066076A"/>
    <w:rsid w:val="00660849"/>
    <w:rsid w:val="00661596"/>
    <w:rsid w:val="0066223A"/>
    <w:rsid w:val="00663CE1"/>
    <w:rsid w:val="00665B88"/>
    <w:rsid w:val="00665FEA"/>
    <w:rsid w:val="006667F8"/>
    <w:rsid w:val="00666986"/>
    <w:rsid w:val="00666C43"/>
    <w:rsid w:val="00666EBB"/>
    <w:rsid w:val="00667261"/>
    <w:rsid w:val="00667611"/>
    <w:rsid w:val="006700DF"/>
    <w:rsid w:val="006717B6"/>
    <w:rsid w:val="006732E7"/>
    <w:rsid w:val="0067348E"/>
    <w:rsid w:val="00675016"/>
    <w:rsid w:val="006750D2"/>
    <w:rsid w:val="00675FC3"/>
    <w:rsid w:val="006765FF"/>
    <w:rsid w:val="0067718F"/>
    <w:rsid w:val="00677E70"/>
    <w:rsid w:val="00677FA0"/>
    <w:rsid w:val="006816C1"/>
    <w:rsid w:val="00681B06"/>
    <w:rsid w:val="00681D5F"/>
    <w:rsid w:val="00681F1F"/>
    <w:rsid w:val="006827E7"/>
    <w:rsid w:val="006835E3"/>
    <w:rsid w:val="006844EA"/>
    <w:rsid w:val="00684655"/>
    <w:rsid w:val="006847B5"/>
    <w:rsid w:val="00684C6D"/>
    <w:rsid w:val="00684FB1"/>
    <w:rsid w:val="00685D05"/>
    <w:rsid w:val="0068727A"/>
    <w:rsid w:val="00687302"/>
    <w:rsid w:val="00690FE1"/>
    <w:rsid w:val="00692F4A"/>
    <w:rsid w:val="006933CC"/>
    <w:rsid w:val="00693AA0"/>
    <w:rsid w:val="0069418B"/>
    <w:rsid w:val="00694555"/>
    <w:rsid w:val="00694BED"/>
    <w:rsid w:val="00695197"/>
    <w:rsid w:val="00696801"/>
    <w:rsid w:val="006969BE"/>
    <w:rsid w:val="00696FC4"/>
    <w:rsid w:val="006A192D"/>
    <w:rsid w:val="006A27E6"/>
    <w:rsid w:val="006A31B6"/>
    <w:rsid w:val="006A38BA"/>
    <w:rsid w:val="006A4182"/>
    <w:rsid w:val="006A4412"/>
    <w:rsid w:val="006A4511"/>
    <w:rsid w:val="006A46E0"/>
    <w:rsid w:val="006A589A"/>
    <w:rsid w:val="006A5EC9"/>
    <w:rsid w:val="006A6D0E"/>
    <w:rsid w:val="006A6D75"/>
    <w:rsid w:val="006A73D6"/>
    <w:rsid w:val="006A750D"/>
    <w:rsid w:val="006A7A66"/>
    <w:rsid w:val="006B0B95"/>
    <w:rsid w:val="006B1D1C"/>
    <w:rsid w:val="006B1DBD"/>
    <w:rsid w:val="006B1EBE"/>
    <w:rsid w:val="006B29D6"/>
    <w:rsid w:val="006B2C55"/>
    <w:rsid w:val="006B30CE"/>
    <w:rsid w:val="006B3191"/>
    <w:rsid w:val="006B4074"/>
    <w:rsid w:val="006B52C9"/>
    <w:rsid w:val="006B5AF1"/>
    <w:rsid w:val="006B677A"/>
    <w:rsid w:val="006B6E4A"/>
    <w:rsid w:val="006B742F"/>
    <w:rsid w:val="006C0202"/>
    <w:rsid w:val="006C0347"/>
    <w:rsid w:val="006C0A88"/>
    <w:rsid w:val="006C11CA"/>
    <w:rsid w:val="006C1503"/>
    <w:rsid w:val="006C16A5"/>
    <w:rsid w:val="006C17DD"/>
    <w:rsid w:val="006C1FA7"/>
    <w:rsid w:val="006C3933"/>
    <w:rsid w:val="006C5863"/>
    <w:rsid w:val="006C5DF3"/>
    <w:rsid w:val="006C6392"/>
    <w:rsid w:val="006C6BF6"/>
    <w:rsid w:val="006C73E4"/>
    <w:rsid w:val="006C7B84"/>
    <w:rsid w:val="006D2C7C"/>
    <w:rsid w:val="006D3754"/>
    <w:rsid w:val="006D41AD"/>
    <w:rsid w:val="006D434D"/>
    <w:rsid w:val="006D4898"/>
    <w:rsid w:val="006D4ED4"/>
    <w:rsid w:val="006D562A"/>
    <w:rsid w:val="006D6CE3"/>
    <w:rsid w:val="006E0025"/>
    <w:rsid w:val="006E0B25"/>
    <w:rsid w:val="006E0FEB"/>
    <w:rsid w:val="006E24A2"/>
    <w:rsid w:val="006E3251"/>
    <w:rsid w:val="006E3576"/>
    <w:rsid w:val="006E40F7"/>
    <w:rsid w:val="006E450F"/>
    <w:rsid w:val="006E6484"/>
    <w:rsid w:val="006E75E7"/>
    <w:rsid w:val="006F0242"/>
    <w:rsid w:val="006F02A3"/>
    <w:rsid w:val="006F10A3"/>
    <w:rsid w:val="006F1EA3"/>
    <w:rsid w:val="006F22B9"/>
    <w:rsid w:val="006F60C0"/>
    <w:rsid w:val="006F64A4"/>
    <w:rsid w:val="006F6CE7"/>
    <w:rsid w:val="007000DB"/>
    <w:rsid w:val="00700674"/>
    <w:rsid w:val="00700BA3"/>
    <w:rsid w:val="007016FD"/>
    <w:rsid w:val="00701CD8"/>
    <w:rsid w:val="00702C9F"/>
    <w:rsid w:val="00703EBF"/>
    <w:rsid w:val="00704279"/>
    <w:rsid w:val="007056F3"/>
    <w:rsid w:val="00706E7C"/>
    <w:rsid w:val="00707560"/>
    <w:rsid w:val="0070761E"/>
    <w:rsid w:val="007079DD"/>
    <w:rsid w:val="00710A7D"/>
    <w:rsid w:val="00711DB8"/>
    <w:rsid w:val="00712DAD"/>
    <w:rsid w:val="00714417"/>
    <w:rsid w:val="007152D7"/>
    <w:rsid w:val="00715CD0"/>
    <w:rsid w:val="0071650D"/>
    <w:rsid w:val="00716730"/>
    <w:rsid w:val="00716FA2"/>
    <w:rsid w:val="00717FA3"/>
    <w:rsid w:val="00720782"/>
    <w:rsid w:val="007209E2"/>
    <w:rsid w:val="00720AB0"/>
    <w:rsid w:val="00722DEE"/>
    <w:rsid w:val="00723716"/>
    <w:rsid w:val="007238E5"/>
    <w:rsid w:val="00723BB3"/>
    <w:rsid w:val="00723E45"/>
    <w:rsid w:val="0072423E"/>
    <w:rsid w:val="00725349"/>
    <w:rsid w:val="007257FC"/>
    <w:rsid w:val="00726063"/>
    <w:rsid w:val="007266C8"/>
    <w:rsid w:val="007267C8"/>
    <w:rsid w:val="00726855"/>
    <w:rsid w:val="00727470"/>
    <w:rsid w:val="007315DF"/>
    <w:rsid w:val="007322BF"/>
    <w:rsid w:val="00733B6A"/>
    <w:rsid w:val="0073412B"/>
    <w:rsid w:val="007348FB"/>
    <w:rsid w:val="00734903"/>
    <w:rsid w:val="00734930"/>
    <w:rsid w:val="007350C9"/>
    <w:rsid w:val="0073617C"/>
    <w:rsid w:val="007367C5"/>
    <w:rsid w:val="00736D13"/>
    <w:rsid w:val="007370DB"/>
    <w:rsid w:val="007371D6"/>
    <w:rsid w:val="0073797C"/>
    <w:rsid w:val="0074000D"/>
    <w:rsid w:val="007403F1"/>
    <w:rsid w:val="00740CB3"/>
    <w:rsid w:val="0074163B"/>
    <w:rsid w:val="00742C6E"/>
    <w:rsid w:val="00743180"/>
    <w:rsid w:val="0074328A"/>
    <w:rsid w:val="0074342B"/>
    <w:rsid w:val="0074380A"/>
    <w:rsid w:val="00744B19"/>
    <w:rsid w:val="00746075"/>
    <w:rsid w:val="0074613B"/>
    <w:rsid w:val="00746E65"/>
    <w:rsid w:val="00746ED3"/>
    <w:rsid w:val="00750CA1"/>
    <w:rsid w:val="00751CA6"/>
    <w:rsid w:val="0075242F"/>
    <w:rsid w:val="007524FE"/>
    <w:rsid w:val="00753061"/>
    <w:rsid w:val="00753F7C"/>
    <w:rsid w:val="00753FEA"/>
    <w:rsid w:val="007540FB"/>
    <w:rsid w:val="007544B3"/>
    <w:rsid w:val="00755F78"/>
    <w:rsid w:val="00756928"/>
    <w:rsid w:val="007573C9"/>
    <w:rsid w:val="00760A27"/>
    <w:rsid w:val="00761382"/>
    <w:rsid w:val="007614CB"/>
    <w:rsid w:val="007618C0"/>
    <w:rsid w:val="00761F7E"/>
    <w:rsid w:val="007621AA"/>
    <w:rsid w:val="00762C43"/>
    <w:rsid w:val="0076400C"/>
    <w:rsid w:val="007645D1"/>
    <w:rsid w:val="00764892"/>
    <w:rsid w:val="0076499F"/>
    <w:rsid w:val="00765580"/>
    <w:rsid w:val="00765FFF"/>
    <w:rsid w:val="0076712D"/>
    <w:rsid w:val="00767558"/>
    <w:rsid w:val="007700C8"/>
    <w:rsid w:val="0077013F"/>
    <w:rsid w:val="0077026C"/>
    <w:rsid w:val="00770678"/>
    <w:rsid w:val="00770FC4"/>
    <w:rsid w:val="00771143"/>
    <w:rsid w:val="00771930"/>
    <w:rsid w:val="00771D89"/>
    <w:rsid w:val="007720F6"/>
    <w:rsid w:val="00772156"/>
    <w:rsid w:val="00773745"/>
    <w:rsid w:val="00774667"/>
    <w:rsid w:val="00774DF3"/>
    <w:rsid w:val="0077585C"/>
    <w:rsid w:val="00776CDE"/>
    <w:rsid w:val="00776E30"/>
    <w:rsid w:val="00776F3D"/>
    <w:rsid w:val="0078165D"/>
    <w:rsid w:val="00781E74"/>
    <w:rsid w:val="00782DA7"/>
    <w:rsid w:val="00782F3D"/>
    <w:rsid w:val="00783AAC"/>
    <w:rsid w:val="0078489C"/>
    <w:rsid w:val="00784EC2"/>
    <w:rsid w:val="00786FB5"/>
    <w:rsid w:val="00787592"/>
    <w:rsid w:val="0078783B"/>
    <w:rsid w:val="00787CA6"/>
    <w:rsid w:val="00787E30"/>
    <w:rsid w:val="00787E9D"/>
    <w:rsid w:val="00790622"/>
    <w:rsid w:val="00792E90"/>
    <w:rsid w:val="007938C7"/>
    <w:rsid w:val="00794C3D"/>
    <w:rsid w:val="00794FFF"/>
    <w:rsid w:val="007958CD"/>
    <w:rsid w:val="00796254"/>
    <w:rsid w:val="007968D5"/>
    <w:rsid w:val="00797A9C"/>
    <w:rsid w:val="007A080F"/>
    <w:rsid w:val="007A0F32"/>
    <w:rsid w:val="007A14EE"/>
    <w:rsid w:val="007A1ED4"/>
    <w:rsid w:val="007A240A"/>
    <w:rsid w:val="007A2513"/>
    <w:rsid w:val="007A2A8B"/>
    <w:rsid w:val="007A2B34"/>
    <w:rsid w:val="007A47A0"/>
    <w:rsid w:val="007A7227"/>
    <w:rsid w:val="007B2565"/>
    <w:rsid w:val="007B2C1C"/>
    <w:rsid w:val="007B3281"/>
    <w:rsid w:val="007B40B5"/>
    <w:rsid w:val="007B444B"/>
    <w:rsid w:val="007B4837"/>
    <w:rsid w:val="007B5824"/>
    <w:rsid w:val="007B635D"/>
    <w:rsid w:val="007B692E"/>
    <w:rsid w:val="007B6C60"/>
    <w:rsid w:val="007B74D3"/>
    <w:rsid w:val="007B7CA9"/>
    <w:rsid w:val="007C2318"/>
    <w:rsid w:val="007C27C3"/>
    <w:rsid w:val="007C32DB"/>
    <w:rsid w:val="007C3E54"/>
    <w:rsid w:val="007C437A"/>
    <w:rsid w:val="007C76AD"/>
    <w:rsid w:val="007D01E1"/>
    <w:rsid w:val="007D4279"/>
    <w:rsid w:val="007D6AC0"/>
    <w:rsid w:val="007D7B8E"/>
    <w:rsid w:val="007D7C2A"/>
    <w:rsid w:val="007E054C"/>
    <w:rsid w:val="007E18F3"/>
    <w:rsid w:val="007E24D6"/>
    <w:rsid w:val="007E25AB"/>
    <w:rsid w:val="007E3E57"/>
    <w:rsid w:val="007E432C"/>
    <w:rsid w:val="007E5021"/>
    <w:rsid w:val="007E5250"/>
    <w:rsid w:val="007E567C"/>
    <w:rsid w:val="007E573F"/>
    <w:rsid w:val="007F0556"/>
    <w:rsid w:val="007F09C0"/>
    <w:rsid w:val="007F12E8"/>
    <w:rsid w:val="007F16D8"/>
    <w:rsid w:val="007F24B6"/>
    <w:rsid w:val="007F3612"/>
    <w:rsid w:val="007F5650"/>
    <w:rsid w:val="007F56E4"/>
    <w:rsid w:val="007F5A27"/>
    <w:rsid w:val="007F663A"/>
    <w:rsid w:val="007F7B78"/>
    <w:rsid w:val="0080077C"/>
    <w:rsid w:val="00801145"/>
    <w:rsid w:val="008015E3"/>
    <w:rsid w:val="0080165E"/>
    <w:rsid w:val="00802516"/>
    <w:rsid w:val="00803D42"/>
    <w:rsid w:val="00805533"/>
    <w:rsid w:val="00806F45"/>
    <w:rsid w:val="00807A5D"/>
    <w:rsid w:val="00807B7D"/>
    <w:rsid w:val="00807D7C"/>
    <w:rsid w:val="00811542"/>
    <w:rsid w:val="00811D94"/>
    <w:rsid w:val="008123DC"/>
    <w:rsid w:val="00813543"/>
    <w:rsid w:val="00813F3E"/>
    <w:rsid w:val="00813FA9"/>
    <w:rsid w:val="00814004"/>
    <w:rsid w:val="0081524F"/>
    <w:rsid w:val="00815E44"/>
    <w:rsid w:val="0081690B"/>
    <w:rsid w:val="008175B3"/>
    <w:rsid w:val="00817C9C"/>
    <w:rsid w:val="00820F6F"/>
    <w:rsid w:val="0082104B"/>
    <w:rsid w:val="0082233E"/>
    <w:rsid w:val="00822D51"/>
    <w:rsid w:val="00822F73"/>
    <w:rsid w:val="008235CA"/>
    <w:rsid w:val="00823E27"/>
    <w:rsid w:val="00825BFA"/>
    <w:rsid w:val="00825C60"/>
    <w:rsid w:val="00826BF5"/>
    <w:rsid w:val="00827413"/>
    <w:rsid w:val="00830EBF"/>
    <w:rsid w:val="00832082"/>
    <w:rsid w:val="00832A40"/>
    <w:rsid w:val="0083321A"/>
    <w:rsid w:val="00835F93"/>
    <w:rsid w:val="008361CB"/>
    <w:rsid w:val="0083630F"/>
    <w:rsid w:val="00836A2A"/>
    <w:rsid w:val="00836ED2"/>
    <w:rsid w:val="0083725D"/>
    <w:rsid w:val="008402A6"/>
    <w:rsid w:val="00840F29"/>
    <w:rsid w:val="00841EB1"/>
    <w:rsid w:val="0084230A"/>
    <w:rsid w:val="00842B7C"/>
    <w:rsid w:val="00842ECB"/>
    <w:rsid w:val="00843ED4"/>
    <w:rsid w:val="00847FEF"/>
    <w:rsid w:val="00850D39"/>
    <w:rsid w:val="008521BF"/>
    <w:rsid w:val="00852DA3"/>
    <w:rsid w:val="0085361B"/>
    <w:rsid w:val="00853769"/>
    <w:rsid w:val="00854359"/>
    <w:rsid w:val="00856316"/>
    <w:rsid w:val="008604C2"/>
    <w:rsid w:val="00860995"/>
    <w:rsid w:val="00862739"/>
    <w:rsid w:val="00863257"/>
    <w:rsid w:val="00863BB5"/>
    <w:rsid w:val="00864221"/>
    <w:rsid w:val="008643CE"/>
    <w:rsid w:val="0086447D"/>
    <w:rsid w:val="00865843"/>
    <w:rsid w:val="008664C8"/>
    <w:rsid w:val="00866E37"/>
    <w:rsid w:val="00866FF4"/>
    <w:rsid w:val="008671A1"/>
    <w:rsid w:val="0086721F"/>
    <w:rsid w:val="008679F3"/>
    <w:rsid w:val="0087019C"/>
    <w:rsid w:val="0087034E"/>
    <w:rsid w:val="00870494"/>
    <w:rsid w:val="00870C8B"/>
    <w:rsid w:val="00871649"/>
    <w:rsid w:val="00872EBB"/>
    <w:rsid w:val="00873534"/>
    <w:rsid w:val="00873578"/>
    <w:rsid w:val="0087389D"/>
    <w:rsid w:val="008741A2"/>
    <w:rsid w:val="008761C6"/>
    <w:rsid w:val="008775D5"/>
    <w:rsid w:val="00877F6B"/>
    <w:rsid w:val="00880F23"/>
    <w:rsid w:val="00880FB0"/>
    <w:rsid w:val="0088121F"/>
    <w:rsid w:val="00882C5B"/>
    <w:rsid w:val="00885561"/>
    <w:rsid w:val="00885880"/>
    <w:rsid w:val="00885D09"/>
    <w:rsid w:val="00886BCF"/>
    <w:rsid w:val="00887DDB"/>
    <w:rsid w:val="0089019B"/>
    <w:rsid w:val="00890AA6"/>
    <w:rsid w:val="008934AC"/>
    <w:rsid w:val="00893BB2"/>
    <w:rsid w:val="00896034"/>
    <w:rsid w:val="00896490"/>
    <w:rsid w:val="00896990"/>
    <w:rsid w:val="00897919"/>
    <w:rsid w:val="008A0242"/>
    <w:rsid w:val="008A2A4C"/>
    <w:rsid w:val="008A3E02"/>
    <w:rsid w:val="008A49D1"/>
    <w:rsid w:val="008A4D43"/>
    <w:rsid w:val="008A59B7"/>
    <w:rsid w:val="008A629D"/>
    <w:rsid w:val="008A6549"/>
    <w:rsid w:val="008A6B0F"/>
    <w:rsid w:val="008B057F"/>
    <w:rsid w:val="008B0D43"/>
    <w:rsid w:val="008B13A6"/>
    <w:rsid w:val="008B2C8B"/>
    <w:rsid w:val="008B2F4A"/>
    <w:rsid w:val="008B3F62"/>
    <w:rsid w:val="008B48B2"/>
    <w:rsid w:val="008B7C5D"/>
    <w:rsid w:val="008C2250"/>
    <w:rsid w:val="008C22BD"/>
    <w:rsid w:val="008C2522"/>
    <w:rsid w:val="008C3660"/>
    <w:rsid w:val="008C525F"/>
    <w:rsid w:val="008C63A4"/>
    <w:rsid w:val="008C7182"/>
    <w:rsid w:val="008D010D"/>
    <w:rsid w:val="008D0BD0"/>
    <w:rsid w:val="008D164B"/>
    <w:rsid w:val="008D1920"/>
    <w:rsid w:val="008D2EC7"/>
    <w:rsid w:val="008D3C79"/>
    <w:rsid w:val="008D42E3"/>
    <w:rsid w:val="008D5108"/>
    <w:rsid w:val="008D5497"/>
    <w:rsid w:val="008D6835"/>
    <w:rsid w:val="008D698B"/>
    <w:rsid w:val="008D69EB"/>
    <w:rsid w:val="008D7834"/>
    <w:rsid w:val="008D7CC1"/>
    <w:rsid w:val="008D7D95"/>
    <w:rsid w:val="008E25B3"/>
    <w:rsid w:val="008E291C"/>
    <w:rsid w:val="008E3EE3"/>
    <w:rsid w:val="008E5096"/>
    <w:rsid w:val="008E5682"/>
    <w:rsid w:val="008E570A"/>
    <w:rsid w:val="008E5813"/>
    <w:rsid w:val="008E63A6"/>
    <w:rsid w:val="008E6900"/>
    <w:rsid w:val="008E6ADB"/>
    <w:rsid w:val="008F0890"/>
    <w:rsid w:val="008F15B5"/>
    <w:rsid w:val="008F18BC"/>
    <w:rsid w:val="008F2C5E"/>
    <w:rsid w:val="008F2DE8"/>
    <w:rsid w:val="008F325D"/>
    <w:rsid w:val="008F5D38"/>
    <w:rsid w:val="008F5EB1"/>
    <w:rsid w:val="008F6461"/>
    <w:rsid w:val="008F671D"/>
    <w:rsid w:val="008F6D80"/>
    <w:rsid w:val="008F6E17"/>
    <w:rsid w:val="009007C5"/>
    <w:rsid w:val="00901A98"/>
    <w:rsid w:val="00901F78"/>
    <w:rsid w:val="009022A6"/>
    <w:rsid w:val="0090271A"/>
    <w:rsid w:val="00902C30"/>
    <w:rsid w:val="00903F05"/>
    <w:rsid w:val="0090463C"/>
    <w:rsid w:val="00905C31"/>
    <w:rsid w:val="00906313"/>
    <w:rsid w:val="00907F9A"/>
    <w:rsid w:val="009100B1"/>
    <w:rsid w:val="00910EDF"/>
    <w:rsid w:val="00911F34"/>
    <w:rsid w:val="00913162"/>
    <w:rsid w:val="00913804"/>
    <w:rsid w:val="0091572C"/>
    <w:rsid w:val="00915E5E"/>
    <w:rsid w:val="00916D91"/>
    <w:rsid w:val="009172B1"/>
    <w:rsid w:val="009175E9"/>
    <w:rsid w:val="00920384"/>
    <w:rsid w:val="0092076B"/>
    <w:rsid w:val="00920CEA"/>
    <w:rsid w:val="00920D5F"/>
    <w:rsid w:val="009221E1"/>
    <w:rsid w:val="00922E46"/>
    <w:rsid w:val="009231A4"/>
    <w:rsid w:val="009259DF"/>
    <w:rsid w:val="0092707D"/>
    <w:rsid w:val="0092782D"/>
    <w:rsid w:val="009303DF"/>
    <w:rsid w:val="0093099C"/>
    <w:rsid w:val="00931B14"/>
    <w:rsid w:val="009337F2"/>
    <w:rsid w:val="00933CB9"/>
    <w:rsid w:val="00935985"/>
    <w:rsid w:val="00935CAF"/>
    <w:rsid w:val="009362F1"/>
    <w:rsid w:val="00936513"/>
    <w:rsid w:val="009365CE"/>
    <w:rsid w:val="00936DF3"/>
    <w:rsid w:val="0093771B"/>
    <w:rsid w:val="00940773"/>
    <w:rsid w:val="00940A88"/>
    <w:rsid w:val="00941396"/>
    <w:rsid w:val="0094398E"/>
    <w:rsid w:val="00943B26"/>
    <w:rsid w:val="00944C9A"/>
    <w:rsid w:val="00944DC7"/>
    <w:rsid w:val="009459C9"/>
    <w:rsid w:val="00946D97"/>
    <w:rsid w:val="00946E07"/>
    <w:rsid w:val="00950F53"/>
    <w:rsid w:val="00951E30"/>
    <w:rsid w:val="00951FA4"/>
    <w:rsid w:val="009525ED"/>
    <w:rsid w:val="00952BB5"/>
    <w:rsid w:val="00952CED"/>
    <w:rsid w:val="0095339A"/>
    <w:rsid w:val="009538DD"/>
    <w:rsid w:val="00955B54"/>
    <w:rsid w:val="00955DBE"/>
    <w:rsid w:val="00956571"/>
    <w:rsid w:val="0095748B"/>
    <w:rsid w:val="009575B6"/>
    <w:rsid w:val="0095793C"/>
    <w:rsid w:val="0096106C"/>
    <w:rsid w:val="00961A92"/>
    <w:rsid w:val="00962127"/>
    <w:rsid w:val="009626AC"/>
    <w:rsid w:val="00962913"/>
    <w:rsid w:val="00962DCE"/>
    <w:rsid w:val="00963056"/>
    <w:rsid w:val="009642D2"/>
    <w:rsid w:val="0096451E"/>
    <w:rsid w:val="00965EDA"/>
    <w:rsid w:val="00966A32"/>
    <w:rsid w:val="00966E74"/>
    <w:rsid w:val="0097031A"/>
    <w:rsid w:val="00970B7F"/>
    <w:rsid w:val="00970D35"/>
    <w:rsid w:val="00970D5A"/>
    <w:rsid w:val="00971581"/>
    <w:rsid w:val="009718AE"/>
    <w:rsid w:val="009719FE"/>
    <w:rsid w:val="00972591"/>
    <w:rsid w:val="009725E9"/>
    <w:rsid w:val="009738C3"/>
    <w:rsid w:val="00975C75"/>
    <w:rsid w:val="00980FE3"/>
    <w:rsid w:val="00981F02"/>
    <w:rsid w:val="009821EC"/>
    <w:rsid w:val="00982B88"/>
    <w:rsid w:val="00984178"/>
    <w:rsid w:val="009843BE"/>
    <w:rsid w:val="00984AC8"/>
    <w:rsid w:val="00985977"/>
    <w:rsid w:val="00985C26"/>
    <w:rsid w:val="009866A6"/>
    <w:rsid w:val="00986E53"/>
    <w:rsid w:val="00987251"/>
    <w:rsid w:val="00990C68"/>
    <w:rsid w:val="00991EF5"/>
    <w:rsid w:val="00992211"/>
    <w:rsid w:val="00992C30"/>
    <w:rsid w:val="00992EA9"/>
    <w:rsid w:val="009930E3"/>
    <w:rsid w:val="009933F5"/>
    <w:rsid w:val="00993A2F"/>
    <w:rsid w:val="00993C3F"/>
    <w:rsid w:val="00993F18"/>
    <w:rsid w:val="00994032"/>
    <w:rsid w:val="00994FF3"/>
    <w:rsid w:val="0099593A"/>
    <w:rsid w:val="00995F20"/>
    <w:rsid w:val="009960A1"/>
    <w:rsid w:val="00996D2E"/>
    <w:rsid w:val="00996D35"/>
    <w:rsid w:val="00996F8B"/>
    <w:rsid w:val="009A131B"/>
    <w:rsid w:val="009A1A32"/>
    <w:rsid w:val="009A22FC"/>
    <w:rsid w:val="009A2BEF"/>
    <w:rsid w:val="009A2DB6"/>
    <w:rsid w:val="009A3148"/>
    <w:rsid w:val="009A33CC"/>
    <w:rsid w:val="009A36D4"/>
    <w:rsid w:val="009A40E8"/>
    <w:rsid w:val="009A40F7"/>
    <w:rsid w:val="009A48DC"/>
    <w:rsid w:val="009A5C37"/>
    <w:rsid w:val="009A77E3"/>
    <w:rsid w:val="009B145F"/>
    <w:rsid w:val="009B19A8"/>
    <w:rsid w:val="009B34DF"/>
    <w:rsid w:val="009B3B4F"/>
    <w:rsid w:val="009B3F1A"/>
    <w:rsid w:val="009B463F"/>
    <w:rsid w:val="009B4919"/>
    <w:rsid w:val="009B4A0E"/>
    <w:rsid w:val="009B5429"/>
    <w:rsid w:val="009B590D"/>
    <w:rsid w:val="009B5C65"/>
    <w:rsid w:val="009B68DE"/>
    <w:rsid w:val="009B6911"/>
    <w:rsid w:val="009B7001"/>
    <w:rsid w:val="009B7092"/>
    <w:rsid w:val="009B7601"/>
    <w:rsid w:val="009C0992"/>
    <w:rsid w:val="009C1622"/>
    <w:rsid w:val="009C270B"/>
    <w:rsid w:val="009C2DBF"/>
    <w:rsid w:val="009C38F6"/>
    <w:rsid w:val="009C3B14"/>
    <w:rsid w:val="009C42DE"/>
    <w:rsid w:val="009C44BA"/>
    <w:rsid w:val="009C4E91"/>
    <w:rsid w:val="009C510E"/>
    <w:rsid w:val="009C7529"/>
    <w:rsid w:val="009C75D8"/>
    <w:rsid w:val="009D0A52"/>
    <w:rsid w:val="009D0DD9"/>
    <w:rsid w:val="009D27B6"/>
    <w:rsid w:val="009D2CAF"/>
    <w:rsid w:val="009D37DE"/>
    <w:rsid w:val="009D472A"/>
    <w:rsid w:val="009D492F"/>
    <w:rsid w:val="009D6421"/>
    <w:rsid w:val="009D6C87"/>
    <w:rsid w:val="009E061C"/>
    <w:rsid w:val="009E27B7"/>
    <w:rsid w:val="009E2DD3"/>
    <w:rsid w:val="009E3A78"/>
    <w:rsid w:val="009E4D73"/>
    <w:rsid w:val="009E557E"/>
    <w:rsid w:val="009E56E8"/>
    <w:rsid w:val="009E5F17"/>
    <w:rsid w:val="009E6A43"/>
    <w:rsid w:val="009E6F4F"/>
    <w:rsid w:val="009E762E"/>
    <w:rsid w:val="009E7992"/>
    <w:rsid w:val="009F00AA"/>
    <w:rsid w:val="009F0441"/>
    <w:rsid w:val="009F0D48"/>
    <w:rsid w:val="009F18CD"/>
    <w:rsid w:val="009F19EE"/>
    <w:rsid w:val="009F2649"/>
    <w:rsid w:val="009F3550"/>
    <w:rsid w:val="009F406D"/>
    <w:rsid w:val="009F5AA1"/>
    <w:rsid w:val="009F613D"/>
    <w:rsid w:val="00A00113"/>
    <w:rsid w:val="00A0050E"/>
    <w:rsid w:val="00A00FD8"/>
    <w:rsid w:val="00A020A7"/>
    <w:rsid w:val="00A026F0"/>
    <w:rsid w:val="00A0283D"/>
    <w:rsid w:val="00A02CA0"/>
    <w:rsid w:val="00A02EC4"/>
    <w:rsid w:val="00A03C13"/>
    <w:rsid w:val="00A03FB6"/>
    <w:rsid w:val="00A041D9"/>
    <w:rsid w:val="00A049F3"/>
    <w:rsid w:val="00A04B52"/>
    <w:rsid w:val="00A04FE5"/>
    <w:rsid w:val="00A05EF9"/>
    <w:rsid w:val="00A05F28"/>
    <w:rsid w:val="00A0637F"/>
    <w:rsid w:val="00A075AB"/>
    <w:rsid w:val="00A07BD8"/>
    <w:rsid w:val="00A104D8"/>
    <w:rsid w:val="00A11734"/>
    <w:rsid w:val="00A11CC8"/>
    <w:rsid w:val="00A11E84"/>
    <w:rsid w:val="00A1249E"/>
    <w:rsid w:val="00A12905"/>
    <w:rsid w:val="00A138CE"/>
    <w:rsid w:val="00A139C7"/>
    <w:rsid w:val="00A16105"/>
    <w:rsid w:val="00A16F93"/>
    <w:rsid w:val="00A177C1"/>
    <w:rsid w:val="00A204BF"/>
    <w:rsid w:val="00A2050F"/>
    <w:rsid w:val="00A20513"/>
    <w:rsid w:val="00A20D53"/>
    <w:rsid w:val="00A214F5"/>
    <w:rsid w:val="00A21EF9"/>
    <w:rsid w:val="00A22A4C"/>
    <w:rsid w:val="00A22A83"/>
    <w:rsid w:val="00A22B62"/>
    <w:rsid w:val="00A23136"/>
    <w:rsid w:val="00A23360"/>
    <w:rsid w:val="00A23616"/>
    <w:rsid w:val="00A23DA6"/>
    <w:rsid w:val="00A24346"/>
    <w:rsid w:val="00A24DF6"/>
    <w:rsid w:val="00A25C90"/>
    <w:rsid w:val="00A26876"/>
    <w:rsid w:val="00A2789C"/>
    <w:rsid w:val="00A27C64"/>
    <w:rsid w:val="00A27CB3"/>
    <w:rsid w:val="00A30061"/>
    <w:rsid w:val="00A30906"/>
    <w:rsid w:val="00A30CA8"/>
    <w:rsid w:val="00A322B4"/>
    <w:rsid w:val="00A32582"/>
    <w:rsid w:val="00A32635"/>
    <w:rsid w:val="00A32F4B"/>
    <w:rsid w:val="00A33D72"/>
    <w:rsid w:val="00A361C4"/>
    <w:rsid w:val="00A36480"/>
    <w:rsid w:val="00A36E03"/>
    <w:rsid w:val="00A375E2"/>
    <w:rsid w:val="00A418D9"/>
    <w:rsid w:val="00A41B89"/>
    <w:rsid w:val="00A41FAC"/>
    <w:rsid w:val="00A436EB"/>
    <w:rsid w:val="00A4422E"/>
    <w:rsid w:val="00A442B0"/>
    <w:rsid w:val="00A44929"/>
    <w:rsid w:val="00A44960"/>
    <w:rsid w:val="00A44BE6"/>
    <w:rsid w:val="00A453BB"/>
    <w:rsid w:val="00A455A9"/>
    <w:rsid w:val="00A4566E"/>
    <w:rsid w:val="00A4567A"/>
    <w:rsid w:val="00A4627C"/>
    <w:rsid w:val="00A473F4"/>
    <w:rsid w:val="00A51EE4"/>
    <w:rsid w:val="00A52264"/>
    <w:rsid w:val="00A52C3B"/>
    <w:rsid w:val="00A532FF"/>
    <w:rsid w:val="00A53B36"/>
    <w:rsid w:val="00A545B2"/>
    <w:rsid w:val="00A568D8"/>
    <w:rsid w:val="00A61F9F"/>
    <w:rsid w:val="00A620AC"/>
    <w:rsid w:val="00A62C22"/>
    <w:rsid w:val="00A6358D"/>
    <w:rsid w:val="00A63C69"/>
    <w:rsid w:val="00A64BC3"/>
    <w:rsid w:val="00A6556C"/>
    <w:rsid w:val="00A65C84"/>
    <w:rsid w:val="00A65D54"/>
    <w:rsid w:val="00A666B4"/>
    <w:rsid w:val="00A70104"/>
    <w:rsid w:val="00A710A1"/>
    <w:rsid w:val="00A724FA"/>
    <w:rsid w:val="00A732C9"/>
    <w:rsid w:val="00A73E95"/>
    <w:rsid w:val="00A7518D"/>
    <w:rsid w:val="00A752DF"/>
    <w:rsid w:val="00A76A16"/>
    <w:rsid w:val="00A76ACE"/>
    <w:rsid w:val="00A81057"/>
    <w:rsid w:val="00A8145D"/>
    <w:rsid w:val="00A81951"/>
    <w:rsid w:val="00A83BA1"/>
    <w:rsid w:val="00A83E6C"/>
    <w:rsid w:val="00A83EA9"/>
    <w:rsid w:val="00A8483D"/>
    <w:rsid w:val="00A85148"/>
    <w:rsid w:val="00A85590"/>
    <w:rsid w:val="00A85A5D"/>
    <w:rsid w:val="00A85EA5"/>
    <w:rsid w:val="00A865B1"/>
    <w:rsid w:val="00A8773D"/>
    <w:rsid w:val="00A87DE8"/>
    <w:rsid w:val="00A916DA"/>
    <w:rsid w:val="00A924CA"/>
    <w:rsid w:val="00A933F5"/>
    <w:rsid w:val="00A94855"/>
    <w:rsid w:val="00A959C5"/>
    <w:rsid w:val="00A966D5"/>
    <w:rsid w:val="00A97130"/>
    <w:rsid w:val="00A97132"/>
    <w:rsid w:val="00A976DB"/>
    <w:rsid w:val="00AA19BC"/>
    <w:rsid w:val="00AA19C0"/>
    <w:rsid w:val="00AA1A01"/>
    <w:rsid w:val="00AA1D0D"/>
    <w:rsid w:val="00AA33A6"/>
    <w:rsid w:val="00AA49D8"/>
    <w:rsid w:val="00AA4F8A"/>
    <w:rsid w:val="00AA5269"/>
    <w:rsid w:val="00AA68A9"/>
    <w:rsid w:val="00AB0448"/>
    <w:rsid w:val="00AB0FF4"/>
    <w:rsid w:val="00AB1739"/>
    <w:rsid w:val="00AB1E74"/>
    <w:rsid w:val="00AB2209"/>
    <w:rsid w:val="00AB260A"/>
    <w:rsid w:val="00AB2B62"/>
    <w:rsid w:val="00AB2F74"/>
    <w:rsid w:val="00AB470E"/>
    <w:rsid w:val="00AB4BEA"/>
    <w:rsid w:val="00AB5354"/>
    <w:rsid w:val="00AB55F6"/>
    <w:rsid w:val="00AB6EE1"/>
    <w:rsid w:val="00AB791D"/>
    <w:rsid w:val="00AB7990"/>
    <w:rsid w:val="00AB7EBD"/>
    <w:rsid w:val="00AC0A14"/>
    <w:rsid w:val="00AC1FE5"/>
    <w:rsid w:val="00AC235A"/>
    <w:rsid w:val="00AC3B31"/>
    <w:rsid w:val="00AC3E00"/>
    <w:rsid w:val="00AC630F"/>
    <w:rsid w:val="00AC697F"/>
    <w:rsid w:val="00AC7789"/>
    <w:rsid w:val="00AD1974"/>
    <w:rsid w:val="00AD1EC8"/>
    <w:rsid w:val="00AD2C5B"/>
    <w:rsid w:val="00AD302A"/>
    <w:rsid w:val="00AD47B7"/>
    <w:rsid w:val="00AD5FB2"/>
    <w:rsid w:val="00AD7917"/>
    <w:rsid w:val="00AD79A6"/>
    <w:rsid w:val="00AE07A3"/>
    <w:rsid w:val="00AE192C"/>
    <w:rsid w:val="00AE2263"/>
    <w:rsid w:val="00AE2E75"/>
    <w:rsid w:val="00AE2F80"/>
    <w:rsid w:val="00AE3EED"/>
    <w:rsid w:val="00AE4DD2"/>
    <w:rsid w:val="00AE5878"/>
    <w:rsid w:val="00AE5F18"/>
    <w:rsid w:val="00AE6212"/>
    <w:rsid w:val="00AE6A9A"/>
    <w:rsid w:val="00AE6CCE"/>
    <w:rsid w:val="00AF1F5A"/>
    <w:rsid w:val="00AF264A"/>
    <w:rsid w:val="00AF30B5"/>
    <w:rsid w:val="00AF48BC"/>
    <w:rsid w:val="00AF5498"/>
    <w:rsid w:val="00AF78DC"/>
    <w:rsid w:val="00AF79E0"/>
    <w:rsid w:val="00AF7AAE"/>
    <w:rsid w:val="00AF7B13"/>
    <w:rsid w:val="00B00CC3"/>
    <w:rsid w:val="00B01E9E"/>
    <w:rsid w:val="00B031CC"/>
    <w:rsid w:val="00B0407D"/>
    <w:rsid w:val="00B04AC3"/>
    <w:rsid w:val="00B063A0"/>
    <w:rsid w:val="00B06655"/>
    <w:rsid w:val="00B07703"/>
    <w:rsid w:val="00B1011A"/>
    <w:rsid w:val="00B1038A"/>
    <w:rsid w:val="00B103D2"/>
    <w:rsid w:val="00B1218B"/>
    <w:rsid w:val="00B1228D"/>
    <w:rsid w:val="00B123E0"/>
    <w:rsid w:val="00B14386"/>
    <w:rsid w:val="00B14B3E"/>
    <w:rsid w:val="00B15012"/>
    <w:rsid w:val="00B1563A"/>
    <w:rsid w:val="00B156CC"/>
    <w:rsid w:val="00B1600E"/>
    <w:rsid w:val="00B16867"/>
    <w:rsid w:val="00B1699E"/>
    <w:rsid w:val="00B1707A"/>
    <w:rsid w:val="00B171E4"/>
    <w:rsid w:val="00B2036A"/>
    <w:rsid w:val="00B217DB"/>
    <w:rsid w:val="00B21E69"/>
    <w:rsid w:val="00B21F99"/>
    <w:rsid w:val="00B223CF"/>
    <w:rsid w:val="00B229F1"/>
    <w:rsid w:val="00B23121"/>
    <w:rsid w:val="00B23206"/>
    <w:rsid w:val="00B24FD4"/>
    <w:rsid w:val="00B259EF"/>
    <w:rsid w:val="00B25C5C"/>
    <w:rsid w:val="00B25C8D"/>
    <w:rsid w:val="00B25E74"/>
    <w:rsid w:val="00B27379"/>
    <w:rsid w:val="00B27D76"/>
    <w:rsid w:val="00B30C90"/>
    <w:rsid w:val="00B31367"/>
    <w:rsid w:val="00B315EF"/>
    <w:rsid w:val="00B321CD"/>
    <w:rsid w:val="00B32935"/>
    <w:rsid w:val="00B339E8"/>
    <w:rsid w:val="00B33E54"/>
    <w:rsid w:val="00B3415A"/>
    <w:rsid w:val="00B35A7F"/>
    <w:rsid w:val="00B35C23"/>
    <w:rsid w:val="00B36339"/>
    <w:rsid w:val="00B36798"/>
    <w:rsid w:val="00B37A96"/>
    <w:rsid w:val="00B37DAB"/>
    <w:rsid w:val="00B401FB"/>
    <w:rsid w:val="00B404B1"/>
    <w:rsid w:val="00B4127E"/>
    <w:rsid w:val="00B41622"/>
    <w:rsid w:val="00B4243C"/>
    <w:rsid w:val="00B42993"/>
    <w:rsid w:val="00B4301E"/>
    <w:rsid w:val="00B440E8"/>
    <w:rsid w:val="00B443FD"/>
    <w:rsid w:val="00B4522F"/>
    <w:rsid w:val="00B459D7"/>
    <w:rsid w:val="00B472D2"/>
    <w:rsid w:val="00B4756A"/>
    <w:rsid w:val="00B51073"/>
    <w:rsid w:val="00B52001"/>
    <w:rsid w:val="00B52411"/>
    <w:rsid w:val="00B5336E"/>
    <w:rsid w:val="00B55248"/>
    <w:rsid w:val="00B55609"/>
    <w:rsid w:val="00B55F7B"/>
    <w:rsid w:val="00B56561"/>
    <w:rsid w:val="00B601B9"/>
    <w:rsid w:val="00B60C5E"/>
    <w:rsid w:val="00B622E1"/>
    <w:rsid w:val="00B63750"/>
    <w:rsid w:val="00B63963"/>
    <w:rsid w:val="00B64389"/>
    <w:rsid w:val="00B6603D"/>
    <w:rsid w:val="00B67953"/>
    <w:rsid w:val="00B70CF8"/>
    <w:rsid w:val="00B70F69"/>
    <w:rsid w:val="00B71515"/>
    <w:rsid w:val="00B71C7C"/>
    <w:rsid w:val="00B7437D"/>
    <w:rsid w:val="00B7554C"/>
    <w:rsid w:val="00B75680"/>
    <w:rsid w:val="00B758A0"/>
    <w:rsid w:val="00B75A75"/>
    <w:rsid w:val="00B76023"/>
    <w:rsid w:val="00B7643C"/>
    <w:rsid w:val="00B7697D"/>
    <w:rsid w:val="00B76E9B"/>
    <w:rsid w:val="00B7768E"/>
    <w:rsid w:val="00B800AF"/>
    <w:rsid w:val="00B80E6E"/>
    <w:rsid w:val="00B81D25"/>
    <w:rsid w:val="00B82E47"/>
    <w:rsid w:val="00B83C30"/>
    <w:rsid w:val="00B842E4"/>
    <w:rsid w:val="00B8469F"/>
    <w:rsid w:val="00B8484F"/>
    <w:rsid w:val="00B864A8"/>
    <w:rsid w:val="00B868A7"/>
    <w:rsid w:val="00B86FF0"/>
    <w:rsid w:val="00B878ED"/>
    <w:rsid w:val="00B905FB"/>
    <w:rsid w:val="00B90EAD"/>
    <w:rsid w:val="00B914A7"/>
    <w:rsid w:val="00B92362"/>
    <w:rsid w:val="00B923A2"/>
    <w:rsid w:val="00B939FB"/>
    <w:rsid w:val="00B94EEB"/>
    <w:rsid w:val="00B959B0"/>
    <w:rsid w:val="00B95DD7"/>
    <w:rsid w:val="00B96039"/>
    <w:rsid w:val="00B962DF"/>
    <w:rsid w:val="00B96E54"/>
    <w:rsid w:val="00B96FA7"/>
    <w:rsid w:val="00B97678"/>
    <w:rsid w:val="00BA0124"/>
    <w:rsid w:val="00BA1DA0"/>
    <w:rsid w:val="00BA2B5D"/>
    <w:rsid w:val="00BA31AB"/>
    <w:rsid w:val="00BA38CD"/>
    <w:rsid w:val="00BA3E8E"/>
    <w:rsid w:val="00BA412E"/>
    <w:rsid w:val="00BA52ED"/>
    <w:rsid w:val="00BA5422"/>
    <w:rsid w:val="00BA5534"/>
    <w:rsid w:val="00BA60CA"/>
    <w:rsid w:val="00BA61D3"/>
    <w:rsid w:val="00BB0D4F"/>
    <w:rsid w:val="00BB0ED5"/>
    <w:rsid w:val="00BB0F63"/>
    <w:rsid w:val="00BB1B1C"/>
    <w:rsid w:val="00BB2459"/>
    <w:rsid w:val="00BB2FAD"/>
    <w:rsid w:val="00BB37A8"/>
    <w:rsid w:val="00BB42F7"/>
    <w:rsid w:val="00BB47AA"/>
    <w:rsid w:val="00BB47F5"/>
    <w:rsid w:val="00BB5267"/>
    <w:rsid w:val="00BB61CA"/>
    <w:rsid w:val="00BB6C90"/>
    <w:rsid w:val="00BB7F91"/>
    <w:rsid w:val="00BC0343"/>
    <w:rsid w:val="00BC0DE7"/>
    <w:rsid w:val="00BC0F4D"/>
    <w:rsid w:val="00BC1AF1"/>
    <w:rsid w:val="00BC2033"/>
    <w:rsid w:val="00BC2B9C"/>
    <w:rsid w:val="00BC2D72"/>
    <w:rsid w:val="00BC5542"/>
    <w:rsid w:val="00BC5D7F"/>
    <w:rsid w:val="00BC6776"/>
    <w:rsid w:val="00BC7F43"/>
    <w:rsid w:val="00BD43ED"/>
    <w:rsid w:val="00BD4783"/>
    <w:rsid w:val="00BD60A6"/>
    <w:rsid w:val="00BD7B42"/>
    <w:rsid w:val="00BD7BFC"/>
    <w:rsid w:val="00BE0B85"/>
    <w:rsid w:val="00BE0B9E"/>
    <w:rsid w:val="00BE16C6"/>
    <w:rsid w:val="00BE19D1"/>
    <w:rsid w:val="00BE1F1E"/>
    <w:rsid w:val="00BE2209"/>
    <w:rsid w:val="00BE390E"/>
    <w:rsid w:val="00BE42D9"/>
    <w:rsid w:val="00BE5684"/>
    <w:rsid w:val="00BE5998"/>
    <w:rsid w:val="00BE5B8D"/>
    <w:rsid w:val="00BE635A"/>
    <w:rsid w:val="00BE65E6"/>
    <w:rsid w:val="00BE6A21"/>
    <w:rsid w:val="00BF045F"/>
    <w:rsid w:val="00BF0B20"/>
    <w:rsid w:val="00BF1573"/>
    <w:rsid w:val="00BF1D59"/>
    <w:rsid w:val="00BF21CD"/>
    <w:rsid w:val="00BF2AAE"/>
    <w:rsid w:val="00BF2DC6"/>
    <w:rsid w:val="00BF3E8F"/>
    <w:rsid w:val="00BF4D82"/>
    <w:rsid w:val="00BF512B"/>
    <w:rsid w:val="00BF5D5D"/>
    <w:rsid w:val="00BF5F36"/>
    <w:rsid w:val="00BF68B7"/>
    <w:rsid w:val="00C006E1"/>
    <w:rsid w:val="00C00CD9"/>
    <w:rsid w:val="00C0280D"/>
    <w:rsid w:val="00C02FE0"/>
    <w:rsid w:val="00C037D7"/>
    <w:rsid w:val="00C04129"/>
    <w:rsid w:val="00C047B4"/>
    <w:rsid w:val="00C0494A"/>
    <w:rsid w:val="00C05223"/>
    <w:rsid w:val="00C05445"/>
    <w:rsid w:val="00C05545"/>
    <w:rsid w:val="00C076A4"/>
    <w:rsid w:val="00C07AE3"/>
    <w:rsid w:val="00C10E95"/>
    <w:rsid w:val="00C1126C"/>
    <w:rsid w:val="00C127EC"/>
    <w:rsid w:val="00C12E1C"/>
    <w:rsid w:val="00C13B0B"/>
    <w:rsid w:val="00C14FB7"/>
    <w:rsid w:val="00C169A6"/>
    <w:rsid w:val="00C16BAE"/>
    <w:rsid w:val="00C16E68"/>
    <w:rsid w:val="00C177D1"/>
    <w:rsid w:val="00C17B95"/>
    <w:rsid w:val="00C17D75"/>
    <w:rsid w:val="00C20823"/>
    <w:rsid w:val="00C20FE0"/>
    <w:rsid w:val="00C22494"/>
    <w:rsid w:val="00C230E7"/>
    <w:rsid w:val="00C2370C"/>
    <w:rsid w:val="00C252CE"/>
    <w:rsid w:val="00C25525"/>
    <w:rsid w:val="00C25F00"/>
    <w:rsid w:val="00C26BBD"/>
    <w:rsid w:val="00C273EA"/>
    <w:rsid w:val="00C30D18"/>
    <w:rsid w:val="00C32DA6"/>
    <w:rsid w:val="00C347B7"/>
    <w:rsid w:val="00C3497B"/>
    <w:rsid w:val="00C34FEB"/>
    <w:rsid w:val="00C35017"/>
    <w:rsid w:val="00C35905"/>
    <w:rsid w:val="00C35A0B"/>
    <w:rsid w:val="00C35C84"/>
    <w:rsid w:val="00C378C7"/>
    <w:rsid w:val="00C40207"/>
    <w:rsid w:val="00C40BDD"/>
    <w:rsid w:val="00C416C6"/>
    <w:rsid w:val="00C41A7A"/>
    <w:rsid w:val="00C432E9"/>
    <w:rsid w:val="00C45C02"/>
    <w:rsid w:val="00C4618C"/>
    <w:rsid w:val="00C46A9B"/>
    <w:rsid w:val="00C47EE3"/>
    <w:rsid w:val="00C5032B"/>
    <w:rsid w:val="00C51A4A"/>
    <w:rsid w:val="00C52D99"/>
    <w:rsid w:val="00C52EC9"/>
    <w:rsid w:val="00C54452"/>
    <w:rsid w:val="00C545BF"/>
    <w:rsid w:val="00C54B67"/>
    <w:rsid w:val="00C54E81"/>
    <w:rsid w:val="00C565B1"/>
    <w:rsid w:val="00C56886"/>
    <w:rsid w:val="00C612B3"/>
    <w:rsid w:val="00C6171B"/>
    <w:rsid w:val="00C63443"/>
    <w:rsid w:val="00C63957"/>
    <w:rsid w:val="00C64255"/>
    <w:rsid w:val="00C64F06"/>
    <w:rsid w:val="00C651F5"/>
    <w:rsid w:val="00C6609A"/>
    <w:rsid w:val="00C66E5A"/>
    <w:rsid w:val="00C67821"/>
    <w:rsid w:val="00C67F17"/>
    <w:rsid w:val="00C70F71"/>
    <w:rsid w:val="00C716B5"/>
    <w:rsid w:val="00C73110"/>
    <w:rsid w:val="00C760F1"/>
    <w:rsid w:val="00C764B0"/>
    <w:rsid w:val="00C770B2"/>
    <w:rsid w:val="00C77365"/>
    <w:rsid w:val="00C77415"/>
    <w:rsid w:val="00C7741F"/>
    <w:rsid w:val="00C77563"/>
    <w:rsid w:val="00C81C3A"/>
    <w:rsid w:val="00C81E29"/>
    <w:rsid w:val="00C82A9F"/>
    <w:rsid w:val="00C83A2A"/>
    <w:rsid w:val="00C8442A"/>
    <w:rsid w:val="00C84DB1"/>
    <w:rsid w:val="00C86628"/>
    <w:rsid w:val="00C8775D"/>
    <w:rsid w:val="00C90A24"/>
    <w:rsid w:val="00C90A82"/>
    <w:rsid w:val="00C93773"/>
    <w:rsid w:val="00C94057"/>
    <w:rsid w:val="00C94D61"/>
    <w:rsid w:val="00C95D1A"/>
    <w:rsid w:val="00C95D97"/>
    <w:rsid w:val="00C95E71"/>
    <w:rsid w:val="00C960EA"/>
    <w:rsid w:val="00C9690E"/>
    <w:rsid w:val="00C97B58"/>
    <w:rsid w:val="00C97C99"/>
    <w:rsid w:val="00C97D15"/>
    <w:rsid w:val="00C97E21"/>
    <w:rsid w:val="00C97EDB"/>
    <w:rsid w:val="00CA12AA"/>
    <w:rsid w:val="00CA12E7"/>
    <w:rsid w:val="00CA1B25"/>
    <w:rsid w:val="00CA1C7A"/>
    <w:rsid w:val="00CA28C4"/>
    <w:rsid w:val="00CA37C1"/>
    <w:rsid w:val="00CA49F9"/>
    <w:rsid w:val="00CA56AF"/>
    <w:rsid w:val="00CA577D"/>
    <w:rsid w:val="00CA637B"/>
    <w:rsid w:val="00CA6B9F"/>
    <w:rsid w:val="00CA7503"/>
    <w:rsid w:val="00CA7986"/>
    <w:rsid w:val="00CA7D32"/>
    <w:rsid w:val="00CA7F9D"/>
    <w:rsid w:val="00CB1060"/>
    <w:rsid w:val="00CB1364"/>
    <w:rsid w:val="00CB3455"/>
    <w:rsid w:val="00CB3C61"/>
    <w:rsid w:val="00CB4AC9"/>
    <w:rsid w:val="00CB4F76"/>
    <w:rsid w:val="00CB6A98"/>
    <w:rsid w:val="00CB6E29"/>
    <w:rsid w:val="00CB74E9"/>
    <w:rsid w:val="00CC04E4"/>
    <w:rsid w:val="00CC0A56"/>
    <w:rsid w:val="00CC0E80"/>
    <w:rsid w:val="00CC0FAC"/>
    <w:rsid w:val="00CC12A5"/>
    <w:rsid w:val="00CC1DEF"/>
    <w:rsid w:val="00CC2CC6"/>
    <w:rsid w:val="00CC44C7"/>
    <w:rsid w:val="00CC46F3"/>
    <w:rsid w:val="00CC4F7F"/>
    <w:rsid w:val="00CC68A1"/>
    <w:rsid w:val="00CC73CA"/>
    <w:rsid w:val="00CD0141"/>
    <w:rsid w:val="00CD1083"/>
    <w:rsid w:val="00CD2B2E"/>
    <w:rsid w:val="00CD2F56"/>
    <w:rsid w:val="00CD3CE4"/>
    <w:rsid w:val="00CD479E"/>
    <w:rsid w:val="00CD4D3F"/>
    <w:rsid w:val="00CD5D53"/>
    <w:rsid w:val="00CD6267"/>
    <w:rsid w:val="00CD6E00"/>
    <w:rsid w:val="00CD7745"/>
    <w:rsid w:val="00CE0708"/>
    <w:rsid w:val="00CE087C"/>
    <w:rsid w:val="00CE0EB8"/>
    <w:rsid w:val="00CE3BDF"/>
    <w:rsid w:val="00CE3E2B"/>
    <w:rsid w:val="00CE56DB"/>
    <w:rsid w:val="00CE5FB2"/>
    <w:rsid w:val="00CE7EFD"/>
    <w:rsid w:val="00CF0147"/>
    <w:rsid w:val="00CF02FF"/>
    <w:rsid w:val="00CF12F6"/>
    <w:rsid w:val="00CF1E74"/>
    <w:rsid w:val="00CF1F35"/>
    <w:rsid w:val="00CF4455"/>
    <w:rsid w:val="00CF44DF"/>
    <w:rsid w:val="00CF5A37"/>
    <w:rsid w:val="00CF61D1"/>
    <w:rsid w:val="00CF6B7A"/>
    <w:rsid w:val="00D0060C"/>
    <w:rsid w:val="00D010FC"/>
    <w:rsid w:val="00D014CE"/>
    <w:rsid w:val="00D02C11"/>
    <w:rsid w:val="00D0419F"/>
    <w:rsid w:val="00D04D42"/>
    <w:rsid w:val="00D053EF"/>
    <w:rsid w:val="00D0597C"/>
    <w:rsid w:val="00D07151"/>
    <w:rsid w:val="00D072DA"/>
    <w:rsid w:val="00D10934"/>
    <w:rsid w:val="00D110E9"/>
    <w:rsid w:val="00D11C18"/>
    <w:rsid w:val="00D122A8"/>
    <w:rsid w:val="00D12819"/>
    <w:rsid w:val="00D12992"/>
    <w:rsid w:val="00D131DD"/>
    <w:rsid w:val="00D13CBA"/>
    <w:rsid w:val="00D13ED1"/>
    <w:rsid w:val="00D13F05"/>
    <w:rsid w:val="00D14940"/>
    <w:rsid w:val="00D16B43"/>
    <w:rsid w:val="00D17A8B"/>
    <w:rsid w:val="00D2055C"/>
    <w:rsid w:val="00D20897"/>
    <w:rsid w:val="00D211F5"/>
    <w:rsid w:val="00D2137C"/>
    <w:rsid w:val="00D21831"/>
    <w:rsid w:val="00D2187F"/>
    <w:rsid w:val="00D22EF5"/>
    <w:rsid w:val="00D23828"/>
    <w:rsid w:val="00D24B76"/>
    <w:rsid w:val="00D253D6"/>
    <w:rsid w:val="00D26027"/>
    <w:rsid w:val="00D261FD"/>
    <w:rsid w:val="00D26CC1"/>
    <w:rsid w:val="00D27085"/>
    <w:rsid w:val="00D27373"/>
    <w:rsid w:val="00D311F7"/>
    <w:rsid w:val="00D31338"/>
    <w:rsid w:val="00D31967"/>
    <w:rsid w:val="00D325D0"/>
    <w:rsid w:val="00D33296"/>
    <w:rsid w:val="00D35CEB"/>
    <w:rsid w:val="00D36DF4"/>
    <w:rsid w:val="00D409B9"/>
    <w:rsid w:val="00D41145"/>
    <w:rsid w:val="00D417CD"/>
    <w:rsid w:val="00D42A2E"/>
    <w:rsid w:val="00D42A59"/>
    <w:rsid w:val="00D4460C"/>
    <w:rsid w:val="00D45090"/>
    <w:rsid w:val="00D4570A"/>
    <w:rsid w:val="00D470DE"/>
    <w:rsid w:val="00D477C5"/>
    <w:rsid w:val="00D5094C"/>
    <w:rsid w:val="00D50B37"/>
    <w:rsid w:val="00D5119C"/>
    <w:rsid w:val="00D53190"/>
    <w:rsid w:val="00D53259"/>
    <w:rsid w:val="00D5412C"/>
    <w:rsid w:val="00D54FC3"/>
    <w:rsid w:val="00D55A77"/>
    <w:rsid w:val="00D60066"/>
    <w:rsid w:val="00D61D12"/>
    <w:rsid w:val="00D62698"/>
    <w:rsid w:val="00D627B6"/>
    <w:rsid w:val="00D633CD"/>
    <w:rsid w:val="00D64177"/>
    <w:rsid w:val="00D6520D"/>
    <w:rsid w:val="00D65457"/>
    <w:rsid w:val="00D6698E"/>
    <w:rsid w:val="00D67437"/>
    <w:rsid w:val="00D71A36"/>
    <w:rsid w:val="00D71F56"/>
    <w:rsid w:val="00D723BD"/>
    <w:rsid w:val="00D737D5"/>
    <w:rsid w:val="00D7579F"/>
    <w:rsid w:val="00D75DD7"/>
    <w:rsid w:val="00D761A5"/>
    <w:rsid w:val="00D761C5"/>
    <w:rsid w:val="00D76917"/>
    <w:rsid w:val="00D774F3"/>
    <w:rsid w:val="00D775AD"/>
    <w:rsid w:val="00D814CA"/>
    <w:rsid w:val="00D81D72"/>
    <w:rsid w:val="00D81E3E"/>
    <w:rsid w:val="00D81ECC"/>
    <w:rsid w:val="00D82551"/>
    <w:rsid w:val="00D83008"/>
    <w:rsid w:val="00D831F0"/>
    <w:rsid w:val="00D834DB"/>
    <w:rsid w:val="00D83D1D"/>
    <w:rsid w:val="00D84B07"/>
    <w:rsid w:val="00D857B8"/>
    <w:rsid w:val="00D857F7"/>
    <w:rsid w:val="00D86ECC"/>
    <w:rsid w:val="00D915F2"/>
    <w:rsid w:val="00D91ECA"/>
    <w:rsid w:val="00D9456E"/>
    <w:rsid w:val="00D94B15"/>
    <w:rsid w:val="00D95D4B"/>
    <w:rsid w:val="00D97D65"/>
    <w:rsid w:val="00DA1BA5"/>
    <w:rsid w:val="00DA4EFA"/>
    <w:rsid w:val="00DA50A3"/>
    <w:rsid w:val="00DA6F62"/>
    <w:rsid w:val="00DA6F93"/>
    <w:rsid w:val="00DB0F58"/>
    <w:rsid w:val="00DB11FC"/>
    <w:rsid w:val="00DB13EE"/>
    <w:rsid w:val="00DB1FAC"/>
    <w:rsid w:val="00DB2D3C"/>
    <w:rsid w:val="00DB2DC1"/>
    <w:rsid w:val="00DB3C1E"/>
    <w:rsid w:val="00DB4B9C"/>
    <w:rsid w:val="00DB4BE9"/>
    <w:rsid w:val="00DB4FA5"/>
    <w:rsid w:val="00DB545B"/>
    <w:rsid w:val="00DB54FC"/>
    <w:rsid w:val="00DB5DE0"/>
    <w:rsid w:val="00DB64FE"/>
    <w:rsid w:val="00DB6594"/>
    <w:rsid w:val="00DB6765"/>
    <w:rsid w:val="00DB7286"/>
    <w:rsid w:val="00DB7786"/>
    <w:rsid w:val="00DB7CA6"/>
    <w:rsid w:val="00DC0FF6"/>
    <w:rsid w:val="00DC1E87"/>
    <w:rsid w:val="00DC2429"/>
    <w:rsid w:val="00DC38C1"/>
    <w:rsid w:val="00DC4BF2"/>
    <w:rsid w:val="00DC673D"/>
    <w:rsid w:val="00DC6A20"/>
    <w:rsid w:val="00DC6BC0"/>
    <w:rsid w:val="00DD01E4"/>
    <w:rsid w:val="00DD052E"/>
    <w:rsid w:val="00DD11D9"/>
    <w:rsid w:val="00DD1D27"/>
    <w:rsid w:val="00DD338B"/>
    <w:rsid w:val="00DD350A"/>
    <w:rsid w:val="00DD3D42"/>
    <w:rsid w:val="00DD4FD0"/>
    <w:rsid w:val="00DD5D19"/>
    <w:rsid w:val="00DE0636"/>
    <w:rsid w:val="00DE0774"/>
    <w:rsid w:val="00DE0A18"/>
    <w:rsid w:val="00DE1F84"/>
    <w:rsid w:val="00DE238D"/>
    <w:rsid w:val="00DE394D"/>
    <w:rsid w:val="00DE3D5E"/>
    <w:rsid w:val="00DE4939"/>
    <w:rsid w:val="00DE5B3C"/>
    <w:rsid w:val="00DE5ECA"/>
    <w:rsid w:val="00DE6955"/>
    <w:rsid w:val="00DE6B65"/>
    <w:rsid w:val="00DE6F59"/>
    <w:rsid w:val="00DF0209"/>
    <w:rsid w:val="00DF0F1F"/>
    <w:rsid w:val="00DF19CB"/>
    <w:rsid w:val="00DF1AA3"/>
    <w:rsid w:val="00DF1EC8"/>
    <w:rsid w:val="00DF2F17"/>
    <w:rsid w:val="00DF377F"/>
    <w:rsid w:val="00DF3942"/>
    <w:rsid w:val="00DF5538"/>
    <w:rsid w:val="00DF5982"/>
    <w:rsid w:val="00DF64FC"/>
    <w:rsid w:val="00DF6992"/>
    <w:rsid w:val="00DF7158"/>
    <w:rsid w:val="00DF74B1"/>
    <w:rsid w:val="00E00F81"/>
    <w:rsid w:val="00E02158"/>
    <w:rsid w:val="00E023DE"/>
    <w:rsid w:val="00E0324D"/>
    <w:rsid w:val="00E03F96"/>
    <w:rsid w:val="00E05F8E"/>
    <w:rsid w:val="00E0605F"/>
    <w:rsid w:val="00E075FB"/>
    <w:rsid w:val="00E07707"/>
    <w:rsid w:val="00E07947"/>
    <w:rsid w:val="00E111E6"/>
    <w:rsid w:val="00E120CA"/>
    <w:rsid w:val="00E13093"/>
    <w:rsid w:val="00E14EAB"/>
    <w:rsid w:val="00E167E6"/>
    <w:rsid w:val="00E17FAC"/>
    <w:rsid w:val="00E17FFE"/>
    <w:rsid w:val="00E20325"/>
    <w:rsid w:val="00E20510"/>
    <w:rsid w:val="00E20975"/>
    <w:rsid w:val="00E20EC2"/>
    <w:rsid w:val="00E21554"/>
    <w:rsid w:val="00E220B2"/>
    <w:rsid w:val="00E257D4"/>
    <w:rsid w:val="00E2617D"/>
    <w:rsid w:val="00E26399"/>
    <w:rsid w:val="00E264C6"/>
    <w:rsid w:val="00E27278"/>
    <w:rsid w:val="00E30B4A"/>
    <w:rsid w:val="00E316C5"/>
    <w:rsid w:val="00E32508"/>
    <w:rsid w:val="00E334B1"/>
    <w:rsid w:val="00E33527"/>
    <w:rsid w:val="00E33789"/>
    <w:rsid w:val="00E33822"/>
    <w:rsid w:val="00E3449C"/>
    <w:rsid w:val="00E347EB"/>
    <w:rsid w:val="00E35D5D"/>
    <w:rsid w:val="00E35DB3"/>
    <w:rsid w:val="00E364E0"/>
    <w:rsid w:val="00E36DD5"/>
    <w:rsid w:val="00E37BDB"/>
    <w:rsid w:val="00E37D7E"/>
    <w:rsid w:val="00E40665"/>
    <w:rsid w:val="00E406B3"/>
    <w:rsid w:val="00E409B3"/>
    <w:rsid w:val="00E40AED"/>
    <w:rsid w:val="00E40D2D"/>
    <w:rsid w:val="00E41075"/>
    <w:rsid w:val="00E4148F"/>
    <w:rsid w:val="00E41B19"/>
    <w:rsid w:val="00E41BE3"/>
    <w:rsid w:val="00E41BFC"/>
    <w:rsid w:val="00E421A3"/>
    <w:rsid w:val="00E4236B"/>
    <w:rsid w:val="00E42C84"/>
    <w:rsid w:val="00E44166"/>
    <w:rsid w:val="00E44841"/>
    <w:rsid w:val="00E44A0B"/>
    <w:rsid w:val="00E50AD6"/>
    <w:rsid w:val="00E51647"/>
    <w:rsid w:val="00E528F0"/>
    <w:rsid w:val="00E52903"/>
    <w:rsid w:val="00E52E3C"/>
    <w:rsid w:val="00E534B9"/>
    <w:rsid w:val="00E550DC"/>
    <w:rsid w:val="00E55124"/>
    <w:rsid w:val="00E55425"/>
    <w:rsid w:val="00E55D48"/>
    <w:rsid w:val="00E60BDA"/>
    <w:rsid w:val="00E620CA"/>
    <w:rsid w:val="00E629F4"/>
    <w:rsid w:val="00E651F8"/>
    <w:rsid w:val="00E7002D"/>
    <w:rsid w:val="00E70574"/>
    <w:rsid w:val="00E7083F"/>
    <w:rsid w:val="00E71413"/>
    <w:rsid w:val="00E71445"/>
    <w:rsid w:val="00E72887"/>
    <w:rsid w:val="00E72BD8"/>
    <w:rsid w:val="00E745B3"/>
    <w:rsid w:val="00E74632"/>
    <w:rsid w:val="00E75167"/>
    <w:rsid w:val="00E76170"/>
    <w:rsid w:val="00E7632C"/>
    <w:rsid w:val="00E76668"/>
    <w:rsid w:val="00E77410"/>
    <w:rsid w:val="00E7758A"/>
    <w:rsid w:val="00E81750"/>
    <w:rsid w:val="00E81A5B"/>
    <w:rsid w:val="00E84419"/>
    <w:rsid w:val="00E84763"/>
    <w:rsid w:val="00E84B1F"/>
    <w:rsid w:val="00E84E42"/>
    <w:rsid w:val="00E865F8"/>
    <w:rsid w:val="00E87CD3"/>
    <w:rsid w:val="00E9334F"/>
    <w:rsid w:val="00E944CA"/>
    <w:rsid w:val="00E94C29"/>
    <w:rsid w:val="00E94D27"/>
    <w:rsid w:val="00E96C14"/>
    <w:rsid w:val="00E9708F"/>
    <w:rsid w:val="00E97282"/>
    <w:rsid w:val="00E97A68"/>
    <w:rsid w:val="00EA0BEA"/>
    <w:rsid w:val="00EA1F60"/>
    <w:rsid w:val="00EA250D"/>
    <w:rsid w:val="00EA2BFE"/>
    <w:rsid w:val="00EA3A0A"/>
    <w:rsid w:val="00EA3D8A"/>
    <w:rsid w:val="00EA4E4A"/>
    <w:rsid w:val="00EA5453"/>
    <w:rsid w:val="00EA5BAF"/>
    <w:rsid w:val="00EB001C"/>
    <w:rsid w:val="00EB0ED8"/>
    <w:rsid w:val="00EB14BC"/>
    <w:rsid w:val="00EB1AC0"/>
    <w:rsid w:val="00EB1F06"/>
    <w:rsid w:val="00EB2D42"/>
    <w:rsid w:val="00EB3499"/>
    <w:rsid w:val="00EB3735"/>
    <w:rsid w:val="00EB3EA3"/>
    <w:rsid w:val="00EB4B9D"/>
    <w:rsid w:val="00EB572E"/>
    <w:rsid w:val="00EB5832"/>
    <w:rsid w:val="00EB6136"/>
    <w:rsid w:val="00EB65F5"/>
    <w:rsid w:val="00EB69CE"/>
    <w:rsid w:val="00EB6C64"/>
    <w:rsid w:val="00EB6C6E"/>
    <w:rsid w:val="00EB7323"/>
    <w:rsid w:val="00EB7511"/>
    <w:rsid w:val="00EB7841"/>
    <w:rsid w:val="00EB7DEF"/>
    <w:rsid w:val="00EC0926"/>
    <w:rsid w:val="00EC0A97"/>
    <w:rsid w:val="00EC10E1"/>
    <w:rsid w:val="00EC12B5"/>
    <w:rsid w:val="00EC135E"/>
    <w:rsid w:val="00EC1F05"/>
    <w:rsid w:val="00EC43BF"/>
    <w:rsid w:val="00EC47F4"/>
    <w:rsid w:val="00EC5687"/>
    <w:rsid w:val="00EC5F6F"/>
    <w:rsid w:val="00EC659E"/>
    <w:rsid w:val="00EC7C56"/>
    <w:rsid w:val="00ED0121"/>
    <w:rsid w:val="00ED020B"/>
    <w:rsid w:val="00ED024F"/>
    <w:rsid w:val="00ED081B"/>
    <w:rsid w:val="00ED0A62"/>
    <w:rsid w:val="00ED2C89"/>
    <w:rsid w:val="00ED32A5"/>
    <w:rsid w:val="00ED33D7"/>
    <w:rsid w:val="00ED3966"/>
    <w:rsid w:val="00ED4AF0"/>
    <w:rsid w:val="00ED501B"/>
    <w:rsid w:val="00ED565B"/>
    <w:rsid w:val="00ED5965"/>
    <w:rsid w:val="00ED5B41"/>
    <w:rsid w:val="00ED62F3"/>
    <w:rsid w:val="00ED710D"/>
    <w:rsid w:val="00ED7130"/>
    <w:rsid w:val="00ED7290"/>
    <w:rsid w:val="00ED738A"/>
    <w:rsid w:val="00ED76F5"/>
    <w:rsid w:val="00ED7924"/>
    <w:rsid w:val="00ED7EA4"/>
    <w:rsid w:val="00EE12C2"/>
    <w:rsid w:val="00EE275F"/>
    <w:rsid w:val="00EE2C1D"/>
    <w:rsid w:val="00EE2C99"/>
    <w:rsid w:val="00EE2D77"/>
    <w:rsid w:val="00EE36F5"/>
    <w:rsid w:val="00EE3893"/>
    <w:rsid w:val="00EE41D5"/>
    <w:rsid w:val="00EE49FD"/>
    <w:rsid w:val="00EE4E96"/>
    <w:rsid w:val="00EE587C"/>
    <w:rsid w:val="00EE5BDB"/>
    <w:rsid w:val="00EE61F0"/>
    <w:rsid w:val="00EE6370"/>
    <w:rsid w:val="00EE6EB7"/>
    <w:rsid w:val="00EE7405"/>
    <w:rsid w:val="00EE781F"/>
    <w:rsid w:val="00EE7B71"/>
    <w:rsid w:val="00EF17D5"/>
    <w:rsid w:val="00EF1B3E"/>
    <w:rsid w:val="00EF2474"/>
    <w:rsid w:val="00EF2621"/>
    <w:rsid w:val="00EF346F"/>
    <w:rsid w:val="00EF387A"/>
    <w:rsid w:val="00EF6CE1"/>
    <w:rsid w:val="00EF7004"/>
    <w:rsid w:val="00F0004E"/>
    <w:rsid w:val="00F0056B"/>
    <w:rsid w:val="00F00CA4"/>
    <w:rsid w:val="00F011C4"/>
    <w:rsid w:val="00F01273"/>
    <w:rsid w:val="00F01A89"/>
    <w:rsid w:val="00F0211C"/>
    <w:rsid w:val="00F02197"/>
    <w:rsid w:val="00F0239C"/>
    <w:rsid w:val="00F02979"/>
    <w:rsid w:val="00F03188"/>
    <w:rsid w:val="00F041AD"/>
    <w:rsid w:val="00F04B30"/>
    <w:rsid w:val="00F04CBB"/>
    <w:rsid w:val="00F04D94"/>
    <w:rsid w:val="00F05592"/>
    <w:rsid w:val="00F05625"/>
    <w:rsid w:val="00F06743"/>
    <w:rsid w:val="00F079D5"/>
    <w:rsid w:val="00F07FB8"/>
    <w:rsid w:val="00F1190A"/>
    <w:rsid w:val="00F12E44"/>
    <w:rsid w:val="00F1414B"/>
    <w:rsid w:val="00F142C8"/>
    <w:rsid w:val="00F14BAB"/>
    <w:rsid w:val="00F14C6F"/>
    <w:rsid w:val="00F15AEC"/>
    <w:rsid w:val="00F15B27"/>
    <w:rsid w:val="00F166EC"/>
    <w:rsid w:val="00F1698C"/>
    <w:rsid w:val="00F177AC"/>
    <w:rsid w:val="00F216E7"/>
    <w:rsid w:val="00F22B54"/>
    <w:rsid w:val="00F22F9F"/>
    <w:rsid w:val="00F23C8D"/>
    <w:rsid w:val="00F240A0"/>
    <w:rsid w:val="00F251B2"/>
    <w:rsid w:val="00F30DA1"/>
    <w:rsid w:val="00F31813"/>
    <w:rsid w:val="00F3357D"/>
    <w:rsid w:val="00F335C3"/>
    <w:rsid w:val="00F35226"/>
    <w:rsid w:val="00F35240"/>
    <w:rsid w:val="00F36418"/>
    <w:rsid w:val="00F36B8E"/>
    <w:rsid w:val="00F36CCE"/>
    <w:rsid w:val="00F37E40"/>
    <w:rsid w:val="00F4003C"/>
    <w:rsid w:val="00F41F5F"/>
    <w:rsid w:val="00F42223"/>
    <w:rsid w:val="00F422EA"/>
    <w:rsid w:val="00F42D84"/>
    <w:rsid w:val="00F42D86"/>
    <w:rsid w:val="00F4315F"/>
    <w:rsid w:val="00F43312"/>
    <w:rsid w:val="00F442C8"/>
    <w:rsid w:val="00F44791"/>
    <w:rsid w:val="00F4591B"/>
    <w:rsid w:val="00F45EF2"/>
    <w:rsid w:val="00F46081"/>
    <w:rsid w:val="00F46270"/>
    <w:rsid w:val="00F4629E"/>
    <w:rsid w:val="00F47E44"/>
    <w:rsid w:val="00F47EFA"/>
    <w:rsid w:val="00F50A4E"/>
    <w:rsid w:val="00F5149A"/>
    <w:rsid w:val="00F531D4"/>
    <w:rsid w:val="00F53E29"/>
    <w:rsid w:val="00F54164"/>
    <w:rsid w:val="00F542FE"/>
    <w:rsid w:val="00F546DB"/>
    <w:rsid w:val="00F54851"/>
    <w:rsid w:val="00F55120"/>
    <w:rsid w:val="00F556F6"/>
    <w:rsid w:val="00F574B6"/>
    <w:rsid w:val="00F5752A"/>
    <w:rsid w:val="00F57591"/>
    <w:rsid w:val="00F57694"/>
    <w:rsid w:val="00F577A5"/>
    <w:rsid w:val="00F6047F"/>
    <w:rsid w:val="00F60C36"/>
    <w:rsid w:val="00F6160B"/>
    <w:rsid w:val="00F6294D"/>
    <w:rsid w:val="00F62AA1"/>
    <w:rsid w:val="00F64188"/>
    <w:rsid w:val="00F645FB"/>
    <w:rsid w:val="00F65EE7"/>
    <w:rsid w:val="00F700B2"/>
    <w:rsid w:val="00F700B7"/>
    <w:rsid w:val="00F700C8"/>
    <w:rsid w:val="00F7077F"/>
    <w:rsid w:val="00F710E1"/>
    <w:rsid w:val="00F736E8"/>
    <w:rsid w:val="00F75619"/>
    <w:rsid w:val="00F75847"/>
    <w:rsid w:val="00F7654F"/>
    <w:rsid w:val="00F76773"/>
    <w:rsid w:val="00F80A03"/>
    <w:rsid w:val="00F80A30"/>
    <w:rsid w:val="00F81871"/>
    <w:rsid w:val="00F81AF8"/>
    <w:rsid w:val="00F81BD4"/>
    <w:rsid w:val="00F82F65"/>
    <w:rsid w:val="00F8441E"/>
    <w:rsid w:val="00F86102"/>
    <w:rsid w:val="00F8647A"/>
    <w:rsid w:val="00F87CF7"/>
    <w:rsid w:val="00F9099C"/>
    <w:rsid w:val="00F91DAE"/>
    <w:rsid w:val="00F92547"/>
    <w:rsid w:val="00F9435D"/>
    <w:rsid w:val="00F94BF1"/>
    <w:rsid w:val="00F94D31"/>
    <w:rsid w:val="00F95369"/>
    <w:rsid w:val="00F9593C"/>
    <w:rsid w:val="00F95FC6"/>
    <w:rsid w:val="00F96677"/>
    <w:rsid w:val="00F96AA8"/>
    <w:rsid w:val="00F96BE1"/>
    <w:rsid w:val="00F9702D"/>
    <w:rsid w:val="00FA0973"/>
    <w:rsid w:val="00FA14A6"/>
    <w:rsid w:val="00FA3DAA"/>
    <w:rsid w:val="00FA3E66"/>
    <w:rsid w:val="00FA421F"/>
    <w:rsid w:val="00FA4725"/>
    <w:rsid w:val="00FA4740"/>
    <w:rsid w:val="00FA55E2"/>
    <w:rsid w:val="00FA56D1"/>
    <w:rsid w:val="00FA576A"/>
    <w:rsid w:val="00FA6A9D"/>
    <w:rsid w:val="00FB0014"/>
    <w:rsid w:val="00FB0260"/>
    <w:rsid w:val="00FB128D"/>
    <w:rsid w:val="00FB15CB"/>
    <w:rsid w:val="00FB16AC"/>
    <w:rsid w:val="00FB38AD"/>
    <w:rsid w:val="00FB3932"/>
    <w:rsid w:val="00FB3D89"/>
    <w:rsid w:val="00FB47D7"/>
    <w:rsid w:val="00FB52B1"/>
    <w:rsid w:val="00FB62C1"/>
    <w:rsid w:val="00FB650A"/>
    <w:rsid w:val="00FB65EA"/>
    <w:rsid w:val="00FB6753"/>
    <w:rsid w:val="00FB685A"/>
    <w:rsid w:val="00FB6A8A"/>
    <w:rsid w:val="00FB713B"/>
    <w:rsid w:val="00FB7277"/>
    <w:rsid w:val="00FB7B96"/>
    <w:rsid w:val="00FC0121"/>
    <w:rsid w:val="00FC0721"/>
    <w:rsid w:val="00FC0950"/>
    <w:rsid w:val="00FC1FDE"/>
    <w:rsid w:val="00FC2FD0"/>
    <w:rsid w:val="00FC38BC"/>
    <w:rsid w:val="00FC39F0"/>
    <w:rsid w:val="00FC48C9"/>
    <w:rsid w:val="00FC490F"/>
    <w:rsid w:val="00FC60F2"/>
    <w:rsid w:val="00FC65EA"/>
    <w:rsid w:val="00FC7BDB"/>
    <w:rsid w:val="00FC7BEF"/>
    <w:rsid w:val="00FD0AB5"/>
    <w:rsid w:val="00FD1068"/>
    <w:rsid w:val="00FD1D6B"/>
    <w:rsid w:val="00FD1F9E"/>
    <w:rsid w:val="00FD2257"/>
    <w:rsid w:val="00FD394B"/>
    <w:rsid w:val="00FD4031"/>
    <w:rsid w:val="00FD4E58"/>
    <w:rsid w:val="00FD5592"/>
    <w:rsid w:val="00FD5B08"/>
    <w:rsid w:val="00FD5C43"/>
    <w:rsid w:val="00FD67FE"/>
    <w:rsid w:val="00FD6BFF"/>
    <w:rsid w:val="00FD7B3C"/>
    <w:rsid w:val="00FD7EB5"/>
    <w:rsid w:val="00FE12F3"/>
    <w:rsid w:val="00FE15F4"/>
    <w:rsid w:val="00FE1D28"/>
    <w:rsid w:val="00FE5D2D"/>
    <w:rsid w:val="00FE5E70"/>
    <w:rsid w:val="00FE5F4D"/>
    <w:rsid w:val="00FE606F"/>
    <w:rsid w:val="00FE7F72"/>
    <w:rsid w:val="00FF0106"/>
    <w:rsid w:val="00FF0CFA"/>
    <w:rsid w:val="00FF2D5A"/>
    <w:rsid w:val="00FF3786"/>
    <w:rsid w:val="00FF4292"/>
    <w:rsid w:val="00FF4E6E"/>
    <w:rsid w:val="00FF546E"/>
    <w:rsid w:val="00FF7198"/>
    <w:rsid w:val="00FF7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E6C36F0"/>
  <w15:docId w15:val="{1C4EAE41-2825-48B3-94F9-5EC5A8DA0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1BB"/>
    <w:rPr>
      <w:rFonts w:ascii="Verdana" w:hAnsi="Verdana"/>
      <w:szCs w:val="24"/>
    </w:rPr>
  </w:style>
  <w:style w:type="paragraph" w:styleId="Heading1">
    <w:name w:val="heading 1"/>
    <w:basedOn w:val="Normal"/>
    <w:next w:val="BodyText"/>
    <w:link w:val="Heading1Char"/>
    <w:uiPriority w:val="9"/>
    <w:qFormat/>
    <w:rsid w:val="000D3A04"/>
    <w:pPr>
      <w:keepNext/>
      <w:numPr>
        <w:numId w:val="1"/>
      </w:numPr>
      <w:spacing w:before="240" w:after="60"/>
      <w:outlineLvl w:val="0"/>
    </w:pPr>
    <w:rPr>
      <w:rFonts w:ascii="Arial" w:hAnsi="Arial" w:cs="Arial"/>
      <w:b/>
      <w:bCs/>
      <w:color w:val="000080"/>
      <w:kern w:val="32"/>
      <w:sz w:val="40"/>
      <w:szCs w:val="40"/>
    </w:rPr>
  </w:style>
  <w:style w:type="paragraph" w:styleId="Heading2">
    <w:name w:val="heading 2"/>
    <w:basedOn w:val="Normal"/>
    <w:next w:val="BodyText"/>
    <w:link w:val="Heading2Char"/>
    <w:uiPriority w:val="9"/>
    <w:qFormat/>
    <w:rsid w:val="00FA4740"/>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BodyText"/>
    <w:link w:val="Heading3Char"/>
    <w:uiPriority w:val="9"/>
    <w:qFormat/>
    <w:rsid w:val="006F0242"/>
    <w:pPr>
      <w:keepNext/>
      <w:numPr>
        <w:ilvl w:val="2"/>
        <w:numId w:val="1"/>
      </w:numPr>
      <w:spacing w:before="240" w:after="60"/>
      <w:outlineLvl w:val="2"/>
    </w:pPr>
    <w:rPr>
      <w:rFonts w:ascii="Arial" w:hAnsi="Arial" w:cs="Arial"/>
      <w:b/>
      <w:bCs/>
      <w:i/>
      <w:szCs w:val="26"/>
      <w:lang w:val="en-GB"/>
    </w:rPr>
  </w:style>
  <w:style w:type="paragraph" w:styleId="Heading4">
    <w:name w:val="heading 4"/>
    <w:basedOn w:val="Normal"/>
    <w:next w:val="BodyText"/>
    <w:qFormat/>
    <w:rsid w:val="00866FF4"/>
    <w:pPr>
      <w:keepNext/>
      <w:numPr>
        <w:ilvl w:val="3"/>
        <w:numId w:val="1"/>
      </w:numPr>
      <w:spacing w:before="240" w:after="60"/>
      <w:outlineLvl w:val="3"/>
    </w:pPr>
    <w:rPr>
      <w:rFonts w:ascii="Arial" w:hAnsi="Arial"/>
      <w:b/>
      <w:bCs/>
      <w:sz w:val="24"/>
      <w:szCs w:val="28"/>
    </w:rPr>
  </w:style>
  <w:style w:type="paragraph" w:styleId="Heading5">
    <w:name w:val="heading 5"/>
    <w:basedOn w:val="Normal"/>
    <w:next w:val="Normal"/>
    <w:qFormat/>
    <w:rsid w:val="00FA4740"/>
    <w:pPr>
      <w:numPr>
        <w:ilvl w:val="4"/>
        <w:numId w:val="1"/>
      </w:numPr>
      <w:spacing w:before="240" w:after="60"/>
      <w:outlineLvl w:val="4"/>
    </w:pPr>
    <w:rPr>
      <w:b/>
      <w:bCs/>
      <w:i/>
      <w:iCs/>
      <w:sz w:val="26"/>
      <w:szCs w:val="26"/>
    </w:rPr>
  </w:style>
  <w:style w:type="paragraph" w:styleId="Heading6">
    <w:name w:val="heading 6"/>
    <w:basedOn w:val="Normal"/>
    <w:next w:val="Normal"/>
    <w:qFormat/>
    <w:rsid w:val="00FA4740"/>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FB7B96"/>
    <w:pPr>
      <w:tabs>
        <w:tab w:val="num" w:pos="1296"/>
      </w:tabs>
      <w:spacing w:before="240" w:after="60"/>
      <w:ind w:left="1296" w:hanging="1296"/>
      <w:outlineLvl w:val="6"/>
    </w:pPr>
    <w:rPr>
      <w:rFonts w:ascii="Arial" w:hAnsi="Arial"/>
      <w:sz w:val="24"/>
      <w:szCs w:val="20"/>
    </w:rPr>
  </w:style>
  <w:style w:type="paragraph" w:styleId="Heading8">
    <w:name w:val="heading 8"/>
    <w:basedOn w:val="Normal"/>
    <w:next w:val="Normal"/>
    <w:qFormat/>
    <w:rsid w:val="00FB7B96"/>
    <w:pPr>
      <w:tabs>
        <w:tab w:val="num" w:pos="1440"/>
      </w:tabs>
      <w:spacing w:before="240" w:after="60"/>
      <w:ind w:left="1440" w:hanging="1440"/>
      <w:outlineLvl w:val="7"/>
    </w:pPr>
    <w:rPr>
      <w:rFonts w:ascii="Arial" w:hAnsi="Arial"/>
      <w:i/>
      <w:sz w:val="24"/>
      <w:szCs w:val="20"/>
    </w:rPr>
  </w:style>
  <w:style w:type="paragraph" w:styleId="Heading9">
    <w:name w:val="heading 9"/>
    <w:basedOn w:val="Normal"/>
    <w:next w:val="Normal"/>
    <w:qFormat/>
    <w:rsid w:val="00FB7B96"/>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Body Text Char1 Char,Body Text Char3 Char,Body Text Char2 Char Char,Body Text Char1 Char1 Char Char,Body Text Char Char Char Char Char,Body Text Char Char1 Char Char"/>
    <w:basedOn w:val="Normal"/>
    <w:link w:val="BodyTextChar2"/>
    <w:rsid w:val="006B52C9"/>
    <w:pPr>
      <w:spacing w:before="120" w:after="120"/>
      <w:jc w:val="both"/>
    </w:pPr>
  </w:style>
  <w:style w:type="character" w:customStyle="1" w:styleId="BodyTextChar2">
    <w:name w:val="Body Text Char2"/>
    <w:aliases w:val="Body Text Char1 Char1,Body Text Char Char Char,Body Text Char1 Char Char Char,Body Text Char Char1,Body Text Char1 Char Char1,Body Text Char3 Char Char,Body Text Char2 Char Char Char,Body Text Char1 Char1 Char Char Char"/>
    <w:basedOn w:val="DefaultParagraphFont"/>
    <w:link w:val="BodyText"/>
    <w:rsid w:val="004E7041"/>
    <w:rPr>
      <w:rFonts w:ascii="Verdana" w:hAnsi="Verdana"/>
      <w:szCs w:val="24"/>
      <w:lang w:val="en-US" w:eastAsia="en-US" w:bidi="ar-SA"/>
    </w:rPr>
  </w:style>
  <w:style w:type="paragraph" w:styleId="Header">
    <w:name w:val="header"/>
    <w:basedOn w:val="Normal"/>
    <w:link w:val="HeaderChar"/>
    <w:uiPriority w:val="99"/>
    <w:rsid w:val="006B52C9"/>
    <w:pPr>
      <w:tabs>
        <w:tab w:val="center" w:pos="4320"/>
        <w:tab w:val="right" w:pos="8640"/>
      </w:tabs>
    </w:pPr>
  </w:style>
  <w:style w:type="paragraph" w:styleId="Footer">
    <w:name w:val="footer"/>
    <w:basedOn w:val="Normal"/>
    <w:link w:val="FooterChar"/>
    <w:uiPriority w:val="99"/>
    <w:rsid w:val="006B52C9"/>
    <w:pPr>
      <w:tabs>
        <w:tab w:val="center" w:pos="4320"/>
        <w:tab w:val="right" w:pos="8640"/>
      </w:tabs>
    </w:pPr>
  </w:style>
  <w:style w:type="paragraph" w:styleId="Title">
    <w:name w:val="Title"/>
    <w:basedOn w:val="Normal"/>
    <w:qFormat/>
    <w:rsid w:val="006B52C9"/>
    <w:pPr>
      <w:spacing w:before="240" w:after="60"/>
      <w:jc w:val="center"/>
      <w:outlineLvl w:val="0"/>
    </w:pPr>
    <w:rPr>
      <w:rFonts w:cs="Arial"/>
      <w:b/>
      <w:bCs/>
      <w:kern w:val="28"/>
      <w:sz w:val="32"/>
      <w:szCs w:val="32"/>
    </w:rPr>
  </w:style>
  <w:style w:type="paragraph" w:styleId="Subtitle">
    <w:name w:val="Subtitle"/>
    <w:basedOn w:val="Normal"/>
    <w:qFormat/>
    <w:rsid w:val="006B52C9"/>
    <w:pPr>
      <w:spacing w:after="60"/>
      <w:jc w:val="center"/>
      <w:outlineLvl w:val="1"/>
    </w:pPr>
    <w:rPr>
      <w:rFonts w:cs="Arial"/>
      <w:sz w:val="24"/>
    </w:rPr>
  </w:style>
  <w:style w:type="character" w:customStyle="1" w:styleId="Code">
    <w:name w:val="Code"/>
    <w:basedOn w:val="DefaultParagraphFont"/>
    <w:rsid w:val="006B52C9"/>
    <w:rPr>
      <w:rFonts w:ascii="Courier New" w:hAnsi="Courier New"/>
      <w:sz w:val="18"/>
    </w:rPr>
  </w:style>
  <w:style w:type="paragraph" w:styleId="BlockText">
    <w:name w:val="Block Text"/>
    <w:basedOn w:val="Normal"/>
    <w:rsid w:val="006B52C9"/>
    <w:pPr>
      <w:spacing w:after="120"/>
      <w:ind w:left="1440" w:right="1440"/>
      <w:jc w:val="both"/>
    </w:pPr>
  </w:style>
  <w:style w:type="character" w:styleId="Hyperlink">
    <w:name w:val="Hyperlink"/>
    <w:basedOn w:val="DefaultParagraphFont"/>
    <w:uiPriority w:val="99"/>
    <w:rsid w:val="006B52C9"/>
    <w:rPr>
      <w:color w:val="0000FF"/>
      <w:u w:val="single"/>
    </w:rPr>
  </w:style>
  <w:style w:type="paragraph" w:styleId="Caption">
    <w:name w:val="caption"/>
    <w:basedOn w:val="Normal"/>
    <w:next w:val="Normal"/>
    <w:qFormat/>
    <w:rsid w:val="006B52C9"/>
    <w:pPr>
      <w:spacing w:before="120" w:after="120"/>
    </w:pPr>
    <w:rPr>
      <w:b/>
      <w:bCs/>
      <w:szCs w:val="20"/>
    </w:rPr>
  </w:style>
  <w:style w:type="character" w:styleId="FollowedHyperlink">
    <w:name w:val="FollowedHyperlink"/>
    <w:basedOn w:val="DefaultParagraphFont"/>
    <w:uiPriority w:val="99"/>
    <w:rsid w:val="006B52C9"/>
    <w:rPr>
      <w:color w:val="800080"/>
      <w:u w:val="single"/>
    </w:rPr>
  </w:style>
  <w:style w:type="paragraph" w:styleId="BalloonText">
    <w:name w:val="Balloon Text"/>
    <w:basedOn w:val="Normal"/>
    <w:link w:val="BalloonTextChar"/>
    <w:uiPriority w:val="99"/>
    <w:semiHidden/>
    <w:rsid w:val="006B52C9"/>
    <w:rPr>
      <w:rFonts w:ascii="Tahoma" w:hAnsi="Tahoma" w:cs="Tahoma"/>
      <w:sz w:val="16"/>
      <w:szCs w:val="16"/>
    </w:rPr>
  </w:style>
  <w:style w:type="character" w:styleId="CommentReference">
    <w:name w:val="annotation reference"/>
    <w:basedOn w:val="DefaultParagraphFont"/>
    <w:semiHidden/>
    <w:rsid w:val="006B52C9"/>
    <w:rPr>
      <w:sz w:val="16"/>
      <w:szCs w:val="16"/>
    </w:rPr>
  </w:style>
  <w:style w:type="paragraph" w:styleId="CommentText">
    <w:name w:val="annotation text"/>
    <w:basedOn w:val="Normal"/>
    <w:link w:val="CommentTextChar"/>
    <w:semiHidden/>
    <w:rsid w:val="006B52C9"/>
    <w:rPr>
      <w:szCs w:val="20"/>
    </w:rPr>
  </w:style>
  <w:style w:type="paragraph" w:styleId="CommentSubject">
    <w:name w:val="annotation subject"/>
    <w:basedOn w:val="CommentText"/>
    <w:next w:val="CommentText"/>
    <w:semiHidden/>
    <w:rsid w:val="006B52C9"/>
    <w:rPr>
      <w:b/>
      <w:bCs/>
    </w:rPr>
  </w:style>
  <w:style w:type="paragraph" w:customStyle="1" w:styleId="DefinitionList">
    <w:name w:val="Definition List"/>
    <w:basedOn w:val="Normal"/>
    <w:next w:val="Normal"/>
    <w:rsid w:val="006B52C9"/>
    <w:pPr>
      <w:ind w:left="360"/>
    </w:pPr>
    <w:rPr>
      <w:rFonts w:ascii="Times New Roman" w:eastAsia="MS Mincho" w:hAnsi="Times New Roman"/>
      <w:snapToGrid w:val="0"/>
      <w:sz w:val="24"/>
      <w:szCs w:val="20"/>
    </w:rPr>
  </w:style>
  <w:style w:type="paragraph" w:styleId="FootnoteText">
    <w:name w:val="footnote text"/>
    <w:basedOn w:val="Normal"/>
    <w:link w:val="FootnoteTextChar"/>
    <w:rsid w:val="006B52C9"/>
    <w:pPr>
      <w:jc w:val="both"/>
    </w:pPr>
    <w:rPr>
      <w:szCs w:val="20"/>
    </w:rPr>
  </w:style>
  <w:style w:type="character" w:styleId="FootnoteReference">
    <w:name w:val="footnote reference"/>
    <w:basedOn w:val="DefaultParagraphFont"/>
    <w:uiPriority w:val="99"/>
    <w:rsid w:val="006B52C9"/>
    <w:rPr>
      <w:vertAlign w:val="superscript"/>
    </w:rPr>
  </w:style>
  <w:style w:type="character" w:customStyle="1" w:styleId="CODE0">
    <w:name w:val="CODE"/>
    <w:rsid w:val="006B52C9"/>
    <w:rPr>
      <w:rFonts w:ascii="Courier New" w:hAnsi="Courier New"/>
      <w:noProof/>
      <w:spacing w:val="-10"/>
      <w:sz w:val="18"/>
      <w:szCs w:val="20"/>
      <w:lang w:val="en-GB"/>
    </w:rPr>
  </w:style>
  <w:style w:type="paragraph" w:customStyle="1" w:styleId="Preformatted">
    <w:name w:val="Preformatted"/>
    <w:basedOn w:val="Normal"/>
    <w:rsid w:val="006B52C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MS Mincho" w:hAnsi="Courier New"/>
      <w:snapToGrid w:val="0"/>
      <w:szCs w:val="20"/>
    </w:rPr>
  </w:style>
  <w:style w:type="paragraph" w:styleId="TOC1">
    <w:name w:val="toc 1"/>
    <w:basedOn w:val="Normal"/>
    <w:next w:val="Normal"/>
    <w:autoRedefine/>
    <w:uiPriority w:val="39"/>
    <w:rsid w:val="000D3A04"/>
    <w:rPr>
      <w:b/>
      <w:i/>
      <w:color w:val="000080"/>
      <w:sz w:val="36"/>
      <w:szCs w:val="36"/>
    </w:rPr>
  </w:style>
  <w:style w:type="paragraph" w:styleId="TOC2">
    <w:name w:val="toc 2"/>
    <w:basedOn w:val="Normal"/>
    <w:next w:val="Normal"/>
    <w:autoRedefine/>
    <w:uiPriority w:val="39"/>
    <w:rsid w:val="0032009C"/>
    <w:pPr>
      <w:tabs>
        <w:tab w:val="left" w:pos="1200"/>
        <w:tab w:val="right" w:leader="dot" w:pos="8299"/>
      </w:tabs>
      <w:ind w:left="200"/>
    </w:pPr>
    <w:rPr>
      <w:b/>
      <w:sz w:val="24"/>
    </w:rPr>
  </w:style>
  <w:style w:type="table" w:styleId="TableGrid">
    <w:name w:val="Table Grid"/>
    <w:basedOn w:val="TableNormal"/>
    <w:uiPriority w:val="59"/>
    <w:rsid w:val="00F16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Text">
    <w:name w:val="Level 1 Text"/>
    <w:basedOn w:val="BodyText"/>
    <w:rsid w:val="003B5961"/>
    <w:pPr>
      <w:autoSpaceDE w:val="0"/>
      <w:autoSpaceDN w:val="0"/>
      <w:spacing w:before="0"/>
    </w:pPr>
    <w:rPr>
      <w:rFonts w:cs="Verdana"/>
      <w:sz w:val="18"/>
      <w:szCs w:val="18"/>
      <w:lang w:val="en-GB"/>
    </w:rPr>
  </w:style>
  <w:style w:type="paragraph" w:customStyle="1" w:styleId="Level2Text">
    <w:name w:val="Level 2 Text"/>
    <w:basedOn w:val="BodyText"/>
    <w:rsid w:val="003B5961"/>
    <w:pPr>
      <w:autoSpaceDE w:val="0"/>
      <w:autoSpaceDN w:val="0"/>
      <w:spacing w:before="0"/>
    </w:pPr>
    <w:rPr>
      <w:rFonts w:cs="Verdana"/>
      <w:sz w:val="18"/>
      <w:szCs w:val="18"/>
      <w:lang w:val="en-GB"/>
    </w:rPr>
  </w:style>
  <w:style w:type="paragraph" w:customStyle="1" w:styleId="Level3Text">
    <w:name w:val="Level 3 Text"/>
    <w:basedOn w:val="BodyText"/>
    <w:rsid w:val="003B5961"/>
    <w:pPr>
      <w:tabs>
        <w:tab w:val="left" w:pos="360"/>
        <w:tab w:val="left" w:pos="720"/>
      </w:tabs>
      <w:autoSpaceDE w:val="0"/>
      <w:autoSpaceDN w:val="0"/>
      <w:spacing w:before="0"/>
    </w:pPr>
    <w:rPr>
      <w:rFonts w:cs="Verdana"/>
      <w:sz w:val="18"/>
      <w:szCs w:val="18"/>
      <w:lang w:val="en-GB"/>
    </w:rPr>
  </w:style>
  <w:style w:type="paragraph" w:customStyle="1" w:styleId="TableText">
    <w:name w:val="Table Text"/>
    <w:basedOn w:val="Normal"/>
    <w:rsid w:val="003B5961"/>
    <w:pPr>
      <w:autoSpaceDE w:val="0"/>
      <w:autoSpaceDN w:val="0"/>
    </w:pPr>
    <w:rPr>
      <w:rFonts w:cs="Verdana"/>
      <w:sz w:val="18"/>
      <w:szCs w:val="18"/>
      <w:lang w:val="en-GB"/>
    </w:rPr>
  </w:style>
  <w:style w:type="paragraph" w:customStyle="1" w:styleId="ColumnHeading">
    <w:name w:val="Column Heading"/>
    <w:basedOn w:val="TableText"/>
    <w:next w:val="BodyText"/>
    <w:rsid w:val="003B5961"/>
    <w:pPr>
      <w:jc w:val="center"/>
    </w:pPr>
  </w:style>
  <w:style w:type="paragraph" w:styleId="ListNumber">
    <w:name w:val="List Number"/>
    <w:basedOn w:val="BodyText"/>
    <w:rsid w:val="003B5961"/>
    <w:pPr>
      <w:tabs>
        <w:tab w:val="left" w:pos="360"/>
        <w:tab w:val="num" w:pos="720"/>
      </w:tabs>
      <w:autoSpaceDE w:val="0"/>
      <w:autoSpaceDN w:val="0"/>
      <w:spacing w:before="0"/>
      <w:ind w:left="360" w:hanging="360"/>
    </w:pPr>
    <w:rPr>
      <w:rFonts w:cs="Verdana"/>
      <w:sz w:val="18"/>
      <w:szCs w:val="18"/>
      <w:lang w:val="en-GB"/>
    </w:rPr>
  </w:style>
  <w:style w:type="paragraph" w:styleId="ListBullet">
    <w:name w:val="List Bullet"/>
    <w:basedOn w:val="BodyText"/>
    <w:rsid w:val="003B5961"/>
    <w:pPr>
      <w:tabs>
        <w:tab w:val="num" w:pos="926"/>
      </w:tabs>
      <w:autoSpaceDE w:val="0"/>
      <w:autoSpaceDN w:val="0"/>
      <w:spacing w:before="0"/>
      <w:ind w:left="926" w:hanging="360"/>
    </w:pPr>
    <w:rPr>
      <w:rFonts w:cs="Verdana"/>
      <w:sz w:val="18"/>
      <w:szCs w:val="18"/>
      <w:lang w:val="en-GB"/>
    </w:rPr>
  </w:style>
  <w:style w:type="paragraph" w:customStyle="1" w:styleId="Non-normativeExample">
    <w:name w:val="Non-normative Example"/>
    <w:basedOn w:val="Normal"/>
    <w:rsid w:val="003B5961"/>
    <w:pPr>
      <w:pBdr>
        <w:top w:val="single" w:sz="4" w:space="1" w:color="auto"/>
        <w:left w:val="single" w:sz="4" w:space="4" w:color="auto"/>
        <w:bottom w:val="single" w:sz="4" w:space="1" w:color="auto"/>
        <w:right w:val="single" w:sz="4" w:space="4" w:color="auto"/>
      </w:pBdr>
      <w:shd w:val="clear" w:color="auto" w:fill="00FFFF"/>
      <w:autoSpaceDE w:val="0"/>
      <w:autoSpaceDN w:val="0"/>
      <w:spacing w:after="120"/>
    </w:pPr>
    <w:rPr>
      <w:rFonts w:ascii="Courier New" w:hAnsi="Courier New" w:cs="Batang"/>
      <w:noProof/>
      <w:sz w:val="18"/>
      <w:szCs w:val="18"/>
      <w:lang w:val="en-GB"/>
    </w:rPr>
  </w:style>
  <w:style w:type="paragraph" w:customStyle="1" w:styleId="EditorsComments">
    <w:name w:val="Editor's Comments"/>
    <w:basedOn w:val="BlockText"/>
    <w:rsid w:val="003B5961"/>
    <w:pPr>
      <w:shd w:val="clear" w:color="auto" w:fill="FFFF00"/>
      <w:autoSpaceDE w:val="0"/>
      <w:autoSpaceDN w:val="0"/>
      <w:ind w:left="720" w:right="720"/>
    </w:pPr>
    <w:rPr>
      <w:rFonts w:cs="Batang"/>
      <w:sz w:val="18"/>
      <w:szCs w:val="18"/>
      <w:lang w:val="en-GB"/>
    </w:rPr>
  </w:style>
  <w:style w:type="character" w:customStyle="1" w:styleId="Modal">
    <w:name w:val="Modal"/>
    <w:basedOn w:val="DefaultParagraphFont"/>
    <w:rsid w:val="003B5961"/>
    <w:rPr>
      <w:caps/>
    </w:rPr>
  </w:style>
  <w:style w:type="paragraph" w:customStyle="1" w:styleId="Non-normativeCounterexample">
    <w:name w:val="Non-normative Counterexample"/>
    <w:basedOn w:val="Non-normativeExample"/>
    <w:rsid w:val="003B5961"/>
    <w:pPr>
      <w:shd w:val="clear" w:color="auto" w:fill="FF9999"/>
    </w:pPr>
  </w:style>
  <w:style w:type="paragraph" w:styleId="TOC3">
    <w:name w:val="toc 3"/>
    <w:basedOn w:val="Normal"/>
    <w:next w:val="Normal"/>
    <w:autoRedefine/>
    <w:uiPriority w:val="39"/>
    <w:rsid w:val="0032009C"/>
    <w:pPr>
      <w:ind w:left="720"/>
    </w:pPr>
  </w:style>
  <w:style w:type="paragraph" w:customStyle="1" w:styleId="StyleHeading1Left-025">
    <w:name w:val="Style Heading 1 + Left:  -0.25&quot;"/>
    <w:basedOn w:val="Heading1"/>
    <w:rsid w:val="005C4D16"/>
    <w:pPr>
      <w:numPr>
        <w:numId w:val="0"/>
      </w:numPr>
      <w:ind w:left="-360"/>
    </w:pPr>
    <w:rPr>
      <w:rFonts w:cs="Times New Roman"/>
      <w:szCs w:val="20"/>
    </w:rPr>
  </w:style>
  <w:style w:type="character" w:styleId="PageNumber">
    <w:name w:val="page number"/>
    <w:basedOn w:val="DefaultParagraphFont"/>
    <w:rsid w:val="005C4D16"/>
  </w:style>
  <w:style w:type="paragraph" w:styleId="DocumentMap">
    <w:name w:val="Document Map"/>
    <w:basedOn w:val="Normal"/>
    <w:semiHidden/>
    <w:rsid w:val="005C4D16"/>
    <w:pPr>
      <w:shd w:val="clear" w:color="auto" w:fill="000080"/>
    </w:pPr>
    <w:rPr>
      <w:rFonts w:ascii="Tahoma" w:hAnsi="Tahoma" w:cs="Tahoma"/>
      <w:szCs w:val="20"/>
    </w:rPr>
  </w:style>
  <w:style w:type="paragraph" w:styleId="Index1">
    <w:name w:val="index 1"/>
    <w:basedOn w:val="Normal"/>
    <w:next w:val="Normal"/>
    <w:autoRedefine/>
    <w:semiHidden/>
    <w:rsid w:val="001D5AE5"/>
    <w:pPr>
      <w:ind w:left="200" w:hanging="200"/>
    </w:pPr>
  </w:style>
  <w:style w:type="paragraph" w:styleId="EndnoteText">
    <w:name w:val="endnote text"/>
    <w:basedOn w:val="Normal"/>
    <w:semiHidden/>
    <w:rsid w:val="00660849"/>
    <w:rPr>
      <w:szCs w:val="20"/>
    </w:rPr>
  </w:style>
  <w:style w:type="character" w:styleId="EndnoteReference">
    <w:name w:val="endnote reference"/>
    <w:basedOn w:val="DefaultParagraphFont"/>
    <w:semiHidden/>
    <w:rsid w:val="00660849"/>
    <w:rPr>
      <w:vertAlign w:val="superscript"/>
    </w:rPr>
  </w:style>
  <w:style w:type="character" w:customStyle="1" w:styleId="CommentTextChar">
    <w:name w:val="Comment Text Char"/>
    <w:basedOn w:val="DefaultParagraphFont"/>
    <w:link w:val="CommentText"/>
    <w:uiPriority w:val="99"/>
    <w:semiHidden/>
    <w:rsid w:val="00905C31"/>
    <w:rPr>
      <w:rFonts w:ascii="Verdana" w:hAnsi="Verdana"/>
    </w:rPr>
  </w:style>
  <w:style w:type="character" w:customStyle="1" w:styleId="FootnoteTextChar">
    <w:name w:val="Footnote Text Char"/>
    <w:basedOn w:val="DefaultParagraphFont"/>
    <w:link w:val="FootnoteText"/>
    <w:uiPriority w:val="99"/>
    <w:semiHidden/>
    <w:rsid w:val="001A7FEB"/>
    <w:rPr>
      <w:rFonts w:ascii="Verdana" w:hAnsi="Verdana"/>
    </w:rPr>
  </w:style>
  <w:style w:type="paragraph" w:styleId="TOCHeading">
    <w:name w:val="TOC Heading"/>
    <w:basedOn w:val="Heading1"/>
    <w:next w:val="Normal"/>
    <w:uiPriority w:val="39"/>
    <w:semiHidden/>
    <w:unhideWhenUsed/>
    <w:qFormat/>
    <w:rsid w:val="00101989"/>
    <w:pPr>
      <w:keepLines/>
      <w:numPr>
        <w:numId w:val="0"/>
      </w:numPr>
      <w:spacing w:before="480" w:after="0" w:line="276" w:lineRule="auto"/>
      <w:outlineLvl w:val="9"/>
    </w:pPr>
    <w:rPr>
      <w:rFonts w:ascii="Cambria" w:hAnsi="Cambria" w:cs="Times New Roman"/>
      <w:color w:val="365F91"/>
      <w:kern w:val="0"/>
      <w:sz w:val="28"/>
      <w:szCs w:val="28"/>
    </w:rPr>
  </w:style>
  <w:style w:type="paragraph" w:styleId="TOC4">
    <w:name w:val="toc 4"/>
    <w:basedOn w:val="Normal"/>
    <w:next w:val="Normal"/>
    <w:autoRedefine/>
    <w:uiPriority w:val="39"/>
    <w:unhideWhenUsed/>
    <w:rsid w:val="00101989"/>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101989"/>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101989"/>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101989"/>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101989"/>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101989"/>
    <w:pPr>
      <w:spacing w:after="100" w:line="276" w:lineRule="auto"/>
      <w:ind w:left="1760"/>
    </w:pPr>
    <w:rPr>
      <w:rFonts w:ascii="Calibri" w:hAnsi="Calibri"/>
      <w:sz w:val="22"/>
      <w:szCs w:val="22"/>
    </w:rPr>
  </w:style>
  <w:style w:type="character" w:customStyle="1" w:styleId="Heading1Char">
    <w:name w:val="Heading 1 Char"/>
    <w:basedOn w:val="DefaultParagraphFont"/>
    <w:link w:val="Heading1"/>
    <w:uiPriority w:val="9"/>
    <w:rsid w:val="00566255"/>
    <w:rPr>
      <w:rFonts w:ascii="Arial" w:hAnsi="Arial" w:cs="Arial"/>
      <w:b/>
      <w:bCs/>
      <w:color w:val="000080"/>
      <w:kern w:val="32"/>
      <w:sz w:val="40"/>
      <w:szCs w:val="40"/>
    </w:rPr>
  </w:style>
  <w:style w:type="character" w:customStyle="1" w:styleId="Heading2Char">
    <w:name w:val="Heading 2 Char"/>
    <w:basedOn w:val="DefaultParagraphFont"/>
    <w:link w:val="Heading2"/>
    <w:uiPriority w:val="9"/>
    <w:rsid w:val="00566255"/>
    <w:rPr>
      <w:rFonts w:ascii="Arial" w:hAnsi="Arial" w:cs="Arial"/>
      <w:b/>
      <w:bCs/>
      <w:i/>
      <w:iCs/>
      <w:sz w:val="28"/>
      <w:szCs w:val="28"/>
    </w:rPr>
  </w:style>
  <w:style w:type="character" w:customStyle="1" w:styleId="FooterChar">
    <w:name w:val="Footer Char"/>
    <w:basedOn w:val="DefaultParagraphFont"/>
    <w:link w:val="Footer"/>
    <w:uiPriority w:val="99"/>
    <w:rsid w:val="00417313"/>
    <w:rPr>
      <w:rFonts w:ascii="Verdana" w:hAnsi="Verdana"/>
      <w:szCs w:val="24"/>
    </w:rPr>
  </w:style>
  <w:style w:type="paragraph" w:customStyle="1" w:styleId="TBBody">
    <w:name w:val="TB Body"/>
    <w:rsid w:val="00417313"/>
    <w:pPr>
      <w:widowControl w:val="0"/>
      <w:spacing w:before="40" w:after="100" w:line="220" w:lineRule="exact"/>
    </w:pPr>
    <w:rPr>
      <w:rFonts w:ascii="Arial" w:hAnsi="Arial"/>
      <w:sz w:val="19"/>
    </w:rPr>
  </w:style>
  <w:style w:type="paragraph" w:customStyle="1" w:styleId="TBColHead">
    <w:name w:val="TB Col Head"/>
    <w:next w:val="TBBody"/>
    <w:rsid w:val="00417313"/>
    <w:pPr>
      <w:widowControl w:val="0"/>
      <w:pBdr>
        <w:bottom w:val="single" w:sz="4" w:space="4" w:color="auto"/>
      </w:pBdr>
      <w:spacing w:before="40" w:after="100" w:line="220" w:lineRule="exact"/>
    </w:pPr>
    <w:rPr>
      <w:rFonts w:ascii="Arial" w:hAnsi="Arial"/>
      <w:b/>
      <w:i/>
      <w:sz w:val="18"/>
    </w:rPr>
  </w:style>
  <w:style w:type="paragraph" w:customStyle="1" w:styleId="SBHead">
    <w:name w:val="SB Head"/>
    <w:next w:val="SBBody"/>
    <w:rsid w:val="00417313"/>
    <w:pPr>
      <w:keepNext/>
      <w:widowControl w:val="0"/>
      <w:spacing w:before="180" w:after="110" w:line="360" w:lineRule="exact"/>
      <w:jc w:val="center"/>
    </w:pPr>
    <w:rPr>
      <w:rFonts w:ascii="Arial" w:hAnsi="Arial"/>
      <w:b/>
      <w:sz w:val="32"/>
    </w:rPr>
  </w:style>
  <w:style w:type="paragraph" w:customStyle="1" w:styleId="SBBody">
    <w:name w:val="SB Body"/>
    <w:rsid w:val="00417313"/>
    <w:pPr>
      <w:spacing w:after="120" w:line="220" w:lineRule="exact"/>
    </w:pPr>
    <w:rPr>
      <w:rFonts w:ascii="Arial" w:hAnsi="Arial"/>
      <w:sz w:val="18"/>
    </w:rPr>
  </w:style>
  <w:style w:type="paragraph" w:styleId="ListParagraph">
    <w:name w:val="List Paragraph"/>
    <w:basedOn w:val="Normal"/>
    <w:uiPriority w:val="34"/>
    <w:qFormat/>
    <w:rsid w:val="00417313"/>
    <w:pPr>
      <w:ind w:left="720"/>
      <w:contextualSpacing/>
    </w:pPr>
  </w:style>
  <w:style w:type="character" w:customStyle="1" w:styleId="HeaderChar">
    <w:name w:val="Header Char"/>
    <w:basedOn w:val="DefaultParagraphFont"/>
    <w:link w:val="Header"/>
    <w:uiPriority w:val="99"/>
    <w:rsid w:val="0056261B"/>
    <w:rPr>
      <w:rFonts w:ascii="Verdana" w:hAnsi="Verdana"/>
      <w:szCs w:val="24"/>
    </w:rPr>
  </w:style>
  <w:style w:type="character" w:customStyle="1" w:styleId="BalloonTextChar">
    <w:name w:val="Balloon Text Char"/>
    <w:basedOn w:val="DefaultParagraphFont"/>
    <w:link w:val="BalloonText"/>
    <w:uiPriority w:val="99"/>
    <w:semiHidden/>
    <w:rsid w:val="00393B7D"/>
    <w:rPr>
      <w:rFonts w:ascii="Tahoma" w:hAnsi="Tahoma" w:cs="Tahoma"/>
      <w:sz w:val="16"/>
      <w:szCs w:val="16"/>
    </w:rPr>
  </w:style>
  <w:style w:type="character" w:customStyle="1" w:styleId="Heading3Char">
    <w:name w:val="Heading 3 Char"/>
    <w:basedOn w:val="DefaultParagraphFont"/>
    <w:link w:val="Heading3"/>
    <w:uiPriority w:val="9"/>
    <w:rsid w:val="00393B7D"/>
    <w:rPr>
      <w:rFonts w:ascii="Arial" w:hAnsi="Arial" w:cs="Arial"/>
      <w:b/>
      <w:bCs/>
      <w:i/>
      <w:szCs w:val="26"/>
      <w:lang w:val="en-GB"/>
    </w:rPr>
  </w:style>
  <w:style w:type="character" w:customStyle="1" w:styleId="A6">
    <w:name w:val="A6"/>
    <w:basedOn w:val="DefaultParagraphFont"/>
    <w:uiPriority w:val="99"/>
    <w:rsid w:val="0054463C"/>
    <w:rPr>
      <w:rFonts w:ascii="AvantGarde" w:hAnsi="AvantGarde" w:hint="default"/>
      <w:color w:val="000000"/>
    </w:rPr>
  </w:style>
  <w:style w:type="table" w:customStyle="1" w:styleId="TableGrid1">
    <w:name w:val="Table Grid1"/>
    <w:basedOn w:val="TableNormal"/>
    <w:next w:val="TableGrid"/>
    <w:uiPriority w:val="59"/>
    <w:rsid w:val="0054463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CPBodyText">
    <w:name w:val="XCP Body Text"/>
    <w:rsid w:val="00AC3B31"/>
    <w:pPr>
      <w:pBdr>
        <w:top w:val="nil"/>
        <w:left w:val="nil"/>
        <w:bottom w:val="nil"/>
        <w:right w:val="nil"/>
        <w:between w:val="nil"/>
        <w:bar w:val="nil"/>
      </w:pBdr>
      <w:spacing w:before="200"/>
      <w:ind w:left="900"/>
      <w:jc w:val="both"/>
    </w:pPr>
    <w:rPr>
      <w:rFonts w:ascii="Calibri" w:eastAsia="Calibri" w:hAnsi="Calibri" w:cs="Calibri"/>
      <w:color w:val="000000"/>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219334">
      <w:bodyDiv w:val="1"/>
      <w:marLeft w:val="0"/>
      <w:marRight w:val="0"/>
      <w:marTop w:val="300"/>
      <w:marBottom w:val="0"/>
      <w:divBdr>
        <w:top w:val="none" w:sz="0" w:space="0" w:color="auto"/>
        <w:left w:val="none" w:sz="0" w:space="0" w:color="auto"/>
        <w:bottom w:val="none" w:sz="0" w:space="0" w:color="auto"/>
        <w:right w:val="none" w:sz="0" w:space="0" w:color="auto"/>
      </w:divBdr>
      <w:divsChild>
        <w:div w:id="851065276">
          <w:marLeft w:val="0"/>
          <w:marRight w:val="0"/>
          <w:marTop w:val="0"/>
          <w:marBottom w:val="0"/>
          <w:divBdr>
            <w:top w:val="none" w:sz="0" w:space="0" w:color="auto"/>
            <w:left w:val="none" w:sz="0" w:space="0" w:color="auto"/>
            <w:bottom w:val="none" w:sz="0" w:space="0" w:color="auto"/>
            <w:right w:val="none" w:sz="0" w:space="0" w:color="auto"/>
          </w:divBdr>
          <w:divsChild>
            <w:div w:id="127674786">
              <w:marLeft w:val="0"/>
              <w:marRight w:val="0"/>
              <w:marTop w:val="0"/>
              <w:marBottom w:val="0"/>
              <w:divBdr>
                <w:top w:val="none" w:sz="0" w:space="0" w:color="auto"/>
                <w:left w:val="none" w:sz="0" w:space="0" w:color="auto"/>
                <w:bottom w:val="none" w:sz="0" w:space="0" w:color="auto"/>
                <w:right w:val="none" w:sz="0" w:space="0" w:color="auto"/>
              </w:divBdr>
              <w:divsChild>
                <w:div w:id="1318076524">
                  <w:marLeft w:val="0"/>
                  <w:marRight w:val="0"/>
                  <w:marTop w:val="0"/>
                  <w:marBottom w:val="0"/>
                  <w:divBdr>
                    <w:top w:val="none" w:sz="0" w:space="0" w:color="auto"/>
                    <w:left w:val="none" w:sz="0" w:space="0" w:color="auto"/>
                    <w:bottom w:val="none" w:sz="0" w:space="0" w:color="auto"/>
                    <w:right w:val="none" w:sz="0" w:space="0" w:color="auto"/>
                  </w:divBdr>
                  <w:divsChild>
                    <w:div w:id="1070733075">
                      <w:marLeft w:val="0"/>
                      <w:marRight w:val="0"/>
                      <w:marTop w:val="0"/>
                      <w:marBottom w:val="0"/>
                      <w:divBdr>
                        <w:top w:val="none" w:sz="0" w:space="0" w:color="auto"/>
                        <w:left w:val="none" w:sz="0" w:space="0" w:color="auto"/>
                        <w:bottom w:val="none" w:sz="0" w:space="0" w:color="auto"/>
                        <w:right w:val="none" w:sz="0" w:space="0" w:color="auto"/>
                      </w:divBdr>
                      <w:divsChild>
                        <w:div w:id="569194955">
                          <w:marLeft w:val="0"/>
                          <w:marRight w:val="300"/>
                          <w:marTop w:val="300"/>
                          <w:marBottom w:val="300"/>
                          <w:divBdr>
                            <w:top w:val="none" w:sz="0" w:space="0" w:color="auto"/>
                            <w:left w:val="none" w:sz="0" w:space="0" w:color="auto"/>
                            <w:bottom w:val="none" w:sz="0" w:space="0" w:color="auto"/>
                            <w:right w:val="none" w:sz="0" w:space="0" w:color="auto"/>
                          </w:divBdr>
                          <w:divsChild>
                            <w:div w:id="332492288">
                              <w:marLeft w:val="0"/>
                              <w:marRight w:val="0"/>
                              <w:marTop w:val="0"/>
                              <w:marBottom w:val="0"/>
                              <w:divBdr>
                                <w:top w:val="none" w:sz="0" w:space="0" w:color="auto"/>
                                <w:left w:val="none" w:sz="0" w:space="0" w:color="auto"/>
                                <w:bottom w:val="none" w:sz="0" w:space="0" w:color="auto"/>
                                <w:right w:val="none" w:sz="0" w:space="0" w:color="auto"/>
                              </w:divBdr>
                              <w:divsChild>
                                <w:div w:id="36880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568378">
      <w:bodyDiv w:val="1"/>
      <w:marLeft w:val="0"/>
      <w:marRight w:val="0"/>
      <w:marTop w:val="0"/>
      <w:marBottom w:val="0"/>
      <w:divBdr>
        <w:top w:val="none" w:sz="0" w:space="0" w:color="auto"/>
        <w:left w:val="none" w:sz="0" w:space="0" w:color="auto"/>
        <w:bottom w:val="none" w:sz="0" w:space="0" w:color="auto"/>
        <w:right w:val="none" w:sz="0" w:space="0" w:color="auto"/>
      </w:divBdr>
    </w:div>
    <w:div w:id="363940556">
      <w:bodyDiv w:val="1"/>
      <w:marLeft w:val="0"/>
      <w:marRight w:val="0"/>
      <w:marTop w:val="300"/>
      <w:marBottom w:val="0"/>
      <w:divBdr>
        <w:top w:val="none" w:sz="0" w:space="0" w:color="auto"/>
        <w:left w:val="none" w:sz="0" w:space="0" w:color="auto"/>
        <w:bottom w:val="none" w:sz="0" w:space="0" w:color="auto"/>
        <w:right w:val="none" w:sz="0" w:space="0" w:color="auto"/>
      </w:divBdr>
      <w:divsChild>
        <w:div w:id="677926508">
          <w:marLeft w:val="0"/>
          <w:marRight w:val="0"/>
          <w:marTop w:val="0"/>
          <w:marBottom w:val="0"/>
          <w:divBdr>
            <w:top w:val="none" w:sz="0" w:space="0" w:color="auto"/>
            <w:left w:val="none" w:sz="0" w:space="0" w:color="auto"/>
            <w:bottom w:val="none" w:sz="0" w:space="0" w:color="auto"/>
            <w:right w:val="none" w:sz="0" w:space="0" w:color="auto"/>
          </w:divBdr>
          <w:divsChild>
            <w:div w:id="1554654311">
              <w:marLeft w:val="0"/>
              <w:marRight w:val="0"/>
              <w:marTop w:val="0"/>
              <w:marBottom w:val="0"/>
              <w:divBdr>
                <w:top w:val="none" w:sz="0" w:space="0" w:color="auto"/>
                <w:left w:val="none" w:sz="0" w:space="0" w:color="auto"/>
                <w:bottom w:val="none" w:sz="0" w:space="0" w:color="auto"/>
                <w:right w:val="none" w:sz="0" w:space="0" w:color="auto"/>
              </w:divBdr>
              <w:divsChild>
                <w:div w:id="1154685326">
                  <w:marLeft w:val="0"/>
                  <w:marRight w:val="0"/>
                  <w:marTop w:val="0"/>
                  <w:marBottom w:val="0"/>
                  <w:divBdr>
                    <w:top w:val="none" w:sz="0" w:space="0" w:color="auto"/>
                    <w:left w:val="none" w:sz="0" w:space="0" w:color="auto"/>
                    <w:bottom w:val="none" w:sz="0" w:space="0" w:color="auto"/>
                    <w:right w:val="none" w:sz="0" w:space="0" w:color="auto"/>
                  </w:divBdr>
                  <w:divsChild>
                    <w:div w:id="1127747040">
                      <w:marLeft w:val="0"/>
                      <w:marRight w:val="0"/>
                      <w:marTop w:val="0"/>
                      <w:marBottom w:val="0"/>
                      <w:divBdr>
                        <w:top w:val="none" w:sz="0" w:space="0" w:color="auto"/>
                        <w:left w:val="none" w:sz="0" w:space="0" w:color="auto"/>
                        <w:bottom w:val="none" w:sz="0" w:space="0" w:color="auto"/>
                        <w:right w:val="none" w:sz="0" w:space="0" w:color="auto"/>
                      </w:divBdr>
                      <w:divsChild>
                        <w:div w:id="1177421502">
                          <w:marLeft w:val="0"/>
                          <w:marRight w:val="300"/>
                          <w:marTop w:val="300"/>
                          <w:marBottom w:val="300"/>
                          <w:divBdr>
                            <w:top w:val="none" w:sz="0" w:space="0" w:color="auto"/>
                            <w:left w:val="none" w:sz="0" w:space="0" w:color="auto"/>
                            <w:bottom w:val="none" w:sz="0" w:space="0" w:color="auto"/>
                            <w:right w:val="none" w:sz="0" w:space="0" w:color="auto"/>
                          </w:divBdr>
                          <w:divsChild>
                            <w:div w:id="1570262126">
                              <w:marLeft w:val="0"/>
                              <w:marRight w:val="0"/>
                              <w:marTop w:val="0"/>
                              <w:marBottom w:val="0"/>
                              <w:divBdr>
                                <w:top w:val="none" w:sz="0" w:space="0" w:color="auto"/>
                                <w:left w:val="none" w:sz="0" w:space="0" w:color="auto"/>
                                <w:bottom w:val="none" w:sz="0" w:space="0" w:color="auto"/>
                                <w:right w:val="none" w:sz="0" w:space="0" w:color="auto"/>
                              </w:divBdr>
                              <w:divsChild>
                                <w:div w:id="106260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1676364">
      <w:bodyDiv w:val="1"/>
      <w:marLeft w:val="0"/>
      <w:marRight w:val="0"/>
      <w:marTop w:val="300"/>
      <w:marBottom w:val="0"/>
      <w:divBdr>
        <w:top w:val="none" w:sz="0" w:space="0" w:color="auto"/>
        <w:left w:val="none" w:sz="0" w:space="0" w:color="auto"/>
        <w:bottom w:val="none" w:sz="0" w:space="0" w:color="auto"/>
        <w:right w:val="none" w:sz="0" w:space="0" w:color="auto"/>
      </w:divBdr>
      <w:divsChild>
        <w:div w:id="575742806">
          <w:marLeft w:val="0"/>
          <w:marRight w:val="0"/>
          <w:marTop w:val="0"/>
          <w:marBottom w:val="0"/>
          <w:divBdr>
            <w:top w:val="none" w:sz="0" w:space="0" w:color="auto"/>
            <w:left w:val="none" w:sz="0" w:space="0" w:color="auto"/>
            <w:bottom w:val="none" w:sz="0" w:space="0" w:color="auto"/>
            <w:right w:val="none" w:sz="0" w:space="0" w:color="auto"/>
          </w:divBdr>
          <w:divsChild>
            <w:div w:id="700323392">
              <w:marLeft w:val="0"/>
              <w:marRight w:val="0"/>
              <w:marTop w:val="0"/>
              <w:marBottom w:val="0"/>
              <w:divBdr>
                <w:top w:val="none" w:sz="0" w:space="0" w:color="auto"/>
                <w:left w:val="none" w:sz="0" w:space="0" w:color="auto"/>
                <w:bottom w:val="none" w:sz="0" w:space="0" w:color="auto"/>
                <w:right w:val="none" w:sz="0" w:space="0" w:color="auto"/>
              </w:divBdr>
              <w:divsChild>
                <w:div w:id="1175146369">
                  <w:marLeft w:val="0"/>
                  <w:marRight w:val="0"/>
                  <w:marTop w:val="0"/>
                  <w:marBottom w:val="0"/>
                  <w:divBdr>
                    <w:top w:val="none" w:sz="0" w:space="0" w:color="auto"/>
                    <w:left w:val="none" w:sz="0" w:space="0" w:color="auto"/>
                    <w:bottom w:val="none" w:sz="0" w:space="0" w:color="auto"/>
                    <w:right w:val="none" w:sz="0" w:space="0" w:color="auto"/>
                  </w:divBdr>
                  <w:divsChild>
                    <w:div w:id="460611159">
                      <w:marLeft w:val="0"/>
                      <w:marRight w:val="0"/>
                      <w:marTop w:val="0"/>
                      <w:marBottom w:val="0"/>
                      <w:divBdr>
                        <w:top w:val="none" w:sz="0" w:space="0" w:color="auto"/>
                        <w:left w:val="none" w:sz="0" w:space="0" w:color="auto"/>
                        <w:bottom w:val="none" w:sz="0" w:space="0" w:color="auto"/>
                        <w:right w:val="none" w:sz="0" w:space="0" w:color="auto"/>
                      </w:divBdr>
                      <w:divsChild>
                        <w:div w:id="1473867187">
                          <w:marLeft w:val="0"/>
                          <w:marRight w:val="300"/>
                          <w:marTop w:val="300"/>
                          <w:marBottom w:val="300"/>
                          <w:divBdr>
                            <w:top w:val="none" w:sz="0" w:space="0" w:color="auto"/>
                            <w:left w:val="none" w:sz="0" w:space="0" w:color="auto"/>
                            <w:bottom w:val="none" w:sz="0" w:space="0" w:color="auto"/>
                            <w:right w:val="none" w:sz="0" w:space="0" w:color="auto"/>
                          </w:divBdr>
                          <w:divsChild>
                            <w:div w:id="1523860383">
                              <w:marLeft w:val="0"/>
                              <w:marRight w:val="0"/>
                              <w:marTop w:val="0"/>
                              <w:marBottom w:val="0"/>
                              <w:divBdr>
                                <w:top w:val="none" w:sz="0" w:space="0" w:color="auto"/>
                                <w:left w:val="none" w:sz="0" w:space="0" w:color="auto"/>
                                <w:bottom w:val="none" w:sz="0" w:space="0" w:color="auto"/>
                                <w:right w:val="none" w:sz="0" w:space="0" w:color="auto"/>
                              </w:divBdr>
                              <w:divsChild>
                                <w:div w:id="14072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2801249">
      <w:bodyDiv w:val="1"/>
      <w:marLeft w:val="0"/>
      <w:marRight w:val="0"/>
      <w:marTop w:val="0"/>
      <w:marBottom w:val="0"/>
      <w:divBdr>
        <w:top w:val="none" w:sz="0" w:space="0" w:color="auto"/>
        <w:left w:val="none" w:sz="0" w:space="0" w:color="auto"/>
        <w:bottom w:val="none" w:sz="0" w:space="0" w:color="auto"/>
        <w:right w:val="none" w:sz="0" w:space="0" w:color="auto"/>
      </w:divBdr>
    </w:div>
    <w:div w:id="770315125">
      <w:bodyDiv w:val="1"/>
      <w:marLeft w:val="0"/>
      <w:marRight w:val="0"/>
      <w:marTop w:val="0"/>
      <w:marBottom w:val="0"/>
      <w:divBdr>
        <w:top w:val="none" w:sz="0" w:space="0" w:color="auto"/>
        <w:left w:val="none" w:sz="0" w:space="0" w:color="auto"/>
        <w:bottom w:val="none" w:sz="0" w:space="0" w:color="auto"/>
        <w:right w:val="none" w:sz="0" w:space="0" w:color="auto"/>
      </w:divBdr>
    </w:div>
    <w:div w:id="906185894">
      <w:bodyDiv w:val="1"/>
      <w:marLeft w:val="0"/>
      <w:marRight w:val="0"/>
      <w:marTop w:val="0"/>
      <w:marBottom w:val="0"/>
      <w:divBdr>
        <w:top w:val="none" w:sz="0" w:space="0" w:color="auto"/>
        <w:left w:val="none" w:sz="0" w:space="0" w:color="auto"/>
        <w:bottom w:val="none" w:sz="0" w:space="0" w:color="auto"/>
        <w:right w:val="none" w:sz="0" w:space="0" w:color="auto"/>
      </w:divBdr>
    </w:div>
    <w:div w:id="943221367">
      <w:bodyDiv w:val="1"/>
      <w:marLeft w:val="0"/>
      <w:marRight w:val="0"/>
      <w:marTop w:val="300"/>
      <w:marBottom w:val="0"/>
      <w:divBdr>
        <w:top w:val="none" w:sz="0" w:space="0" w:color="auto"/>
        <w:left w:val="none" w:sz="0" w:space="0" w:color="auto"/>
        <w:bottom w:val="none" w:sz="0" w:space="0" w:color="auto"/>
        <w:right w:val="none" w:sz="0" w:space="0" w:color="auto"/>
      </w:divBdr>
      <w:divsChild>
        <w:div w:id="988249428">
          <w:marLeft w:val="0"/>
          <w:marRight w:val="0"/>
          <w:marTop w:val="0"/>
          <w:marBottom w:val="0"/>
          <w:divBdr>
            <w:top w:val="none" w:sz="0" w:space="0" w:color="auto"/>
            <w:left w:val="none" w:sz="0" w:space="0" w:color="auto"/>
            <w:bottom w:val="none" w:sz="0" w:space="0" w:color="auto"/>
            <w:right w:val="none" w:sz="0" w:space="0" w:color="auto"/>
          </w:divBdr>
          <w:divsChild>
            <w:div w:id="991104659">
              <w:marLeft w:val="0"/>
              <w:marRight w:val="0"/>
              <w:marTop w:val="0"/>
              <w:marBottom w:val="0"/>
              <w:divBdr>
                <w:top w:val="none" w:sz="0" w:space="0" w:color="auto"/>
                <w:left w:val="none" w:sz="0" w:space="0" w:color="auto"/>
                <w:bottom w:val="none" w:sz="0" w:space="0" w:color="auto"/>
                <w:right w:val="none" w:sz="0" w:space="0" w:color="auto"/>
              </w:divBdr>
              <w:divsChild>
                <w:div w:id="81147943">
                  <w:marLeft w:val="0"/>
                  <w:marRight w:val="0"/>
                  <w:marTop w:val="0"/>
                  <w:marBottom w:val="0"/>
                  <w:divBdr>
                    <w:top w:val="none" w:sz="0" w:space="0" w:color="auto"/>
                    <w:left w:val="none" w:sz="0" w:space="0" w:color="auto"/>
                    <w:bottom w:val="none" w:sz="0" w:space="0" w:color="auto"/>
                    <w:right w:val="none" w:sz="0" w:space="0" w:color="auto"/>
                  </w:divBdr>
                  <w:divsChild>
                    <w:div w:id="860706679">
                      <w:marLeft w:val="0"/>
                      <w:marRight w:val="0"/>
                      <w:marTop w:val="0"/>
                      <w:marBottom w:val="0"/>
                      <w:divBdr>
                        <w:top w:val="none" w:sz="0" w:space="0" w:color="auto"/>
                        <w:left w:val="none" w:sz="0" w:space="0" w:color="auto"/>
                        <w:bottom w:val="none" w:sz="0" w:space="0" w:color="auto"/>
                        <w:right w:val="none" w:sz="0" w:space="0" w:color="auto"/>
                      </w:divBdr>
                      <w:divsChild>
                        <w:div w:id="1308127485">
                          <w:marLeft w:val="0"/>
                          <w:marRight w:val="300"/>
                          <w:marTop w:val="300"/>
                          <w:marBottom w:val="300"/>
                          <w:divBdr>
                            <w:top w:val="none" w:sz="0" w:space="0" w:color="auto"/>
                            <w:left w:val="none" w:sz="0" w:space="0" w:color="auto"/>
                            <w:bottom w:val="none" w:sz="0" w:space="0" w:color="auto"/>
                            <w:right w:val="none" w:sz="0" w:space="0" w:color="auto"/>
                          </w:divBdr>
                          <w:divsChild>
                            <w:div w:id="1290085651">
                              <w:marLeft w:val="0"/>
                              <w:marRight w:val="0"/>
                              <w:marTop w:val="0"/>
                              <w:marBottom w:val="0"/>
                              <w:divBdr>
                                <w:top w:val="none" w:sz="0" w:space="0" w:color="auto"/>
                                <w:left w:val="none" w:sz="0" w:space="0" w:color="auto"/>
                                <w:bottom w:val="none" w:sz="0" w:space="0" w:color="auto"/>
                                <w:right w:val="none" w:sz="0" w:space="0" w:color="auto"/>
                              </w:divBdr>
                              <w:divsChild>
                                <w:div w:id="147221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613740">
      <w:bodyDiv w:val="1"/>
      <w:marLeft w:val="0"/>
      <w:marRight w:val="0"/>
      <w:marTop w:val="0"/>
      <w:marBottom w:val="0"/>
      <w:divBdr>
        <w:top w:val="none" w:sz="0" w:space="0" w:color="auto"/>
        <w:left w:val="none" w:sz="0" w:space="0" w:color="auto"/>
        <w:bottom w:val="none" w:sz="0" w:space="0" w:color="auto"/>
        <w:right w:val="none" w:sz="0" w:space="0" w:color="auto"/>
      </w:divBdr>
    </w:div>
    <w:div w:id="1064570057">
      <w:bodyDiv w:val="1"/>
      <w:marLeft w:val="0"/>
      <w:marRight w:val="0"/>
      <w:marTop w:val="300"/>
      <w:marBottom w:val="0"/>
      <w:divBdr>
        <w:top w:val="none" w:sz="0" w:space="0" w:color="auto"/>
        <w:left w:val="none" w:sz="0" w:space="0" w:color="auto"/>
        <w:bottom w:val="none" w:sz="0" w:space="0" w:color="auto"/>
        <w:right w:val="none" w:sz="0" w:space="0" w:color="auto"/>
      </w:divBdr>
      <w:divsChild>
        <w:div w:id="841817645">
          <w:marLeft w:val="0"/>
          <w:marRight w:val="0"/>
          <w:marTop w:val="0"/>
          <w:marBottom w:val="0"/>
          <w:divBdr>
            <w:top w:val="none" w:sz="0" w:space="0" w:color="auto"/>
            <w:left w:val="none" w:sz="0" w:space="0" w:color="auto"/>
            <w:bottom w:val="none" w:sz="0" w:space="0" w:color="auto"/>
            <w:right w:val="none" w:sz="0" w:space="0" w:color="auto"/>
          </w:divBdr>
          <w:divsChild>
            <w:div w:id="82993357">
              <w:marLeft w:val="0"/>
              <w:marRight w:val="0"/>
              <w:marTop w:val="0"/>
              <w:marBottom w:val="0"/>
              <w:divBdr>
                <w:top w:val="none" w:sz="0" w:space="0" w:color="auto"/>
                <w:left w:val="none" w:sz="0" w:space="0" w:color="auto"/>
                <w:bottom w:val="none" w:sz="0" w:space="0" w:color="auto"/>
                <w:right w:val="none" w:sz="0" w:space="0" w:color="auto"/>
              </w:divBdr>
              <w:divsChild>
                <w:div w:id="752160856">
                  <w:marLeft w:val="0"/>
                  <w:marRight w:val="0"/>
                  <w:marTop w:val="0"/>
                  <w:marBottom w:val="0"/>
                  <w:divBdr>
                    <w:top w:val="none" w:sz="0" w:space="0" w:color="auto"/>
                    <w:left w:val="none" w:sz="0" w:space="0" w:color="auto"/>
                    <w:bottom w:val="none" w:sz="0" w:space="0" w:color="auto"/>
                    <w:right w:val="none" w:sz="0" w:space="0" w:color="auto"/>
                  </w:divBdr>
                  <w:divsChild>
                    <w:div w:id="1101102847">
                      <w:marLeft w:val="0"/>
                      <w:marRight w:val="0"/>
                      <w:marTop w:val="0"/>
                      <w:marBottom w:val="0"/>
                      <w:divBdr>
                        <w:top w:val="none" w:sz="0" w:space="0" w:color="auto"/>
                        <w:left w:val="none" w:sz="0" w:space="0" w:color="auto"/>
                        <w:bottom w:val="none" w:sz="0" w:space="0" w:color="auto"/>
                        <w:right w:val="none" w:sz="0" w:space="0" w:color="auto"/>
                      </w:divBdr>
                      <w:divsChild>
                        <w:div w:id="159470483">
                          <w:marLeft w:val="0"/>
                          <w:marRight w:val="300"/>
                          <w:marTop w:val="300"/>
                          <w:marBottom w:val="300"/>
                          <w:divBdr>
                            <w:top w:val="none" w:sz="0" w:space="0" w:color="auto"/>
                            <w:left w:val="none" w:sz="0" w:space="0" w:color="auto"/>
                            <w:bottom w:val="none" w:sz="0" w:space="0" w:color="auto"/>
                            <w:right w:val="none" w:sz="0" w:space="0" w:color="auto"/>
                          </w:divBdr>
                          <w:divsChild>
                            <w:div w:id="758260288">
                              <w:marLeft w:val="0"/>
                              <w:marRight w:val="0"/>
                              <w:marTop w:val="0"/>
                              <w:marBottom w:val="0"/>
                              <w:divBdr>
                                <w:top w:val="none" w:sz="0" w:space="0" w:color="auto"/>
                                <w:left w:val="none" w:sz="0" w:space="0" w:color="auto"/>
                                <w:bottom w:val="none" w:sz="0" w:space="0" w:color="auto"/>
                                <w:right w:val="none" w:sz="0" w:space="0" w:color="auto"/>
                              </w:divBdr>
                              <w:divsChild>
                                <w:div w:id="129147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4647775">
      <w:bodyDiv w:val="1"/>
      <w:marLeft w:val="0"/>
      <w:marRight w:val="0"/>
      <w:marTop w:val="0"/>
      <w:marBottom w:val="0"/>
      <w:divBdr>
        <w:top w:val="none" w:sz="0" w:space="0" w:color="auto"/>
        <w:left w:val="none" w:sz="0" w:space="0" w:color="auto"/>
        <w:bottom w:val="none" w:sz="0" w:space="0" w:color="auto"/>
        <w:right w:val="none" w:sz="0" w:space="0" w:color="auto"/>
      </w:divBdr>
    </w:div>
    <w:div w:id="1200319877">
      <w:bodyDiv w:val="1"/>
      <w:marLeft w:val="0"/>
      <w:marRight w:val="0"/>
      <w:marTop w:val="0"/>
      <w:marBottom w:val="0"/>
      <w:divBdr>
        <w:top w:val="none" w:sz="0" w:space="0" w:color="auto"/>
        <w:left w:val="none" w:sz="0" w:space="0" w:color="auto"/>
        <w:bottom w:val="none" w:sz="0" w:space="0" w:color="auto"/>
        <w:right w:val="none" w:sz="0" w:space="0" w:color="auto"/>
      </w:divBdr>
    </w:div>
    <w:div w:id="1293049526">
      <w:bodyDiv w:val="1"/>
      <w:marLeft w:val="0"/>
      <w:marRight w:val="0"/>
      <w:marTop w:val="0"/>
      <w:marBottom w:val="0"/>
      <w:divBdr>
        <w:top w:val="none" w:sz="0" w:space="0" w:color="auto"/>
        <w:left w:val="none" w:sz="0" w:space="0" w:color="auto"/>
        <w:bottom w:val="none" w:sz="0" w:space="0" w:color="auto"/>
        <w:right w:val="none" w:sz="0" w:space="0" w:color="auto"/>
      </w:divBdr>
    </w:div>
    <w:div w:id="1463228723">
      <w:bodyDiv w:val="1"/>
      <w:marLeft w:val="0"/>
      <w:marRight w:val="0"/>
      <w:marTop w:val="0"/>
      <w:marBottom w:val="0"/>
      <w:divBdr>
        <w:top w:val="none" w:sz="0" w:space="0" w:color="auto"/>
        <w:left w:val="none" w:sz="0" w:space="0" w:color="auto"/>
        <w:bottom w:val="none" w:sz="0" w:space="0" w:color="auto"/>
        <w:right w:val="none" w:sz="0" w:space="0" w:color="auto"/>
      </w:divBdr>
    </w:div>
    <w:div w:id="1592356417">
      <w:bodyDiv w:val="1"/>
      <w:marLeft w:val="0"/>
      <w:marRight w:val="0"/>
      <w:marTop w:val="300"/>
      <w:marBottom w:val="0"/>
      <w:divBdr>
        <w:top w:val="none" w:sz="0" w:space="0" w:color="auto"/>
        <w:left w:val="none" w:sz="0" w:space="0" w:color="auto"/>
        <w:bottom w:val="none" w:sz="0" w:space="0" w:color="auto"/>
        <w:right w:val="none" w:sz="0" w:space="0" w:color="auto"/>
      </w:divBdr>
      <w:divsChild>
        <w:div w:id="1138064895">
          <w:marLeft w:val="0"/>
          <w:marRight w:val="0"/>
          <w:marTop w:val="0"/>
          <w:marBottom w:val="0"/>
          <w:divBdr>
            <w:top w:val="none" w:sz="0" w:space="0" w:color="auto"/>
            <w:left w:val="none" w:sz="0" w:space="0" w:color="auto"/>
            <w:bottom w:val="none" w:sz="0" w:space="0" w:color="auto"/>
            <w:right w:val="none" w:sz="0" w:space="0" w:color="auto"/>
          </w:divBdr>
          <w:divsChild>
            <w:div w:id="2026514847">
              <w:marLeft w:val="0"/>
              <w:marRight w:val="0"/>
              <w:marTop w:val="0"/>
              <w:marBottom w:val="0"/>
              <w:divBdr>
                <w:top w:val="none" w:sz="0" w:space="0" w:color="auto"/>
                <w:left w:val="none" w:sz="0" w:space="0" w:color="auto"/>
                <w:bottom w:val="none" w:sz="0" w:space="0" w:color="auto"/>
                <w:right w:val="none" w:sz="0" w:space="0" w:color="auto"/>
              </w:divBdr>
              <w:divsChild>
                <w:div w:id="455373235">
                  <w:marLeft w:val="0"/>
                  <w:marRight w:val="0"/>
                  <w:marTop w:val="0"/>
                  <w:marBottom w:val="0"/>
                  <w:divBdr>
                    <w:top w:val="none" w:sz="0" w:space="0" w:color="auto"/>
                    <w:left w:val="none" w:sz="0" w:space="0" w:color="auto"/>
                    <w:bottom w:val="none" w:sz="0" w:space="0" w:color="auto"/>
                    <w:right w:val="none" w:sz="0" w:space="0" w:color="auto"/>
                  </w:divBdr>
                  <w:divsChild>
                    <w:div w:id="98835278">
                      <w:marLeft w:val="0"/>
                      <w:marRight w:val="0"/>
                      <w:marTop w:val="0"/>
                      <w:marBottom w:val="0"/>
                      <w:divBdr>
                        <w:top w:val="none" w:sz="0" w:space="0" w:color="auto"/>
                        <w:left w:val="none" w:sz="0" w:space="0" w:color="auto"/>
                        <w:bottom w:val="none" w:sz="0" w:space="0" w:color="auto"/>
                        <w:right w:val="none" w:sz="0" w:space="0" w:color="auto"/>
                      </w:divBdr>
                      <w:divsChild>
                        <w:div w:id="107823255">
                          <w:marLeft w:val="0"/>
                          <w:marRight w:val="300"/>
                          <w:marTop w:val="300"/>
                          <w:marBottom w:val="300"/>
                          <w:divBdr>
                            <w:top w:val="none" w:sz="0" w:space="0" w:color="auto"/>
                            <w:left w:val="none" w:sz="0" w:space="0" w:color="auto"/>
                            <w:bottom w:val="none" w:sz="0" w:space="0" w:color="auto"/>
                            <w:right w:val="none" w:sz="0" w:space="0" w:color="auto"/>
                          </w:divBdr>
                          <w:divsChild>
                            <w:div w:id="965352537">
                              <w:marLeft w:val="0"/>
                              <w:marRight w:val="0"/>
                              <w:marTop w:val="0"/>
                              <w:marBottom w:val="0"/>
                              <w:divBdr>
                                <w:top w:val="none" w:sz="0" w:space="0" w:color="auto"/>
                                <w:left w:val="none" w:sz="0" w:space="0" w:color="auto"/>
                                <w:bottom w:val="none" w:sz="0" w:space="0" w:color="auto"/>
                                <w:right w:val="none" w:sz="0" w:space="0" w:color="auto"/>
                              </w:divBdr>
                              <w:divsChild>
                                <w:div w:id="107840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0412721">
      <w:bodyDiv w:val="1"/>
      <w:marLeft w:val="0"/>
      <w:marRight w:val="0"/>
      <w:marTop w:val="0"/>
      <w:marBottom w:val="0"/>
      <w:divBdr>
        <w:top w:val="none" w:sz="0" w:space="0" w:color="auto"/>
        <w:left w:val="none" w:sz="0" w:space="0" w:color="auto"/>
        <w:bottom w:val="none" w:sz="0" w:space="0" w:color="auto"/>
        <w:right w:val="none" w:sz="0" w:space="0" w:color="auto"/>
      </w:divBdr>
    </w:div>
    <w:div w:id="1934782693">
      <w:bodyDiv w:val="1"/>
      <w:marLeft w:val="0"/>
      <w:marRight w:val="0"/>
      <w:marTop w:val="300"/>
      <w:marBottom w:val="0"/>
      <w:divBdr>
        <w:top w:val="none" w:sz="0" w:space="0" w:color="auto"/>
        <w:left w:val="none" w:sz="0" w:space="0" w:color="auto"/>
        <w:bottom w:val="none" w:sz="0" w:space="0" w:color="auto"/>
        <w:right w:val="none" w:sz="0" w:space="0" w:color="auto"/>
      </w:divBdr>
      <w:divsChild>
        <w:div w:id="893199002">
          <w:marLeft w:val="0"/>
          <w:marRight w:val="0"/>
          <w:marTop w:val="0"/>
          <w:marBottom w:val="0"/>
          <w:divBdr>
            <w:top w:val="none" w:sz="0" w:space="0" w:color="auto"/>
            <w:left w:val="none" w:sz="0" w:space="0" w:color="auto"/>
            <w:bottom w:val="none" w:sz="0" w:space="0" w:color="auto"/>
            <w:right w:val="none" w:sz="0" w:space="0" w:color="auto"/>
          </w:divBdr>
          <w:divsChild>
            <w:div w:id="2010332382">
              <w:marLeft w:val="0"/>
              <w:marRight w:val="0"/>
              <w:marTop w:val="0"/>
              <w:marBottom w:val="0"/>
              <w:divBdr>
                <w:top w:val="none" w:sz="0" w:space="0" w:color="auto"/>
                <w:left w:val="none" w:sz="0" w:space="0" w:color="auto"/>
                <w:bottom w:val="none" w:sz="0" w:space="0" w:color="auto"/>
                <w:right w:val="none" w:sz="0" w:space="0" w:color="auto"/>
              </w:divBdr>
              <w:divsChild>
                <w:div w:id="686709362">
                  <w:marLeft w:val="0"/>
                  <w:marRight w:val="0"/>
                  <w:marTop w:val="0"/>
                  <w:marBottom w:val="0"/>
                  <w:divBdr>
                    <w:top w:val="none" w:sz="0" w:space="0" w:color="auto"/>
                    <w:left w:val="none" w:sz="0" w:space="0" w:color="auto"/>
                    <w:bottom w:val="none" w:sz="0" w:space="0" w:color="auto"/>
                    <w:right w:val="none" w:sz="0" w:space="0" w:color="auto"/>
                  </w:divBdr>
                  <w:divsChild>
                    <w:div w:id="236133766">
                      <w:marLeft w:val="0"/>
                      <w:marRight w:val="0"/>
                      <w:marTop w:val="0"/>
                      <w:marBottom w:val="0"/>
                      <w:divBdr>
                        <w:top w:val="none" w:sz="0" w:space="0" w:color="auto"/>
                        <w:left w:val="none" w:sz="0" w:space="0" w:color="auto"/>
                        <w:bottom w:val="none" w:sz="0" w:space="0" w:color="auto"/>
                        <w:right w:val="none" w:sz="0" w:space="0" w:color="auto"/>
                      </w:divBdr>
                      <w:divsChild>
                        <w:div w:id="1305355981">
                          <w:marLeft w:val="0"/>
                          <w:marRight w:val="300"/>
                          <w:marTop w:val="300"/>
                          <w:marBottom w:val="300"/>
                          <w:divBdr>
                            <w:top w:val="none" w:sz="0" w:space="0" w:color="auto"/>
                            <w:left w:val="none" w:sz="0" w:space="0" w:color="auto"/>
                            <w:bottom w:val="none" w:sz="0" w:space="0" w:color="auto"/>
                            <w:right w:val="none" w:sz="0" w:space="0" w:color="auto"/>
                          </w:divBdr>
                          <w:divsChild>
                            <w:div w:id="1459255450">
                              <w:marLeft w:val="0"/>
                              <w:marRight w:val="0"/>
                              <w:marTop w:val="0"/>
                              <w:marBottom w:val="0"/>
                              <w:divBdr>
                                <w:top w:val="none" w:sz="0" w:space="0" w:color="auto"/>
                                <w:left w:val="none" w:sz="0" w:space="0" w:color="auto"/>
                                <w:bottom w:val="none" w:sz="0" w:space="0" w:color="auto"/>
                                <w:right w:val="none" w:sz="0" w:space="0" w:color="auto"/>
                              </w:divBdr>
                              <w:divsChild>
                                <w:div w:id="1739474801">
                                  <w:marLeft w:val="0"/>
                                  <w:marRight w:val="0"/>
                                  <w:marTop w:val="0"/>
                                  <w:marBottom w:val="0"/>
                                  <w:divBdr>
                                    <w:top w:val="none" w:sz="0" w:space="0" w:color="auto"/>
                                    <w:left w:val="none" w:sz="0" w:space="0" w:color="auto"/>
                                    <w:bottom w:val="none" w:sz="0" w:space="0" w:color="auto"/>
                                    <w:right w:val="none" w:sz="0" w:space="0" w:color="auto"/>
                                  </w:divBdr>
                                  <w:divsChild>
                                    <w:div w:id="1092504701">
                                      <w:blockQuote w:val="1"/>
                                      <w:marLeft w:val="720"/>
                                      <w:marRight w:val="300"/>
                                      <w:marTop w:val="100"/>
                                      <w:marBottom w:val="100"/>
                                      <w:divBdr>
                                        <w:top w:val="none" w:sz="0" w:space="0" w:color="auto"/>
                                        <w:left w:val="none" w:sz="0" w:space="0" w:color="auto"/>
                                        <w:bottom w:val="none" w:sz="0" w:space="0" w:color="auto"/>
                                        <w:right w:val="none" w:sz="0" w:space="0" w:color="auto"/>
                                      </w:divBdr>
                                    </w:div>
                                    <w:div w:id="1419056822">
                                      <w:blockQuote w:val="1"/>
                                      <w:marLeft w:val="720"/>
                                      <w:marRight w:val="300"/>
                                      <w:marTop w:val="100"/>
                                      <w:marBottom w:val="100"/>
                                      <w:divBdr>
                                        <w:top w:val="none" w:sz="0" w:space="0" w:color="auto"/>
                                        <w:left w:val="none" w:sz="0" w:space="0" w:color="auto"/>
                                        <w:bottom w:val="none" w:sz="0" w:space="0" w:color="auto"/>
                                        <w:right w:val="none" w:sz="0" w:space="0" w:color="auto"/>
                                      </w:divBdr>
                                    </w:div>
                                    <w:div w:id="1663388194">
                                      <w:blockQuote w:val="1"/>
                                      <w:marLeft w:val="720"/>
                                      <w:marRight w:val="30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xbrl.squarespace.com/fin-report-sem-dyn-theory/"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xbrl.squarespace.com/journal/2012/6/15/xbrl-international-releases-semantic-model-public-working-dr.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xbrl.squarespace.com/digital-financial-reporting/" TargetMode="External"/><Relationship Id="rId4" Type="http://schemas.openxmlformats.org/officeDocument/2006/relationships/settings" Target="settings.xml"/><Relationship Id="rId9" Type="http://schemas.openxmlformats.org/officeDocument/2006/relationships/hyperlink" Target="http://xbrl.squarespace.com/journal/2012/6/15/xbrl-international-releases-semantic-model-public-working-dr.html"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s://creativecommons.org/publicdomain/zero/1.0/" TargetMode="External"/><Relationship Id="rId2" Type="http://schemas.openxmlformats.org/officeDocument/2006/relationships/image" Target="media/image1.png"/><Relationship Id="rId1" Type="http://schemas.openxmlformats.org/officeDocument/2006/relationships/hyperlink" Target="https://creativecommons.org/publicdomain/zero/1.0/"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specifications.xbrl.org/work-product-index-group-base-spec-base-spec.html" TargetMode="External"/><Relationship Id="rId1" Type="http://schemas.openxmlformats.org/officeDocument/2006/relationships/hyperlink" Target="http://xbrlsite.azurewebsites.net/2019/Library/LogicalTheoryDescribingBusinessReport.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Walter\Application%20Data\Microsoft\Templates\wh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C58F90-035B-4047-B56E-691168A42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whNormal.dot</Template>
  <TotalTime>19</TotalTime>
  <Pages>7</Pages>
  <Words>3045</Words>
  <Characters>17358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Financial Reporting Using XBRL</vt:lpstr>
    </vt:vector>
  </TitlesOfParts>
  <Company/>
  <LinksUpToDate>false</LinksUpToDate>
  <CharactersWithSpaces>20363</CharactersWithSpaces>
  <SharedDoc>false</SharedDoc>
  <HLinks>
    <vt:vector size="1212" baseType="variant">
      <vt:variant>
        <vt:i4>7929872</vt:i4>
      </vt:variant>
      <vt:variant>
        <vt:i4>1104</vt:i4>
      </vt:variant>
      <vt:variant>
        <vt:i4>0</vt:i4>
      </vt:variant>
      <vt:variant>
        <vt:i4>5</vt:i4>
      </vt:variant>
      <vt:variant>
        <vt:lpwstr>http://en.wikipedia.org/wiki/Partition_of_a_set</vt:lpwstr>
      </vt:variant>
      <vt:variant>
        <vt:lpwstr/>
      </vt:variant>
      <vt:variant>
        <vt:i4>6160399</vt:i4>
      </vt:variant>
      <vt:variant>
        <vt:i4>1101</vt:i4>
      </vt:variant>
      <vt:variant>
        <vt:i4>0</vt:i4>
      </vt:variant>
      <vt:variant>
        <vt:i4>5</vt:i4>
      </vt:variant>
      <vt:variant>
        <vt:lpwstr>http://www.xbrl.org/Specification/XDT-REC-2006-09-18+Corrected-Errata-2009-09-07.htm</vt:lpwstr>
      </vt:variant>
      <vt:variant>
        <vt:lpwstr/>
      </vt:variant>
      <vt:variant>
        <vt:i4>3342379</vt:i4>
      </vt:variant>
      <vt:variant>
        <vt:i4>1098</vt:i4>
      </vt:variant>
      <vt:variant>
        <vt:i4>0</vt:i4>
      </vt:variant>
      <vt:variant>
        <vt:i4>5</vt:i4>
      </vt:variant>
      <vt:variant>
        <vt:lpwstr>http://www.xbrlsite.com/US-GAAP-2011/Exemplars/Viewer3.html</vt:lpwstr>
      </vt:variant>
      <vt:variant>
        <vt:lpwstr/>
      </vt:variant>
      <vt:variant>
        <vt:i4>3342452</vt:i4>
      </vt:variant>
      <vt:variant>
        <vt:i4>1095</vt:i4>
      </vt:variant>
      <vt:variant>
        <vt:i4>0</vt:i4>
      </vt:variant>
      <vt:variant>
        <vt:i4>5</vt:i4>
      </vt:variant>
      <vt:variant>
        <vt:lpwstr>http://www.xbrlsite.com/US-GAAP-2011/Exemplars/Viewer.html</vt:lpwstr>
      </vt:variant>
      <vt:variant>
        <vt:lpwstr/>
      </vt:variant>
      <vt:variant>
        <vt:i4>7077938</vt:i4>
      </vt:variant>
      <vt:variant>
        <vt:i4>1092</vt:i4>
      </vt:variant>
      <vt:variant>
        <vt:i4>0</vt:i4>
      </vt:variant>
      <vt:variant>
        <vt:i4>5</vt:i4>
      </vt:variant>
      <vt:variant>
        <vt:lpwstr>http://goo.gl/AUwrO</vt:lpwstr>
      </vt:variant>
      <vt:variant>
        <vt:lpwstr/>
      </vt:variant>
      <vt:variant>
        <vt:i4>4718664</vt:i4>
      </vt:variant>
      <vt:variant>
        <vt:i4>1089</vt:i4>
      </vt:variant>
      <vt:variant>
        <vt:i4>0</vt:i4>
      </vt:variant>
      <vt:variant>
        <vt:i4>5</vt:i4>
      </vt:variant>
      <vt:variant>
        <vt:lpwstr>http://xbrl.us/Documents/SECOFM-USGAAPT-Architecture-20080428.pdf</vt:lpwstr>
      </vt:variant>
      <vt:variant>
        <vt:lpwstr/>
      </vt:variant>
      <vt:variant>
        <vt:i4>7274544</vt:i4>
      </vt:variant>
      <vt:variant>
        <vt:i4>1086</vt:i4>
      </vt:variant>
      <vt:variant>
        <vt:i4>0</vt:i4>
      </vt:variant>
      <vt:variant>
        <vt:i4>5</vt:i4>
      </vt:variant>
      <vt:variant>
        <vt:lpwstr>http://www.xbrlsite.com/US-GAAP/Metapatterns/US-GAAP-Taxonomy-Metapatterns.pdf</vt:lpwstr>
      </vt:variant>
      <vt:variant>
        <vt:lpwstr/>
      </vt:variant>
      <vt:variant>
        <vt:i4>4128867</vt:i4>
      </vt:variant>
      <vt:variant>
        <vt:i4>1083</vt:i4>
      </vt:variant>
      <vt:variant>
        <vt:i4>0</vt:i4>
      </vt:variant>
      <vt:variant>
        <vt:i4>5</vt:i4>
      </vt:variant>
      <vt:variant>
        <vt:lpwstr>http://www.xbrlsite.com/Metapatterns/2010-08-01/Matrix.html</vt:lpwstr>
      </vt:variant>
      <vt:variant>
        <vt:lpwstr/>
      </vt:variant>
      <vt:variant>
        <vt:i4>3866687</vt:i4>
      </vt:variant>
      <vt:variant>
        <vt:i4>1080</vt:i4>
      </vt:variant>
      <vt:variant>
        <vt:i4>0</vt:i4>
      </vt:variant>
      <vt:variant>
        <vt:i4>5</vt:i4>
      </vt:variant>
      <vt:variant>
        <vt:lpwstr>http://www.xbrlsite.com/Patterns/2010-08-01/BusinessUseCases-Documentation.pdf</vt:lpwstr>
      </vt:variant>
      <vt:variant>
        <vt:lpwstr/>
      </vt:variant>
      <vt:variant>
        <vt:i4>3866746</vt:i4>
      </vt:variant>
      <vt:variant>
        <vt:i4>1077</vt:i4>
      </vt:variant>
      <vt:variant>
        <vt:i4>0</vt:i4>
      </vt:variant>
      <vt:variant>
        <vt:i4>5</vt:i4>
      </vt:variant>
      <vt:variant>
        <vt:lpwstr>http://www.xbrlsite.com/Patterns/2010-08-01/Matrix.html</vt:lpwstr>
      </vt:variant>
      <vt:variant>
        <vt:lpwstr/>
      </vt:variant>
      <vt:variant>
        <vt:i4>1376282</vt:i4>
      </vt:variant>
      <vt:variant>
        <vt:i4>1074</vt:i4>
      </vt:variant>
      <vt:variant>
        <vt:i4>0</vt:i4>
      </vt:variant>
      <vt:variant>
        <vt:i4>5</vt:i4>
      </vt:variant>
      <vt:variant>
        <vt:lpwstr>http://www.xbrl.org/us/USFRTF/USFRTF-PatternsGuide-PWD-2007-04-17.doc</vt:lpwstr>
      </vt:variant>
      <vt:variant>
        <vt:lpwstr/>
      </vt:variant>
      <vt:variant>
        <vt:i4>4259933</vt:i4>
      </vt:variant>
      <vt:variant>
        <vt:i4>1071</vt:i4>
      </vt:variant>
      <vt:variant>
        <vt:i4>0</vt:i4>
      </vt:variant>
      <vt:variant>
        <vt:i4>5</vt:i4>
      </vt:variant>
      <vt:variant>
        <vt:lpwstr>http://www.xbrlsite.com/US-GAAP-2011/ReferenceImplementation/2011-03-15/Documentation.pdf</vt:lpwstr>
      </vt:variant>
      <vt:variant>
        <vt:lpwstr/>
      </vt:variant>
      <vt:variant>
        <vt:i4>4587590</vt:i4>
      </vt:variant>
      <vt:variant>
        <vt:i4>1068</vt:i4>
      </vt:variant>
      <vt:variant>
        <vt:i4>0</vt:i4>
      </vt:variant>
      <vt:variant>
        <vt:i4>5</vt:i4>
      </vt:variant>
      <vt:variant>
        <vt:lpwstr>http://www.xbrlsite.com/US-GAAP-2011/ReferenceImplementation/2011-03-15/Landing.html</vt:lpwstr>
      </vt:variant>
      <vt:variant>
        <vt:lpwstr/>
      </vt:variant>
      <vt:variant>
        <vt:i4>983054</vt:i4>
      </vt:variant>
      <vt:variant>
        <vt:i4>1065</vt:i4>
      </vt:variant>
      <vt:variant>
        <vt:i4>0</vt:i4>
      </vt:variant>
      <vt:variant>
        <vt:i4>5</vt:i4>
      </vt:variant>
      <vt:variant>
        <vt:lpwstr>http://www.sec.gov/Archives/edgar/data/859139/000095012310103206</vt:lpwstr>
      </vt:variant>
      <vt:variant>
        <vt:lpwstr/>
      </vt:variant>
      <vt:variant>
        <vt:i4>1638426</vt:i4>
      </vt:variant>
      <vt:variant>
        <vt:i4>1062</vt:i4>
      </vt:variant>
      <vt:variant>
        <vt:i4>0</vt:i4>
      </vt:variant>
      <vt:variant>
        <vt:i4>5</vt:i4>
      </vt:variant>
      <vt:variant>
        <vt:lpwstr>http://www.sec.gov/Archives/edgar/data/1168213/000116821310000075</vt:lpwstr>
      </vt:variant>
      <vt:variant>
        <vt:lpwstr/>
      </vt:variant>
      <vt:variant>
        <vt:i4>7733362</vt:i4>
      </vt:variant>
      <vt:variant>
        <vt:i4>1059</vt:i4>
      </vt:variant>
      <vt:variant>
        <vt:i4>0</vt:i4>
      </vt:variant>
      <vt:variant>
        <vt:i4>5</vt:i4>
      </vt:variant>
      <vt:variant>
        <vt:lpwstr>http://www.xbrlsite.com/2011/Analysis/</vt:lpwstr>
      </vt:variant>
      <vt:variant>
        <vt:lpwstr/>
      </vt:variant>
      <vt:variant>
        <vt:i4>4128867</vt:i4>
      </vt:variant>
      <vt:variant>
        <vt:i4>1056</vt:i4>
      </vt:variant>
      <vt:variant>
        <vt:i4>0</vt:i4>
      </vt:variant>
      <vt:variant>
        <vt:i4>5</vt:i4>
      </vt:variant>
      <vt:variant>
        <vt:lpwstr>http://www.xbrlsite.com/Metapatterns/2010-08-01/Matrix.html</vt:lpwstr>
      </vt:variant>
      <vt:variant>
        <vt:lpwstr/>
      </vt:variant>
      <vt:variant>
        <vt:i4>917608</vt:i4>
      </vt:variant>
      <vt:variant>
        <vt:i4>1053</vt:i4>
      </vt:variant>
      <vt:variant>
        <vt:i4>0</vt:i4>
      </vt:variant>
      <vt:variant>
        <vt:i4>5</vt:i4>
      </vt:variant>
      <vt:variant>
        <vt:lpwstr>http://en.wikipedia.org/wiki/Concept_learning</vt:lpwstr>
      </vt:variant>
      <vt:variant>
        <vt:lpwstr/>
      </vt:variant>
      <vt:variant>
        <vt:i4>6881336</vt:i4>
      </vt:variant>
      <vt:variant>
        <vt:i4>1050</vt:i4>
      </vt:variant>
      <vt:variant>
        <vt:i4>0</vt:i4>
      </vt:variant>
      <vt:variant>
        <vt:i4>5</vt:i4>
      </vt:variant>
      <vt:variant>
        <vt:lpwstr>http://courses.umass.edu/psy315/prototype.html</vt:lpwstr>
      </vt:variant>
      <vt:variant>
        <vt:lpwstr/>
      </vt:variant>
      <vt:variant>
        <vt:i4>1048687</vt:i4>
      </vt:variant>
      <vt:variant>
        <vt:i4>1047</vt:i4>
      </vt:variant>
      <vt:variant>
        <vt:i4>0</vt:i4>
      </vt:variant>
      <vt:variant>
        <vt:i4>5</vt:i4>
      </vt:variant>
      <vt:variant>
        <vt:lpwstr>http://en.wikipedia.org/wiki/Prototype_theory</vt:lpwstr>
      </vt:variant>
      <vt:variant>
        <vt:lpwstr/>
      </vt:variant>
      <vt:variant>
        <vt:i4>5046283</vt:i4>
      </vt:variant>
      <vt:variant>
        <vt:i4>1044</vt:i4>
      </vt:variant>
      <vt:variant>
        <vt:i4>0</vt:i4>
      </vt:variant>
      <vt:variant>
        <vt:i4>5</vt:i4>
      </vt:variant>
      <vt:variant>
        <vt:lpwstr>http://www.xbrlsite.com/US-GAAP/ReferenceImplementation/Comparison/Index.html</vt:lpwstr>
      </vt:variant>
      <vt:variant>
        <vt:lpwstr/>
      </vt:variant>
      <vt:variant>
        <vt:i4>3342379</vt:i4>
      </vt:variant>
      <vt:variant>
        <vt:i4>1041</vt:i4>
      </vt:variant>
      <vt:variant>
        <vt:i4>0</vt:i4>
      </vt:variant>
      <vt:variant>
        <vt:i4>5</vt:i4>
      </vt:variant>
      <vt:variant>
        <vt:lpwstr>http://www.xbrlsite.com/US-GAAP-2011/Exemplars/Viewer3.html</vt:lpwstr>
      </vt:variant>
      <vt:variant>
        <vt:lpwstr/>
      </vt:variant>
      <vt:variant>
        <vt:i4>3342452</vt:i4>
      </vt:variant>
      <vt:variant>
        <vt:i4>1038</vt:i4>
      </vt:variant>
      <vt:variant>
        <vt:i4>0</vt:i4>
      </vt:variant>
      <vt:variant>
        <vt:i4>5</vt:i4>
      </vt:variant>
      <vt:variant>
        <vt:lpwstr>http://www.xbrlsite.com/US-GAAP-2011/Exemplars/Viewer.html</vt:lpwstr>
      </vt:variant>
      <vt:variant>
        <vt:lpwstr/>
      </vt:variant>
      <vt:variant>
        <vt:i4>6160474</vt:i4>
      </vt:variant>
      <vt:variant>
        <vt:i4>1032</vt:i4>
      </vt:variant>
      <vt:variant>
        <vt:i4>0</vt:i4>
      </vt:variant>
      <vt:variant>
        <vt:i4>5</vt:i4>
      </vt:variant>
      <vt:variant>
        <vt:lpwstr>http://stexx.files.wordpress.com/2010/07/combining_unstructured_semistructured_fullystructured_data.pdf</vt:lpwstr>
      </vt:variant>
      <vt:variant>
        <vt:lpwstr/>
      </vt:variant>
      <vt:variant>
        <vt:i4>8126563</vt:i4>
      </vt:variant>
      <vt:variant>
        <vt:i4>1029</vt:i4>
      </vt:variant>
      <vt:variant>
        <vt:i4>0</vt:i4>
      </vt:variant>
      <vt:variant>
        <vt:i4>5</vt:i4>
      </vt:variant>
      <vt:variant>
        <vt:lpwstr>http://goo.gl/4fSqO</vt:lpwstr>
      </vt:variant>
      <vt:variant>
        <vt:lpwstr/>
      </vt:variant>
      <vt:variant>
        <vt:i4>7798887</vt:i4>
      </vt:variant>
      <vt:variant>
        <vt:i4>1026</vt:i4>
      </vt:variant>
      <vt:variant>
        <vt:i4>0</vt:i4>
      </vt:variant>
      <vt:variant>
        <vt:i4>5</vt:i4>
      </vt:variant>
      <vt:variant>
        <vt:lpwstr>http://xasb.org/roles/BalanceSheet</vt:lpwstr>
      </vt:variant>
      <vt:variant>
        <vt:lpwstr/>
      </vt:variant>
      <vt:variant>
        <vt:i4>1835093</vt:i4>
      </vt:variant>
      <vt:variant>
        <vt:i4>1023</vt:i4>
      </vt:variant>
      <vt:variant>
        <vt:i4>0</vt:i4>
      </vt:variant>
      <vt:variant>
        <vt:i4>5</vt:i4>
      </vt:variant>
      <vt:variant>
        <vt:lpwstr>http://www.xbrlsite.com/US-GAAP-2011/LogicalModel/SEC-LogicalModel-2011-02-01.pdf</vt:lpwstr>
      </vt:variant>
      <vt:variant>
        <vt:lpwstr/>
      </vt:variant>
      <vt:variant>
        <vt:i4>7471201</vt:i4>
      </vt:variant>
      <vt:variant>
        <vt:i4>1017</vt:i4>
      </vt:variant>
      <vt:variant>
        <vt:i4>0</vt:i4>
      </vt:variant>
      <vt:variant>
        <vt:i4>5</vt:i4>
      </vt:variant>
      <vt:variant>
        <vt:lpwstr>http://goo.gl/qQ4Hx</vt:lpwstr>
      </vt:variant>
      <vt:variant>
        <vt:lpwstr/>
      </vt:variant>
      <vt:variant>
        <vt:i4>458762</vt:i4>
      </vt:variant>
      <vt:variant>
        <vt:i4>1014</vt:i4>
      </vt:variant>
      <vt:variant>
        <vt:i4>0</vt:i4>
      </vt:variant>
      <vt:variant>
        <vt:i4>5</vt:i4>
      </vt:variant>
      <vt:variant>
        <vt:lpwstr>http://xbrl.squarespace.com/</vt:lpwstr>
      </vt:variant>
      <vt:variant>
        <vt:lpwstr/>
      </vt:variant>
      <vt:variant>
        <vt:i4>1310783</vt:i4>
      </vt:variant>
      <vt:variant>
        <vt:i4>1007</vt:i4>
      </vt:variant>
      <vt:variant>
        <vt:i4>0</vt:i4>
      </vt:variant>
      <vt:variant>
        <vt:i4>5</vt:i4>
      </vt:variant>
      <vt:variant>
        <vt:lpwstr/>
      </vt:variant>
      <vt:variant>
        <vt:lpwstr>_Toc291850929</vt:lpwstr>
      </vt:variant>
      <vt:variant>
        <vt:i4>1310783</vt:i4>
      </vt:variant>
      <vt:variant>
        <vt:i4>1001</vt:i4>
      </vt:variant>
      <vt:variant>
        <vt:i4>0</vt:i4>
      </vt:variant>
      <vt:variant>
        <vt:i4>5</vt:i4>
      </vt:variant>
      <vt:variant>
        <vt:lpwstr/>
      </vt:variant>
      <vt:variant>
        <vt:lpwstr>_Toc291850928</vt:lpwstr>
      </vt:variant>
      <vt:variant>
        <vt:i4>1310783</vt:i4>
      </vt:variant>
      <vt:variant>
        <vt:i4>995</vt:i4>
      </vt:variant>
      <vt:variant>
        <vt:i4>0</vt:i4>
      </vt:variant>
      <vt:variant>
        <vt:i4>5</vt:i4>
      </vt:variant>
      <vt:variant>
        <vt:lpwstr/>
      </vt:variant>
      <vt:variant>
        <vt:lpwstr>_Toc291850927</vt:lpwstr>
      </vt:variant>
      <vt:variant>
        <vt:i4>1310783</vt:i4>
      </vt:variant>
      <vt:variant>
        <vt:i4>989</vt:i4>
      </vt:variant>
      <vt:variant>
        <vt:i4>0</vt:i4>
      </vt:variant>
      <vt:variant>
        <vt:i4>5</vt:i4>
      </vt:variant>
      <vt:variant>
        <vt:lpwstr/>
      </vt:variant>
      <vt:variant>
        <vt:lpwstr>_Toc291850926</vt:lpwstr>
      </vt:variant>
      <vt:variant>
        <vt:i4>1310783</vt:i4>
      </vt:variant>
      <vt:variant>
        <vt:i4>983</vt:i4>
      </vt:variant>
      <vt:variant>
        <vt:i4>0</vt:i4>
      </vt:variant>
      <vt:variant>
        <vt:i4>5</vt:i4>
      </vt:variant>
      <vt:variant>
        <vt:lpwstr/>
      </vt:variant>
      <vt:variant>
        <vt:lpwstr>_Toc291850925</vt:lpwstr>
      </vt:variant>
      <vt:variant>
        <vt:i4>1310783</vt:i4>
      </vt:variant>
      <vt:variant>
        <vt:i4>977</vt:i4>
      </vt:variant>
      <vt:variant>
        <vt:i4>0</vt:i4>
      </vt:variant>
      <vt:variant>
        <vt:i4>5</vt:i4>
      </vt:variant>
      <vt:variant>
        <vt:lpwstr/>
      </vt:variant>
      <vt:variant>
        <vt:lpwstr>_Toc291850924</vt:lpwstr>
      </vt:variant>
      <vt:variant>
        <vt:i4>1310783</vt:i4>
      </vt:variant>
      <vt:variant>
        <vt:i4>971</vt:i4>
      </vt:variant>
      <vt:variant>
        <vt:i4>0</vt:i4>
      </vt:variant>
      <vt:variant>
        <vt:i4>5</vt:i4>
      </vt:variant>
      <vt:variant>
        <vt:lpwstr/>
      </vt:variant>
      <vt:variant>
        <vt:lpwstr>_Toc291850923</vt:lpwstr>
      </vt:variant>
      <vt:variant>
        <vt:i4>1310783</vt:i4>
      </vt:variant>
      <vt:variant>
        <vt:i4>965</vt:i4>
      </vt:variant>
      <vt:variant>
        <vt:i4>0</vt:i4>
      </vt:variant>
      <vt:variant>
        <vt:i4>5</vt:i4>
      </vt:variant>
      <vt:variant>
        <vt:lpwstr/>
      </vt:variant>
      <vt:variant>
        <vt:lpwstr>_Toc291850922</vt:lpwstr>
      </vt:variant>
      <vt:variant>
        <vt:i4>1310783</vt:i4>
      </vt:variant>
      <vt:variant>
        <vt:i4>959</vt:i4>
      </vt:variant>
      <vt:variant>
        <vt:i4>0</vt:i4>
      </vt:variant>
      <vt:variant>
        <vt:i4>5</vt:i4>
      </vt:variant>
      <vt:variant>
        <vt:lpwstr/>
      </vt:variant>
      <vt:variant>
        <vt:lpwstr>_Toc291850921</vt:lpwstr>
      </vt:variant>
      <vt:variant>
        <vt:i4>1310783</vt:i4>
      </vt:variant>
      <vt:variant>
        <vt:i4>953</vt:i4>
      </vt:variant>
      <vt:variant>
        <vt:i4>0</vt:i4>
      </vt:variant>
      <vt:variant>
        <vt:i4>5</vt:i4>
      </vt:variant>
      <vt:variant>
        <vt:lpwstr/>
      </vt:variant>
      <vt:variant>
        <vt:lpwstr>_Toc291850920</vt:lpwstr>
      </vt:variant>
      <vt:variant>
        <vt:i4>1507391</vt:i4>
      </vt:variant>
      <vt:variant>
        <vt:i4>947</vt:i4>
      </vt:variant>
      <vt:variant>
        <vt:i4>0</vt:i4>
      </vt:variant>
      <vt:variant>
        <vt:i4>5</vt:i4>
      </vt:variant>
      <vt:variant>
        <vt:lpwstr/>
      </vt:variant>
      <vt:variant>
        <vt:lpwstr>_Toc291850919</vt:lpwstr>
      </vt:variant>
      <vt:variant>
        <vt:i4>1507391</vt:i4>
      </vt:variant>
      <vt:variant>
        <vt:i4>941</vt:i4>
      </vt:variant>
      <vt:variant>
        <vt:i4>0</vt:i4>
      </vt:variant>
      <vt:variant>
        <vt:i4>5</vt:i4>
      </vt:variant>
      <vt:variant>
        <vt:lpwstr/>
      </vt:variant>
      <vt:variant>
        <vt:lpwstr>_Toc291850918</vt:lpwstr>
      </vt:variant>
      <vt:variant>
        <vt:i4>1507391</vt:i4>
      </vt:variant>
      <vt:variant>
        <vt:i4>935</vt:i4>
      </vt:variant>
      <vt:variant>
        <vt:i4>0</vt:i4>
      </vt:variant>
      <vt:variant>
        <vt:i4>5</vt:i4>
      </vt:variant>
      <vt:variant>
        <vt:lpwstr/>
      </vt:variant>
      <vt:variant>
        <vt:lpwstr>_Toc291850917</vt:lpwstr>
      </vt:variant>
      <vt:variant>
        <vt:i4>1507391</vt:i4>
      </vt:variant>
      <vt:variant>
        <vt:i4>929</vt:i4>
      </vt:variant>
      <vt:variant>
        <vt:i4>0</vt:i4>
      </vt:variant>
      <vt:variant>
        <vt:i4>5</vt:i4>
      </vt:variant>
      <vt:variant>
        <vt:lpwstr/>
      </vt:variant>
      <vt:variant>
        <vt:lpwstr>_Toc291850916</vt:lpwstr>
      </vt:variant>
      <vt:variant>
        <vt:i4>1507391</vt:i4>
      </vt:variant>
      <vt:variant>
        <vt:i4>923</vt:i4>
      </vt:variant>
      <vt:variant>
        <vt:i4>0</vt:i4>
      </vt:variant>
      <vt:variant>
        <vt:i4>5</vt:i4>
      </vt:variant>
      <vt:variant>
        <vt:lpwstr/>
      </vt:variant>
      <vt:variant>
        <vt:lpwstr>_Toc291850915</vt:lpwstr>
      </vt:variant>
      <vt:variant>
        <vt:i4>1507391</vt:i4>
      </vt:variant>
      <vt:variant>
        <vt:i4>917</vt:i4>
      </vt:variant>
      <vt:variant>
        <vt:i4>0</vt:i4>
      </vt:variant>
      <vt:variant>
        <vt:i4>5</vt:i4>
      </vt:variant>
      <vt:variant>
        <vt:lpwstr/>
      </vt:variant>
      <vt:variant>
        <vt:lpwstr>_Toc291850914</vt:lpwstr>
      </vt:variant>
      <vt:variant>
        <vt:i4>1507391</vt:i4>
      </vt:variant>
      <vt:variant>
        <vt:i4>911</vt:i4>
      </vt:variant>
      <vt:variant>
        <vt:i4>0</vt:i4>
      </vt:variant>
      <vt:variant>
        <vt:i4>5</vt:i4>
      </vt:variant>
      <vt:variant>
        <vt:lpwstr/>
      </vt:variant>
      <vt:variant>
        <vt:lpwstr>_Toc291850913</vt:lpwstr>
      </vt:variant>
      <vt:variant>
        <vt:i4>1507391</vt:i4>
      </vt:variant>
      <vt:variant>
        <vt:i4>905</vt:i4>
      </vt:variant>
      <vt:variant>
        <vt:i4>0</vt:i4>
      </vt:variant>
      <vt:variant>
        <vt:i4>5</vt:i4>
      </vt:variant>
      <vt:variant>
        <vt:lpwstr/>
      </vt:variant>
      <vt:variant>
        <vt:lpwstr>_Toc291850912</vt:lpwstr>
      </vt:variant>
      <vt:variant>
        <vt:i4>1507391</vt:i4>
      </vt:variant>
      <vt:variant>
        <vt:i4>899</vt:i4>
      </vt:variant>
      <vt:variant>
        <vt:i4>0</vt:i4>
      </vt:variant>
      <vt:variant>
        <vt:i4>5</vt:i4>
      </vt:variant>
      <vt:variant>
        <vt:lpwstr/>
      </vt:variant>
      <vt:variant>
        <vt:lpwstr>_Toc291850911</vt:lpwstr>
      </vt:variant>
      <vt:variant>
        <vt:i4>1507391</vt:i4>
      </vt:variant>
      <vt:variant>
        <vt:i4>893</vt:i4>
      </vt:variant>
      <vt:variant>
        <vt:i4>0</vt:i4>
      </vt:variant>
      <vt:variant>
        <vt:i4>5</vt:i4>
      </vt:variant>
      <vt:variant>
        <vt:lpwstr/>
      </vt:variant>
      <vt:variant>
        <vt:lpwstr>_Toc291850910</vt:lpwstr>
      </vt:variant>
      <vt:variant>
        <vt:i4>1441855</vt:i4>
      </vt:variant>
      <vt:variant>
        <vt:i4>887</vt:i4>
      </vt:variant>
      <vt:variant>
        <vt:i4>0</vt:i4>
      </vt:variant>
      <vt:variant>
        <vt:i4>5</vt:i4>
      </vt:variant>
      <vt:variant>
        <vt:lpwstr/>
      </vt:variant>
      <vt:variant>
        <vt:lpwstr>_Toc291850909</vt:lpwstr>
      </vt:variant>
      <vt:variant>
        <vt:i4>1441855</vt:i4>
      </vt:variant>
      <vt:variant>
        <vt:i4>881</vt:i4>
      </vt:variant>
      <vt:variant>
        <vt:i4>0</vt:i4>
      </vt:variant>
      <vt:variant>
        <vt:i4>5</vt:i4>
      </vt:variant>
      <vt:variant>
        <vt:lpwstr/>
      </vt:variant>
      <vt:variant>
        <vt:lpwstr>_Toc291850908</vt:lpwstr>
      </vt:variant>
      <vt:variant>
        <vt:i4>1441855</vt:i4>
      </vt:variant>
      <vt:variant>
        <vt:i4>875</vt:i4>
      </vt:variant>
      <vt:variant>
        <vt:i4>0</vt:i4>
      </vt:variant>
      <vt:variant>
        <vt:i4>5</vt:i4>
      </vt:variant>
      <vt:variant>
        <vt:lpwstr/>
      </vt:variant>
      <vt:variant>
        <vt:lpwstr>_Toc291850907</vt:lpwstr>
      </vt:variant>
      <vt:variant>
        <vt:i4>1441855</vt:i4>
      </vt:variant>
      <vt:variant>
        <vt:i4>869</vt:i4>
      </vt:variant>
      <vt:variant>
        <vt:i4>0</vt:i4>
      </vt:variant>
      <vt:variant>
        <vt:i4>5</vt:i4>
      </vt:variant>
      <vt:variant>
        <vt:lpwstr/>
      </vt:variant>
      <vt:variant>
        <vt:lpwstr>_Toc291850906</vt:lpwstr>
      </vt:variant>
      <vt:variant>
        <vt:i4>1441855</vt:i4>
      </vt:variant>
      <vt:variant>
        <vt:i4>863</vt:i4>
      </vt:variant>
      <vt:variant>
        <vt:i4>0</vt:i4>
      </vt:variant>
      <vt:variant>
        <vt:i4>5</vt:i4>
      </vt:variant>
      <vt:variant>
        <vt:lpwstr/>
      </vt:variant>
      <vt:variant>
        <vt:lpwstr>_Toc291850905</vt:lpwstr>
      </vt:variant>
      <vt:variant>
        <vt:i4>1441855</vt:i4>
      </vt:variant>
      <vt:variant>
        <vt:i4>857</vt:i4>
      </vt:variant>
      <vt:variant>
        <vt:i4>0</vt:i4>
      </vt:variant>
      <vt:variant>
        <vt:i4>5</vt:i4>
      </vt:variant>
      <vt:variant>
        <vt:lpwstr/>
      </vt:variant>
      <vt:variant>
        <vt:lpwstr>_Toc291850904</vt:lpwstr>
      </vt:variant>
      <vt:variant>
        <vt:i4>1441855</vt:i4>
      </vt:variant>
      <vt:variant>
        <vt:i4>851</vt:i4>
      </vt:variant>
      <vt:variant>
        <vt:i4>0</vt:i4>
      </vt:variant>
      <vt:variant>
        <vt:i4>5</vt:i4>
      </vt:variant>
      <vt:variant>
        <vt:lpwstr/>
      </vt:variant>
      <vt:variant>
        <vt:lpwstr>_Toc291850903</vt:lpwstr>
      </vt:variant>
      <vt:variant>
        <vt:i4>1441855</vt:i4>
      </vt:variant>
      <vt:variant>
        <vt:i4>845</vt:i4>
      </vt:variant>
      <vt:variant>
        <vt:i4>0</vt:i4>
      </vt:variant>
      <vt:variant>
        <vt:i4>5</vt:i4>
      </vt:variant>
      <vt:variant>
        <vt:lpwstr/>
      </vt:variant>
      <vt:variant>
        <vt:lpwstr>_Toc291850902</vt:lpwstr>
      </vt:variant>
      <vt:variant>
        <vt:i4>1441855</vt:i4>
      </vt:variant>
      <vt:variant>
        <vt:i4>839</vt:i4>
      </vt:variant>
      <vt:variant>
        <vt:i4>0</vt:i4>
      </vt:variant>
      <vt:variant>
        <vt:i4>5</vt:i4>
      </vt:variant>
      <vt:variant>
        <vt:lpwstr/>
      </vt:variant>
      <vt:variant>
        <vt:lpwstr>_Toc291850901</vt:lpwstr>
      </vt:variant>
      <vt:variant>
        <vt:i4>1441855</vt:i4>
      </vt:variant>
      <vt:variant>
        <vt:i4>833</vt:i4>
      </vt:variant>
      <vt:variant>
        <vt:i4>0</vt:i4>
      </vt:variant>
      <vt:variant>
        <vt:i4>5</vt:i4>
      </vt:variant>
      <vt:variant>
        <vt:lpwstr/>
      </vt:variant>
      <vt:variant>
        <vt:lpwstr>_Toc291850900</vt:lpwstr>
      </vt:variant>
      <vt:variant>
        <vt:i4>2031678</vt:i4>
      </vt:variant>
      <vt:variant>
        <vt:i4>827</vt:i4>
      </vt:variant>
      <vt:variant>
        <vt:i4>0</vt:i4>
      </vt:variant>
      <vt:variant>
        <vt:i4>5</vt:i4>
      </vt:variant>
      <vt:variant>
        <vt:lpwstr/>
      </vt:variant>
      <vt:variant>
        <vt:lpwstr>_Toc291850899</vt:lpwstr>
      </vt:variant>
      <vt:variant>
        <vt:i4>2031678</vt:i4>
      </vt:variant>
      <vt:variant>
        <vt:i4>821</vt:i4>
      </vt:variant>
      <vt:variant>
        <vt:i4>0</vt:i4>
      </vt:variant>
      <vt:variant>
        <vt:i4>5</vt:i4>
      </vt:variant>
      <vt:variant>
        <vt:lpwstr/>
      </vt:variant>
      <vt:variant>
        <vt:lpwstr>_Toc291850898</vt:lpwstr>
      </vt:variant>
      <vt:variant>
        <vt:i4>2031678</vt:i4>
      </vt:variant>
      <vt:variant>
        <vt:i4>815</vt:i4>
      </vt:variant>
      <vt:variant>
        <vt:i4>0</vt:i4>
      </vt:variant>
      <vt:variant>
        <vt:i4>5</vt:i4>
      </vt:variant>
      <vt:variant>
        <vt:lpwstr/>
      </vt:variant>
      <vt:variant>
        <vt:lpwstr>_Toc291850897</vt:lpwstr>
      </vt:variant>
      <vt:variant>
        <vt:i4>2031678</vt:i4>
      </vt:variant>
      <vt:variant>
        <vt:i4>809</vt:i4>
      </vt:variant>
      <vt:variant>
        <vt:i4>0</vt:i4>
      </vt:variant>
      <vt:variant>
        <vt:i4>5</vt:i4>
      </vt:variant>
      <vt:variant>
        <vt:lpwstr/>
      </vt:variant>
      <vt:variant>
        <vt:lpwstr>_Toc291850896</vt:lpwstr>
      </vt:variant>
      <vt:variant>
        <vt:i4>2031678</vt:i4>
      </vt:variant>
      <vt:variant>
        <vt:i4>803</vt:i4>
      </vt:variant>
      <vt:variant>
        <vt:i4>0</vt:i4>
      </vt:variant>
      <vt:variant>
        <vt:i4>5</vt:i4>
      </vt:variant>
      <vt:variant>
        <vt:lpwstr/>
      </vt:variant>
      <vt:variant>
        <vt:lpwstr>_Toc291850895</vt:lpwstr>
      </vt:variant>
      <vt:variant>
        <vt:i4>2031678</vt:i4>
      </vt:variant>
      <vt:variant>
        <vt:i4>797</vt:i4>
      </vt:variant>
      <vt:variant>
        <vt:i4>0</vt:i4>
      </vt:variant>
      <vt:variant>
        <vt:i4>5</vt:i4>
      </vt:variant>
      <vt:variant>
        <vt:lpwstr/>
      </vt:variant>
      <vt:variant>
        <vt:lpwstr>_Toc291850894</vt:lpwstr>
      </vt:variant>
      <vt:variant>
        <vt:i4>2031678</vt:i4>
      </vt:variant>
      <vt:variant>
        <vt:i4>791</vt:i4>
      </vt:variant>
      <vt:variant>
        <vt:i4>0</vt:i4>
      </vt:variant>
      <vt:variant>
        <vt:i4>5</vt:i4>
      </vt:variant>
      <vt:variant>
        <vt:lpwstr/>
      </vt:variant>
      <vt:variant>
        <vt:lpwstr>_Toc291850893</vt:lpwstr>
      </vt:variant>
      <vt:variant>
        <vt:i4>2031678</vt:i4>
      </vt:variant>
      <vt:variant>
        <vt:i4>785</vt:i4>
      </vt:variant>
      <vt:variant>
        <vt:i4>0</vt:i4>
      </vt:variant>
      <vt:variant>
        <vt:i4>5</vt:i4>
      </vt:variant>
      <vt:variant>
        <vt:lpwstr/>
      </vt:variant>
      <vt:variant>
        <vt:lpwstr>_Toc291850892</vt:lpwstr>
      </vt:variant>
      <vt:variant>
        <vt:i4>2031678</vt:i4>
      </vt:variant>
      <vt:variant>
        <vt:i4>779</vt:i4>
      </vt:variant>
      <vt:variant>
        <vt:i4>0</vt:i4>
      </vt:variant>
      <vt:variant>
        <vt:i4>5</vt:i4>
      </vt:variant>
      <vt:variant>
        <vt:lpwstr/>
      </vt:variant>
      <vt:variant>
        <vt:lpwstr>_Toc291850891</vt:lpwstr>
      </vt:variant>
      <vt:variant>
        <vt:i4>2031678</vt:i4>
      </vt:variant>
      <vt:variant>
        <vt:i4>773</vt:i4>
      </vt:variant>
      <vt:variant>
        <vt:i4>0</vt:i4>
      </vt:variant>
      <vt:variant>
        <vt:i4>5</vt:i4>
      </vt:variant>
      <vt:variant>
        <vt:lpwstr/>
      </vt:variant>
      <vt:variant>
        <vt:lpwstr>_Toc291850890</vt:lpwstr>
      </vt:variant>
      <vt:variant>
        <vt:i4>1966142</vt:i4>
      </vt:variant>
      <vt:variant>
        <vt:i4>767</vt:i4>
      </vt:variant>
      <vt:variant>
        <vt:i4>0</vt:i4>
      </vt:variant>
      <vt:variant>
        <vt:i4>5</vt:i4>
      </vt:variant>
      <vt:variant>
        <vt:lpwstr/>
      </vt:variant>
      <vt:variant>
        <vt:lpwstr>_Toc291850889</vt:lpwstr>
      </vt:variant>
      <vt:variant>
        <vt:i4>1966142</vt:i4>
      </vt:variant>
      <vt:variant>
        <vt:i4>761</vt:i4>
      </vt:variant>
      <vt:variant>
        <vt:i4>0</vt:i4>
      </vt:variant>
      <vt:variant>
        <vt:i4>5</vt:i4>
      </vt:variant>
      <vt:variant>
        <vt:lpwstr/>
      </vt:variant>
      <vt:variant>
        <vt:lpwstr>_Toc291850888</vt:lpwstr>
      </vt:variant>
      <vt:variant>
        <vt:i4>1966142</vt:i4>
      </vt:variant>
      <vt:variant>
        <vt:i4>755</vt:i4>
      </vt:variant>
      <vt:variant>
        <vt:i4>0</vt:i4>
      </vt:variant>
      <vt:variant>
        <vt:i4>5</vt:i4>
      </vt:variant>
      <vt:variant>
        <vt:lpwstr/>
      </vt:variant>
      <vt:variant>
        <vt:lpwstr>_Toc291850887</vt:lpwstr>
      </vt:variant>
      <vt:variant>
        <vt:i4>1966142</vt:i4>
      </vt:variant>
      <vt:variant>
        <vt:i4>749</vt:i4>
      </vt:variant>
      <vt:variant>
        <vt:i4>0</vt:i4>
      </vt:variant>
      <vt:variant>
        <vt:i4>5</vt:i4>
      </vt:variant>
      <vt:variant>
        <vt:lpwstr/>
      </vt:variant>
      <vt:variant>
        <vt:lpwstr>_Toc291850886</vt:lpwstr>
      </vt:variant>
      <vt:variant>
        <vt:i4>1966142</vt:i4>
      </vt:variant>
      <vt:variant>
        <vt:i4>743</vt:i4>
      </vt:variant>
      <vt:variant>
        <vt:i4>0</vt:i4>
      </vt:variant>
      <vt:variant>
        <vt:i4>5</vt:i4>
      </vt:variant>
      <vt:variant>
        <vt:lpwstr/>
      </vt:variant>
      <vt:variant>
        <vt:lpwstr>_Toc291850885</vt:lpwstr>
      </vt:variant>
      <vt:variant>
        <vt:i4>1966142</vt:i4>
      </vt:variant>
      <vt:variant>
        <vt:i4>737</vt:i4>
      </vt:variant>
      <vt:variant>
        <vt:i4>0</vt:i4>
      </vt:variant>
      <vt:variant>
        <vt:i4>5</vt:i4>
      </vt:variant>
      <vt:variant>
        <vt:lpwstr/>
      </vt:variant>
      <vt:variant>
        <vt:lpwstr>_Toc291850884</vt:lpwstr>
      </vt:variant>
      <vt:variant>
        <vt:i4>1966142</vt:i4>
      </vt:variant>
      <vt:variant>
        <vt:i4>731</vt:i4>
      </vt:variant>
      <vt:variant>
        <vt:i4>0</vt:i4>
      </vt:variant>
      <vt:variant>
        <vt:i4>5</vt:i4>
      </vt:variant>
      <vt:variant>
        <vt:lpwstr/>
      </vt:variant>
      <vt:variant>
        <vt:lpwstr>_Toc291850883</vt:lpwstr>
      </vt:variant>
      <vt:variant>
        <vt:i4>1966142</vt:i4>
      </vt:variant>
      <vt:variant>
        <vt:i4>725</vt:i4>
      </vt:variant>
      <vt:variant>
        <vt:i4>0</vt:i4>
      </vt:variant>
      <vt:variant>
        <vt:i4>5</vt:i4>
      </vt:variant>
      <vt:variant>
        <vt:lpwstr/>
      </vt:variant>
      <vt:variant>
        <vt:lpwstr>_Toc291850882</vt:lpwstr>
      </vt:variant>
      <vt:variant>
        <vt:i4>1966142</vt:i4>
      </vt:variant>
      <vt:variant>
        <vt:i4>719</vt:i4>
      </vt:variant>
      <vt:variant>
        <vt:i4>0</vt:i4>
      </vt:variant>
      <vt:variant>
        <vt:i4>5</vt:i4>
      </vt:variant>
      <vt:variant>
        <vt:lpwstr/>
      </vt:variant>
      <vt:variant>
        <vt:lpwstr>_Toc291850881</vt:lpwstr>
      </vt:variant>
      <vt:variant>
        <vt:i4>1966142</vt:i4>
      </vt:variant>
      <vt:variant>
        <vt:i4>713</vt:i4>
      </vt:variant>
      <vt:variant>
        <vt:i4>0</vt:i4>
      </vt:variant>
      <vt:variant>
        <vt:i4>5</vt:i4>
      </vt:variant>
      <vt:variant>
        <vt:lpwstr/>
      </vt:variant>
      <vt:variant>
        <vt:lpwstr>_Toc291850880</vt:lpwstr>
      </vt:variant>
      <vt:variant>
        <vt:i4>1114174</vt:i4>
      </vt:variant>
      <vt:variant>
        <vt:i4>707</vt:i4>
      </vt:variant>
      <vt:variant>
        <vt:i4>0</vt:i4>
      </vt:variant>
      <vt:variant>
        <vt:i4>5</vt:i4>
      </vt:variant>
      <vt:variant>
        <vt:lpwstr/>
      </vt:variant>
      <vt:variant>
        <vt:lpwstr>_Toc291850879</vt:lpwstr>
      </vt:variant>
      <vt:variant>
        <vt:i4>1114174</vt:i4>
      </vt:variant>
      <vt:variant>
        <vt:i4>701</vt:i4>
      </vt:variant>
      <vt:variant>
        <vt:i4>0</vt:i4>
      </vt:variant>
      <vt:variant>
        <vt:i4>5</vt:i4>
      </vt:variant>
      <vt:variant>
        <vt:lpwstr/>
      </vt:variant>
      <vt:variant>
        <vt:lpwstr>_Toc291850878</vt:lpwstr>
      </vt:variant>
      <vt:variant>
        <vt:i4>1114174</vt:i4>
      </vt:variant>
      <vt:variant>
        <vt:i4>695</vt:i4>
      </vt:variant>
      <vt:variant>
        <vt:i4>0</vt:i4>
      </vt:variant>
      <vt:variant>
        <vt:i4>5</vt:i4>
      </vt:variant>
      <vt:variant>
        <vt:lpwstr/>
      </vt:variant>
      <vt:variant>
        <vt:lpwstr>_Toc291850877</vt:lpwstr>
      </vt:variant>
      <vt:variant>
        <vt:i4>1114174</vt:i4>
      </vt:variant>
      <vt:variant>
        <vt:i4>689</vt:i4>
      </vt:variant>
      <vt:variant>
        <vt:i4>0</vt:i4>
      </vt:variant>
      <vt:variant>
        <vt:i4>5</vt:i4>
      </vt:variant>
      <vt:variant>
        <vt:lpwstr/>
      </vt:variant>
      <vt:variant>
        <vt:lpwstr>_Toc291850876</vt:lpwstr>
      </vt:variant>
      <vt:variant>
        <vt:i4>1114174</vt:i4>
      </vt:variant>
      <vt:variant>
        <vt:i4>683</vt:i4>
      </vt:variant>
      <vt:variant>
        <vt:i4>0</vt:i4>
      </vt:variant>
      <vt:variant>
        <vt:i4>5</vt:i4>
      </vt:variant>
      <vt:variant>
        <vt:lpwstr/>
      </vt:variant>
      <vt:variant>
        <vt:lpwstr>_Toc291850875</vt:lpwstr>
      </vt:variant>
      <vt:variant>
        <vt:i4>1114174</vt:i4>
      </vt:variant>
      <vt:variant>
        <vt:i4>677</vt:i4>
      </vt:variant>
      <vt:variant>
        <vt:i4>0</vt:i4>
      </vt:variant>
      <vt:variant>
        <vt:i4>5</vt:i4>
      </vt:variant>
      <vt:variant>
        <vt:lpwstr/>
      </vt:variant>
      <vt:variant>
        <vt:lpwstr>_Toc291850874</vt:lpwstr>
      </vt:variant>
      <vt:variant>
        <vt:i4>1114174</vt:i4>
      </vt:variant>
      <vt:variant>
        <vt:i4>671</vt:i4>
      </vt:variant>
      <vt:variant>
        <vt:i4>0</vt:i4>
      </vt:variant>
      <vt:variant>
        <vt:i4>5</vt:i4>
      </vt:variant>
      <vt:variant>
        <vt:lpwstr/>
      </vt:variant>
      <vt:variant>
        <vt:lpwstr>_Toc291850873</vt:lpwstr>
      </vt:variant>
      <vt:variant>
        <vt:i4>1114174</vt:i4>
      </vt:variant>
      <vt:variant>
        <vt:i4>665</vt:i4>
      </vt:variant>
      <vt:variant>
        <vt:i4>0</vt:i4>
      </vt:variant>
      <vt:variant>
        <vt:i4>5</vt:i4>
      </vt:variant>
      <vt:variant>
        <vt:lpwstr/>
      </vt:variant>
      <vt:variant>
        <vt:lpwstr>_Toc291850872</vt:lpwstr>
      </vt:variant>
      <vt:variant>
        <vt:i4>1114174</vt:i4>
      </vt:variant>
      <vt:variant>
        <vt:i4>659</vt:i4>
      </vt:variant>
      <vt:variant>
        <vt:i4>0</vt:i4>
      </vt:variant>
      <vt:variant>
        <vt:i4>5</vt:i4>
      </vt:variant>
      <vt:variant>
        <vt:lpwstr/>
      </vt:variant>
      <vt:variant>
        <vt:lpwstr>_Toc291850871</vt:lpwstr>
      </vt:variant>
      <vt:variant>
        <vt:i4>1114174</vt:i4>
      </vt:variant>
      <vt:variant>
        <vt:i4>653</vt:i4>
      </vt:variant>
      <vt:variant>
        <vt:i4>0</vt:i4>
      </vt:variant>
      <vt:variant>
        <vt:i4>5</vt:i4>
      </vt:variant>
      <vt:variant>
        <vt:lpwstr/>
      </vt:variant>
      <vt:variant>
        <vt:lpwstr>_Toc291850870</vt:lpwstr>
      </vt:variant>
      <vt:variant>
        <vt:i4>1048638</vt:i4>
      </vt:variant>
      <vt:variant>
        <vt:i4>647</vt:i4>
      </vt:variant>
      <vt:variant>
        <vt:i4>0</vt:i4>
      </vt:variant>
      <vt:variant>
        <vt:i4>5</vt:i4>
      </vt:variant>
      <vt:variant>
        <vt:lpwstr/>
      </vt:variant>
      <vt:variant>
        <vt:lpwstr>_Toc291850869</vt:lpwstr>
      </vt:variant>
      <vt:variant>
        <vt:i4>1048638</vt:i4>
      </vt:variant>
      <vt:variant>
        <vt:i4>641</vt:i4>
      </vt:variant>
      <vt:variant>
        <vt:i4>0</vt:i4>
      </vt:variant>
      <vt:variant>
        <vt:i4>5</vt:i4>
      </vt:variant>
      <vt:variant>
        <vt:lpwstr/>
      </vt:variant>
      <vt:variant>
        <vt:lpwstr>_Toc291850868</vt:lpwstr>
      </vt:variant>
      <vt:variant>
        <vt:i4>1048638</vt:i4>
      </vt:variant>
      <vt:variant>
        <vt:i4>635</vt:i4>
      </vt:variant>
      <vt:variant>
        <vt:i4>0</vt:i4>
      </vt:variant>
      <vt:variant>
        <vt:i4>5</vt:i4>
      </vt:variant>
      <vt:variant>
        <vt:lpwstr/>
      </vt:variant>
      <vt:variant>
        <vt:lpwstr>_Toc291850867</vt:lpwstr>
      </vt:variant>
      <vt:variant>
        <vt:i4>1048638</vt:i4>
      </vt:variant>
      <vt:variant>
        <vt:i4>629</vt:i4>
      </vt:variant>
      <vt:variant>
        <vt:i4>0</vt:i4>
      </vt:variant>
      <vt:variant>
        <vt:i4>5</vt:i4>
      </vt:variant>
      <vt:variant>
        <vt:lpwstr/>
      </vt:variant>
      <vt:variant>
        <vt:lpwstr>_Toc291850866</vt:lpwstr>
      </vt:variant>
      <vt:variant>
        <vt:i4>1048638</vt:i4>
      </vt:variant>
      <vt:variant>
        <vt:i4>623</vt:i4>
      </vt:variant>
      <vt:variant>
        <vt:i4>0</vt:i4>
      </vt:variant>
      <vt:variant>
        <vt:i4>5</vt:i4>
      </vt:variant>
      <vt:variant>
        <vt:lpwstr/>
      </vt:variant>
      <vt:variant>
        <vt:lpwstr>_Toc291850865</vt:lpwstr>
      </vt:variant>
      <vt:variant>
        <vt:i4>1048638</vt:i4>
      </vt:variant>
      <vt:variant>
        <vt:i4>617</vt:i4>
      </vt:variant>
      <vt:variant>
        <vt:i4>0</vt:i4>
      </vt:variant>
      <vt:variant>
        <vt:i4>5</vt:i4>
      </vt:variant>
      <vt:variant>
        <vt:lpwstr/>
      </vt:variant>
      <vt:variant>
        <vt:lpwstr>_Toc291850864</vt:lpwstr>
      </vt:variant>
      <vt:variant>
        <vt:i4>1048638</vt:i4>
      </vt:variant>
      <vt:variant>
        <vt:i4>611</vt:i4>
      </vt:variant>
      <vt:variant>
        <vt:i4>0</vt:i4>
      </vt:variant>
      <vt:variant>
        <vt:i4>5</vt:i4>
      </vt:variant>
      <vt:variant>
        <vt:lpwstr/>
      </vt:variant>
      <vt:variant>
        <vt:lpwstr>_Toc291850863</vt:lpwstr>
      </vt:variant>
      <vt:variant>
        <vt:i4>1048638</vt:i4>
      </vt:variant>
      <vt:variant>
        <vt:i4>605</vt:i4>
      </vt:variant>
      <vt:variant>
        <vt:i4>0</vt:i4>
      </vt:variant>
      <vt:variant>
        <vt:i4>5</vt:i4>
      </vt:variant>
      <vt:variant>
        <vt:lpwstr/>
      </vt:variant>
      <vt:variant>
        <vt:lpwstr>_Toc291850862</vt:lpwstr>
      </vt:variant>
      <vt:variant>
        <vt:i4>1048638</vt:i4>
      </vt:variant>
      <vt:variant>
        <vt:i4>599</vt:i4>
      </vt:variant>
      <vt:variant>
        <vt:i4>0</vt:i4>
      </vt:variant>
      <vt:variant>
        <vt:i4>5</vt:i4>
      </vt:variant>
      <vt:variant>
        <vt:lpwstr/>
      </vt:variant>
      <vt:variant>
        <vt:lpwstr>_Toc291850861</vt:lpwstr>
      </vt:variant>
      <vt:variant>
        <vt:i4>1048638</vt:i4>
      </vt:variant>
      <vt:variant>
        <vt:i4>593</vt:i4>
      </vt:variant>
      <vt:variant>
        <vt:i4>0</vt:i4>
      </vt:variant>
      <vt:variant>
        <vt:i4>5</vt:i4>
      </vt:variant>
      <vt:variant>
        <vt:lpwstr/>
      </vt:variant>
      <vt:variant>
        <vt:lpwstr>_Toc291850860</vt:lpwstr>
      </vt:variant>
      <vt:variant>
        <vt:i4>1245246</vt:i4>
      </vt:variant>
      <vt:variant>
        <vt:i4>587</vt:i4>
      </vt:variant>
      <vt:variant>
        <vt:i4>0</vt:i4>
      </vt:variant>
      <vt:variant>
        <vt:i4>5</vt:i4>
      </vt:variant>
      <vt:variant>
        <vt:lpwstr/>
      </vt:variant>
      <vt:variant>
        <vt:lpwstr>_Toc291850859</vt:lpwstr>
      </vt:variant>
      <vt:variant>
        <vt:i4>1245246</vt:i4>
      </vt:variant>
      <vt:variant>
        <vt:i4>581</vt:i4>
      </vt:variant>
      <vt:variant>
        <vt:i4>0</vt:i4>
      </vt:variant>
      <vt:variant>
        <vt:i4>5</vt:i4>
      </vt:variant>
      <vt:variant>
        <vt:lpwstr/>
      </vt:variant>
      <vt:variant>
        <vt:lpwstr>_Toc291850858</vt:lpwstr>
      </vt:variant>
      <vt:variant>
        <vt:i4>1245246</vt:i4>
      </vt:variant>
      <vt:variant>
        <vt:i4>575</vt:i4>
      </vt:variant>
      <vt:variant>
        <vt:i4>0</vt:i4>
      </vt:variant>
      <vt:variant>
        <vt:i4>5</vt:i4>
      </vt:variant>
      <vt:variant>
        <vt:lpwstr/>
      </vt:variant>
      <vt:variant>
        <vt:lpwstr>_Toc291850857</vt:lpwstr>
      </vt:variant>
      <vt:variant>
        <vt:i4>1245246</vt:i4>
      </vt:variant>
      <vt:variant>
        <vt:i4>569</vt:i4>
      </vt:variant>
      <vt:variant>
        <vt:i4>0</vt:i4>
      </vt:variant>
      <vt:variant>
        <vt:i4>5</vt:i4>
      </vt:variant>
      <vt:variant>
        <vt:lpwstr/>
      </vt:variant>
      <vt:variant>
        <vt:lpwstr>_Toc291850856</vt:lpwstr>
      </vt:variant>
      <vt:variant>
        <vt:i4>1245246</vt:i4>
      </vt:variant>
      <vt:variant>
        <vt:i4>563</vt:i4>
      </vt:variant>
      <vt:variant>
        <vt:i4>0</vt:i4>
      </vt:variant>
      <vt:variant>
        <vt:i4>5</vt:i4>
      </vt:variant>
      <vt:variant>
        <vt:lpwstr/>
      </vt:variant>
      <vt:variant>
        <vt:lpwstr>_Toc291850855</vt:lpwstr>
      </vt:variant>
      <vt:variant>
        <vt:i4>1245246</vt:i4>
      </vt:variant>
      <vt:variant>
        <vt:i4>557</vt:i4>
      </vt:variant>
      <vt:variant>
        <vt:i4>0</vt:i4>
      </vt:variant>
      <vt:variant>
        <vt:i4>5</vt:i4>
      </vt:variant>
      <vt:variant>
        <vt:lpwstr/>
      </vt:variant>
      <vt:variant>
        <vt:lpwstr>_Toc291850854</vt:lpwstr>
      </vt:variant>
      <vt:variant>
        <vt:i4>1245246</vt:i4>
      </vt:variant>
      <vt:variant>
        <vt:i4>551</vt:i4>
      </vt:variant>
      <vt:variant>
        <vt:i4>0</vt:i4>
      </vt:variant>
      <vt:variant>
        <vt:i4>5</vt:i4>
      </vt:variant>
      <vt:variant>
        <vt:lpwstr/>
      </vt:variant>
      <vt:variant>
        <vt:lpwstr>_Toc291850853</vt:lpwstr>
      </vt:variant>
      <vt:variant>
        <vt:i4>1245246</vt:i4>
      </vt:variant>
      <vt:variant>
        <vt:i4>545</vt:i4>
      </vt:variant>
      <vt:variant>
        <vt:i4>0</vt:i4>
      </vt:variant>
      <vt:variant>
        <vt:i4>5</vt:i4>
      </vt:variant>
      <vt:variant>
        <vt:lpwstr/>
      </vt:variant>
      <vt:variant>
        <vt:lpwstr>_Toc291850852</vt:lpwstr>
      </vt:variant>
      <vt:variant>
        <vt:i4>1245246</vt:i4>
      </vt:variant>
      <vt:variant>
        <vt:i4>539</vt:i4>
      </vt:variant>
      <vt:variant>
        <vt:i4>0</vt:i4>
      </vt:variant>
      <vt:variant>
        <vt:i4>5</vt:i4>
      </vt:variant>
      <vt:variant>
        <vt:lpwstr/>
      </vt:variant>
      <vt:variant>
        <vt:lpwstr>_Toc291850851</vt:lpwstr>
      </vt:variant>
      <vt:variant>
        <vt:i4>1245246</vt:i4>
      </vt:variant>
      <vt:variant>
        <vt:i4>533</vt:i4>
      </vt:variant>
      <vt:variant>
        <vt:i4>0</vt:i4>
      </vt:variant>
      <vt:variant>
        <vt:i4>5</vt:i4>
      </vt:variant>
      <vt:variant>
        <vt:lpwstr/>
      </vt:variant>
      <vt:variant>
        <vt:lpwstr>_Toc291850850</vt:lpwstr>
      </vt:variant>
      <vt:variant>
        <vt:i4>1179710</vt:i4>
      </vt:variant>
      <vt:variant>
        <vt:i4>527</vt:i4>
      </vt:variant>
      <vt:variant>
        <vt:i4>0</vt:i4>
      </vt:variant>
      <vt:variant>
        <vt:i4>5</vt:i4>
      </vt:variant>
      <vt:variant>
        <vt:lpwstr/>
      </vt:variant>
      <vt:variant>
        <vt:lpwstr>_Toc291850849</vt:lpwstr>
      </vt:variant>
      <vt:variant>
        <vt:i4>1179710</vt:i4>
      </vt:variant>
      <vt:variant>
        <vt:i4>521</vt:i4>
      </vt:variant>
      <vt:variant>
        <vt:i4>0</vt:i4>
      </vt:variant>
      <vt:variant>
        <vt:i4>5</vt:i4>
      </vt:variant>
      <vt:variant>
        <vt:lpwstr/>
      </vt:variant>
      <vt:variant>
        <vt:lpwstr>_Toc291850848</vt:lpwstr>
      </vt:variant>
      <vt:variant>
        <vt:i4>1179710</vt:i4>
      </vt:variant>
      <vt:variant>
        <vt:i4>515</vt:i4>
      </vt:variant>
      <vt:variant>
        <vt:i4>0</vt:i4>
      </vt:variant>
      <vt:variant>
        <vt:i4>5</vt:i4>
      </vt:variant>
      <vt:variant>
        <vt:lpwstr/>
      </vt:variant>
      <vt:variant>
        <vt:lpwstr>_Toc291850847</vt:lpwstr>
      </vt:variant>
      <vt:variant>
        <vt:i4>1179710</vt:i4>
      </vt:variant>
      <vt:variant>
        <vt:i4>509</vt:i4>
      </vt:variant>
      <vt:variant>
        <vt:i4>0</vt:i4>
      </vt:variant>
      <vt:variant>
        <vt:i4>5</vt:i4>
      </vt:variant>
      <vt:variant>
        <vt:lpwstr/>
      </vt:variant>
      <vt:variant>
        <vt:lpwstr>_Toc291850846</vt:lpwstr>
      </vt:variant>
      <vt:variant>
        <vt:i4>1179710</vt:i4>
      </vt:variant>
      <vt:variant>
        <vt:i4>503</vt:i4>
      </vt:variant>
      <vt:variant>
        <vt:i4>0</vt:i4>
      </vt:variant>
      <vt:variant>
        <vt:i4>5</vt:i4>
      </vt:variant>
      <vt:variant>
        <vt:lpwstr/>
      </vt:variant>
      <vt:variant>
        <vt:lpwstr>_Toc291850845</vt:lpwstr>
      </vt:variant>
      <vt:variant>
        <vt:i4>1179710</vt:i4>
      </vt:variant>
      <vt:variant>
        <vt:i4>497</vt:i4>
      </vt:variant>
      <vt:variant>
        <vt:i4>0</vt:i4>
      </vt:variant>
      <vt:variant>
        <vt:i4>5</vt:i4>
      </vt:variant>
      <vt:variant>
        <vt:lpwstr/>
      </vt:variant>
      <vt:variant>
        <vt:lpwstr>_Toc291850844</vt:lpwstr>
      </vt:variant>
      <vt:variant>
        <vt:i4>1179710</vt:i4>
      </vt:variant>
      <vt:variant>
        <vt:i4>491</vt:i4>
      </vt:variant>
      <vt:variant>
        <vt:i4>0</vt:i4>
      </vt:variant>
      <vt:variant>
        <vt:i4>5</vt:i4>
      </vt:variant>
      <vt:variant>
        <vt:lpwstr/>
      </vt:variant>
      <vt:variant>
        <vt:lpwstr>_Toc291850843</vt:lpwstr>
      </vt:variant>
      <vt:variant>
        <vt:i4>1179710</vt:i4>
      </vt:variant>
      <vt:variant>
        <vt:i4>485</vt:i4>
      </vt:variant>
      <vt:variant>
        <vt:i4>0</vt:i4>
      </vt:variant>
      <vt:variant>
        <vt:i4>5</vt:i4>
      </vt:variant>
      <vt:variant>
        <vt:lpwstr/>
      </vt:variant>
      <vt:variant>
        <vt:lpwstr>_Toc291850842</vt:lpwstr>
      </vt:variant>
      <vt:variant>
        <vt:i4>1179710</vt:i4>
      </vt:variant>
      <vt:variant>
        <vt:i4>479</vt:i4>
      </vt:variant>
      <vt:variant>
        <vt:i4>0</vt:i4>
      </vt:variant>
      <vt:variant>
        <vt:i4>5</vt:i4>
      </vt:variant>
      <vt:variant>
        <vt:lpwstr/>
      </vt:variant>
      <vt:variant>
        <vt:lpwstr>_Toc291850841</vt:lpwstr>
      </vt:variant>
      <vt:variant>
        <vt:i4>1179710</vt:i4>
      </vt:variant>
      <vt:variant>
        <vt:i4>473</vt:i4>
      </vt:variant>
      <vt:variant>
        <vt:i4>0</vt:i4>
      </vt:variant>
      <vt:variant>
        <vt:i4>5</vt:i4>
      </vt:variant>
      <vt:variant>
        <vt:lpwstr/>
      </vt:variant>
      <vt:variant>
        <vt:lpwstr>_Toc291850840</vt:lpwstr>
      </vt:variant>
      <vt:variant>
        <vt:i4>1376318</vt:i4>
      </vt:variant>
      <vt:variant>
        <vt:i4>467</vt:i4>
      </vt:variant>
      <vt:variant>
        <vt:i4>0</vt:i4>
      </vt:variant>
      <vt:variant>
        <vt:i4>5</vt:i4>
      </vt:variant>
      <vt:variant>
        <vt:lpwstr/>
      </vt:variant>
      <vt:variant>
        <vt:lpwstr>_Toc291850839</vt:lpwstr>
      </vt:variant>
      <vt:variant>
        <vt:i4>1376318</vt:i4>
      </vt:variant>
      <vt:variant>
        <vt:i4>461</vt:i4>
      </vt:variant>
      <vt:variant>
        <vt:i4>0</vt:i4>
      </vt:variant>
      <vt:variant>
        <vt:i4>5</vt:i4>
      </vt:variant>
      <vt:variant>
        <vt:lpwstr/>
      </vt:variant>
      <vt:variant>
        <vt:lpwstr>_Toc291850838</vt:lpwstr>
      </vt:variant>
      <vt:variant>
        <vt:i4>1376318</vt:i4>
      </vt:variant>
      <vt:variant>
        <vt:i4>455</vt:i4>
      </vt:variant>
      <vt:variant>
        <vt:i4>0</vt:i4>
      </vt:variant>
      <vt:variant>
        <vt:i4>5</vt:i4>
      </vt:variant>
      <vt:variant>
        <vt:lpwstr/>
      </vt:variant>
      <vt:variant>
        <vt:lpwstr>_Toc291850837</vt:lpwstr>
      </vt:variant>
      <vt:variant>
        <vt:i4>1376318</vt:i4>
      </vt:variant>
      <vt:variant>
        <vt:i4>449</vt:i4>
      </vt:variant>
      <vt:variant>
        <vt:i4>0</vt:i4>
      </vt:variant>
      <vt:variant>
        <vt:i4>5</vt:i4>
      </vt:variant>
      <vt:variant>
        <vt:lpwstr/>
      </vt:variant>
      <vt:variant>
        <vt:lpwstr>_Toc291850836</vt:lpwstr>
      </vt:variant>
      <vt:variant>
        <vt:i4>1376318</vt:i4>
      </vt:variant>
      <vt:variant>
        <vt:i4>443</vt:i4>
      </vt:variant>
      <vt:variant>
        <vt:i4>0</vt:i4>
      </vt:variant>
      <vt:variant>
        <vt:i4>5</vt:i4>
      </vt:variant>
      <vt:variant>
        <vt:lpwstr/>
      </vt:variant>
      <vt:variant>
        <vt:lpwstr>_Toc291850835</vt:lpwstr>
      </vt:variant>
      <vt:variant>
        <vt:i4>1376318</vt:i4>
      </vt:variant>
      <vt:variant>
        <vt:i4>437</vt:i4>
      </vt:variant>
      <vt:variant>
        <vt:i4>0</vt:i4>
      </vt:variant>
      <vt:variant>
        <vt:i4>5</vt:i4>
      </vt:variant>
      <vt:variant>
        <vt:lpwstr/>
      </vt:variant>
      <vt:variant>
        <vt:lpwstr>_Toc291850834</vt:lpwstr>
      </vt:variant>
      <vt:variant>
        <vt:i4>1376318</vt:i4>
      </vt:variant>
      <vt:variant>
        <vt:i4>431</vt:i4>
      </vt:variant>
      <vt:variant>
        <vt:i4>0</vt:i4>
      </vt:variant>
      <vt:variant>
        <vt:i4>5</vt:i4>
      </vt:variant>
      <vt:variant>
        <vt:lpwstr/>
      </vt:variant>
      <vt:variant>
        <vt:lpwstr>_Toc291850833</vt:lpwstr>
      </vt:variant>
      <vt:variant>
        <vt:i4>1376318</vt:i4>
      </vt:variant>
      <vt:variant>
        <vt:i4>425</vt:i4>
      </vt:variant>
      <vt:variant>
        <vt:i4>0</vt:i4>
      </vt:variant>
      <vt:variant>
        <vt:i4>5</vt:i4>
      </vt:variant>
      <vt:variant>
        <vt:lpwstr/>
      </vt:variant>
      <vt:variant>
        <vt:lpwstr>_Toc291850832</vt:lpwstr>
      </vt:variant>
      <vt:variant>
        <vt:i4>1376318</vt:i4>
      </vt:variant>
      <vt:variant>
        <vt:i4>419</vt:i4>
      </vt:variant>
      <vt:variant>
        <vt:i4>0</vt:i4>
      </vt:variant>
      <vt:variant>
        <vt:i4>5</vt:i4>
      </vt:variant>
      <vt:variant>
        <vt:lpwstr/>
      </vt:variant>
      <vt:variant>
        <vt:lpwstr>_Toc291850831</vt:lpwstr>
      </vt:variant>
      <vt:variant>
        <vt:i4>1376318</vt:i4>
      </vt:variant>
      <vt:variant>
        <vt:i4>413</vt:i4>
      </vt:variant>
      <vt:variant>
        <vt:i4>0</vt:i4>
      </vt:variant>
      <vt:variant>
        <vt:i4>5</vt:i4>
      </vt:variant>
      <vt:variant>
        <vt:lpwstr/>
      </vt:variant>
      <vt:variant>
        <vt:lpwstr>_Toc291850830</vt:lpwstr>
      </vt:variant>
      <vt:variant>
        <vt:i4>1310782</vt:i4>
      </vt:variant>
      <vt:variant>
        <vt:i4>407</vt:i4>
      </vt:variant>
      <vt:variant>
        <vt:i4>0</vt:i4>
      </vt:variant>
      <vt:variant>
        <vt:i4>5</vt:i4>
      </vt:variant>
      <vt:variant>
        <vt:lpwstr/>
      </vt:variant>
      <vt:variant>
        <vt:lpwstr>_Toc291850829</vt:lpwstr>
      </vt:variant>
      <vt:variant>
        <vt:i4>1310782</vt:i4>
      </vt:variant>
      <vt:variant>
        <vt:i4>401</vt:i4>
      </vt:variant>
      <vt:variant>
        <vt:i4>0</vt:i4>
      </vt:variant>
      <vt:variant>
        <vt:i4>5</vt:i4>
      </vt:variant>
      <vt:variant>
        <vt:lpwstr/>
      </vt:variant>
      <vt:variant>
        <vt:lpwstr>_Toc291850828</vt:lpwstr>
      </vt:variant>
      <vt:variant>
        <vt:i4>1310782</vt:i4>
      </vt:variant>
      <vt:variant>
        <vt:i4>395</vt:i4>
      </vt:variant>
      <vt:variant>
        <vt:i4>0</vt:i4>
      </vt:variant>
      <vt:variant>
        <vt:i4>5</vt:i4>
      </vt:variant>
      <vt:variant>
        <vt:lpwstr/>
      </vt:variant>
      <vt:variant>
        <vt:lpwstr>_Toc291850827</vt:lpwstr>
      </vt:variant>
      <vt:variant>
        <vt:i4>1310782</vt:i4>
      </vt:variant>
      <vt:variant>
        <vt:i4>389</vt:i4>
      </vt:variant>
      <vt:variant>
        <vt:i4>0</vt:i4>
      </vt:variant>
      <vt:variant>
        <vt:i4>5</vt:i4>
      </vt:variant>
      <vt:variant>
        <vt:lpwstr/>
      </vt:variant>
      <vt:variant>
        <vt:lpwstr>_Toc291850826</vt:lpwstr>
      </vt:variant>
      <vt:variant>
        <vt:i4>1310782</vt:i4>
      </vt:variant>
      <vt:variant>
        <vt:i4>383</vt:i4>
      </vt:variant>
      <vt:variant>
        <vt:i4>0</vt:i4>
      </vt:variant>
      <vt:variant>
        <vt:i4>5</vt:i4>
      </vt:variant>
      <vt:variant>
        <vt:lpwstr/>
      </vt:variant>
      <vt:variant>
        <vt:lpwstr>_Toc291850825</vt:lpwstr>
      </vt:variant>
      <vt:variant>
        <vt:i4>1310782</vt:i4>
      </vt:variant>
      <vt:variant>
        <vt:i4>377</vt:i4>
      </vt:variant>
      <vt:variant>
        <vt:i4>0</vt:i4>
      </vt:variant>
      <vt:variant>
        <vt:i4>5</vt:i4>
      </vt:variant>
      <vt:variant>
        <vt:lpwstr/>
      </vt:variant>
      <vt:variant>
        <vt:lpwstr>_Toc291850824</vt:lpwstr>
      </vt:variant>
      <vt:variant>
        <vt:i4>1310782</vt:i4>
      </vt:variant>
      <vt:variant>
        <vt:i4>371</vt:i4>
      </vt:variant>
      <vt:variant>
        <vt:i4>0</vt:i4>
      </vt:variant>
      <vt:variant>
        <vt:i4>5</vt:i4>
      </vt:variant>
      <vt:variant>
        <vt:lpwstr/>
      </vt:variant>
      <vt:variant>
        <vt:lpwstr>_Toc291850823</vt:lpwstr>
      </vt:variant>
      <vt:variant>
        <vt:i4>1310782</vt:i4>
      </vt:variant>
      <vt:variant>
        <vt:i4>365</vt:i4>
      </vt:variant>
      <vt:variant>
        <vt:i4>0</vt:i4>
      </vt:variant>
      <vt:variant>
        <vt:i4>5</vt:i4>
      </vt:variant>
      <vt:variant>
        <vt:lpwstr/>
      </vt:variant>
      <vt:variant>
        <vt:lpwstr>_Toc291850822</vt:lpwstr>
      </vt:variant>
      <vt:variant>
        <vt:i4>1310782</vt:i4>
      </vt:variant>
      <vt:variant>
        <vt:i4>359</vt:i4>
      </vt:variant>
      <vt:variant>
        <vt:i4>0</vt:i4>
      </vt:variant>
      <vt:variant>
        <vt:i4>5</vt:i4>
      </vt:variant>
      <vt:variant>
        <vt:lpwstr/>
      </vt:variant>
      <vt:variant>
        <vt:lpwstr>_Toc291850821</vt:lpwstr>
      </vt:variant>
      <vt:variant>
        <vt:i4>1310782</vt:i4>
      </vt:variant>
      <vt:variant>
        <vt:i4>353</vt:i4>
      </vt:variant>
      <vt:variant>
        <vt:i4>0</vt:i4>
      </vt:variant>
      <vt:variant>
        <vt:i4>5</vt:i4>
      </vt:variant>
      <vt:variant>
        <vt:lpwstr/>
      </vt:variant>
      <vt:variant>
        <vt:lpwstr>_Toc291850820</vt:lpwstr>
      </vt:variant>
      <vt:variant>
        <vt:i4>1507390</vt:i4>
      </vt:variant>
      <vt:variant>
        <vt:i4>347</vt:i4>
      </vt:variant>
      <vt:variant>
        <vt:i4>0</vt:i4>
      </vt:variant>
      <vt:variant>
        <vt:i4>5</vt:i4>
      </vt:variant>
      <vt:variant>
        <vt:lpwstr/>
      </vt:variant>
      <vt:variant>
        <vt:lpwstr>_Toc291850819</vt:lpwstr>
      </vt:variant>
      <vt:variant>
        <vt:i4>1507390</vt:i4>
      </vt:variant>
      <vt:variant>
        <vt:i4>341</vt:i4>
      </vt:variant>
      <vt:variant>
        <vt:i4>0</vt:i4>
      </vt:variant>
      <vt:variant>
        <vt:i4>5</vt:i4>
      </vt:variant>
      <vt:variant>
        <vt:lpwstr/>
      </vt:variant>
      <vt:variant>
        <vt:lpwstr>_Toc291850818</vt:lpwstr>
      </vt:variant>
      <vt:variant>
        <vt:i4>1507390</vt:i4>
      </vt:variant>
      <vt:variant>
        <vt:i4>335</vt:i4>
      </vt:variant>
      <vt:variant>
        <vt:i4>0</vt:i4>
      </vt:variant>
      <vt:variant>
        <vt:i4>5</vt:i4>
      </vt:variant>
      <vt:variant>
        <vt:lpwstr/>
      </vt:variant>
      <vt:variant>
        <vt:lpwstr>_Toc291850817</vt:lpwstr>
      </vt:variant>
      <vt:variant>
        <vt:i4>1507390</vt:i4>
      </vt:variant>
      <vt:variant>
        <vt:i4>329</vt:i4>
      </vt:variant>
      <vt:variant>
        <vt:i4>0</vt:i4>
      </vt:variant>
      <vt:variant>
        <vt:i4>5</vt:i4>
      </vt:variant>
      <vt:variant>
        <vt:lpwstr/>
      </vt:variant>
      <vt:variant>
        <vt:lpwstr>_Toc291850816</vt:lpwstr>
      </vt:variant>
      <vt:variant>
        <vt:i4>1507390</vt:i4>
      </vt:variant>
      <vt:variant>
        <vt:i4>323</vt:i4>
      </vt:variant>
      <vt:variant>
        <vt:i4>0</vt:i4>
      </vt:variant>
      <vt:variant>
        <vt:i4>5</vt:i4>
      </vt:variant>
      <vt:variant>
        <vt:lpwstr/>
      </vt:variant>
      <vt:variant>
        <vt:lpwstr>_Toc291850815</vt:lpwstr>
      </vt:variant>
      <vt:variant>
        <vt:i4>1507390</vt:i4>
      </vt:variant>
      <vt:variant>
        <vt:i4>317</vt:i4>
      </vt:variant>
      <vt:variant>
        <vt:i4>0</vt:i4>
      </vt:variant>
      <vt:variant>
        <vt:i4>5</vt:i4>
      </vt:variant>
      <vt:variant>
        <vt:lpwstr/>
      </vt:variant>
      <vt:variant>
        <vt:lpwstr>_Toc291850814</vt:lpwstr>
      </vt:variant>
      <vt:variant>
        <vt:i4>1507390</vt:i4>
      </vt:variant>
      <vt:variant>
        <vt:i4>311</vt:i4>
      </vt:variant>
      <vt:variant>
        <vt:i4>0</vt:i4>
      </vt:variant>
      <vt:variant>
        <vt:i4>5</vt:i4>
      </vt:variant>
      <vt:variant>
        <vt:lpwstr/>
      </vt:variant>
      <vt:variant>
        <vt:lpwstr>_Toc291850813</vt:lpwstr>
      </vt:variant>
      <vt:variant>
        <vt:i4>1507390</vt:i4>
      </vt:variant>
      <vt:variant>
        <vt:i4>305</vt:i4>
      </vt:variant>
      <vt:variant>
        <vt:i4>0</vt:i4>
      </vt:variant>
      <vt:variant>
        <vt:i4>5</vt:i4>
      </vt:variant>
      <vt:variant>
        <vt:lpwstr/>
      </vt:variant>
      <vt:variant>
        <vt:lpwstr>_Toc291850812</vt:lpwstr>
      </vt:variant>
      <vt:variant>
        <vt:i4>1507390</vt:i4>
      </vt:variant>
      <vt:variant>
        <vt:i4>299</vt:i4>
      </vt:variant>
      <vt:variant>
        <vt:i4>0</vt:i4>
      </vt:variant>
      <vt:variant>
        <vt:i4>5</vt:i4>
      </vt:variant>
      <vt:variant>
        <vt:lpwstr/>
      </vt:variant>
      <vt:variant>
        <vt:lpwstr>_Toc291850811</vt:lpwstr>
      </vt:variant>
      <vt:variant>
        <vt:i4>1507390</vt:i4>
      </vt:variant>
      <vt:variant>
        <vt:i4>293</vt:i4>
      </vt:variant>
      <vt:variant>
        <vt:i4>0</vt:i4>
      </vt:variant>
      <vt:variant>
        <vt:i4>5</vt:i4>
      </vt:variant>
      <vt:variant>
        <vt:lpwstr/>
      </vt:variant>
      <vt:variant>
        <vt:lpwstr>_Toc291850810</vt:lpwstr>
      </vt:variant>
      <vt:variant>
        <vt:i4>1441854</vt:i4>
      </vt:variant>
      <vt:variant>
        <vt:i4>287</vt:i4>
      </vt:variant>
      <vt:variant>
        <vt:i4>0</vt:i4>
      </vt:variant>
      <vt:variant>
        <vt:i4>5</vt:i4>
      </vt:variant>
      <vt:variant>
        <vt:lpwstr/>
      </vt:variant>
      <vt:variant>
        <vt:lpwstr>_Toc291850809</vt:lpwstr>
      </vt:variant>
      <vt:variant>
        <vt:i4>1441854</vt:i4>
      </vt:variant>
      <vt:variant>
        <vt:i4>281</vt:i4>
      </vt:variant>
      <vt:variant>
        <vt:i4>0</vt:i4>
      </vt:variant>
      <vt:variant>
        <vt:i4>5</vt:i4>
      </vt:variant>
      <vt:variant>
        <vt:lpwstr/>
      </vt:variant>
      <vt:variant>
        <vt:lpwstr>_Toc291850808</vt:lpwstr>
      </vt:variant>
      <vt:variant>
        <vt:i4>1441854</vt:i4>
      </vt:variant>
      <vt:variant>
        <vt:i4>275</vt:i4>
      </vt:variant>
      <vt:variant>
        <vt:i4>0</vt:i4>
      </vt:variant>
      <vt:variant>
        <vt:i4>5</vt:i4>
      </vt:variant>
      <vt:variant>
        <vt:lpwstr/>
      </vt:variant>
      <vt:variant>
        <vt:lpwstr>_Toc291850807</vt:lpwstr>
      </vt:variant>
      <vt:variant>
        <vt:i4>1441854</vt:i4>
      </vt:variant>
      <vt:variant>
        <vt:i4>269</vt:i4>
      </vt:variant>
      <vt:variant>
        <vt:i4>0</vt:i4>
      </vt:variant>
      <vt:variant>
        <vt:i4>5</vt:i4>
      </vt:variant>
      <vt:variant>
        <vt:lpwstr/>
      </vt:variant>
      <vt:variant>
        <vt:lpwstr>_Toc291850806</vt:lpwstr>
      </vt:variant>
      <vt:variant>
        <vt:i4>1441854</vt:i4>
      </vt:variant>
      <vt:variant>
        <vt:i4>263</vt:i4>
      </vt:variant>
      <vt:variant>
        <vt:i4>0</vt:i4>
      </vt:variant>
      <vt:variant>
        <vt:i4>5</vt:i4>
      </vt:variant>
      <vt:variant>
        <vt:lpwstr/>
      </vt:variant>
      <vt:variant>
        <vt:lpwstr>_Toc291850805</vt:lpwstr>
      </vt:variant>
      <vt:variant>
        <vt:i4>1441854</vt:i4>
      </vt:variant>
      <vt:variant>
        <vt:i4>257</vt:i4>
      </vt:variant>
      <vt:variant>
        <vt:i4>0</vt:i4>
      </vt:variant>
      <vt:variant>
        <vt:i4>5</vt:i4>
      </vt:variant>
      <vt:variant>
        <vt:lpwstr/>
      </vt:variant>
      <vt:variant>
        <vt:lpwstr>_Toc291850804</vt:lpwstr>
      </vt:variant>
      <vt:variant>
        <vt:i4>1441854</vt:i4>
      </vt:variant>
      <vt:variant>
        <vt:i4>251</vt:i4>
      </vt:variant>
      <vt:variant>
        <vt:i4>0</vt:i4>
      </vt:variant>
      <vt:variant>
        <vt:i4>5</vt:i4>
      </vt:variant>
      <vt:variant>
        <vt:lpwstr/>
      </vt:variant>
      <vt:variant>
        <vt:lpwstr>_Toc291850803</vt:lpwstr>
      </vt:variant>
      <vt:variant>
        <vt:i4>1441854</vt:i4>
      </vt:variant>
      <vt:variant>
        <vt:i4>245</vt:i4>
      </vt:variant>
      <vt:variant>
        <vt:i4>0</vt:i4>
      </vt:variant>
      <vt:variant>
        <vt:i4>5</vt:i4>
      </vt:variant>
      <vt:variant>
        <vt:lpwstr/>
      </vt:variant>
      <vt:variant>
        <vt:lpwstr>_Toc291850802</vt:lpwstr>
      </vt:variant>
      <vt:variant>
        <vt:i4>1441854</vt:i4>
      </vt:variant>
      <vt:variant>
        <vt:i4>239</vt:i4>
      </vt:variant>
      <vt:variant>
        <vt:i4>0</vt:i4>
      </vt:variant>
      <vt:variant>
        <vt:i4>5</vt:i4>
      </vt:variant>
      <vt:variant>
        <vt:lpwstr/>
      </vt:variant>
      <vt:variant>
        <vt:lpwstr>_Toc291850801</vt:lpwstr>
      </vt:variant>
      <vt:variant>
        <vt:i4>1441854</vt:i4>
      </vt:variant>
      <vt:variant>
        <vt:i4>233</vt:i4>
      </vt:variant>
      <vt:variant>
        <vt:i4>0</vt:i4>
      </vt:variant>
      <vt:variant>
        <vt:i4>5</vt:i4>
      </vt:variant>
      <vt:variant>
        <vt:lpwstr/>
      </vt:variant>
      <vt:variant>
        <vt:lpwstr>_Toc291850800</vt:lpwstr>
      </vt:variant>
      <vt:variant>
        <vt:i4>2031665</vt:i4>
      </vt:variant>
      <vt:variant>
        <vt:i4>227</vt:i4>
      </vt:variant>
      <vt:variant>
        <vt:i4>0</vt:i4>
      </vt:variant>
      <vt:variant>
        <vt:i4>5</vt:i4>
      </vt:variant>
      <vt:variant>
        <vt:lpwstr/>
      </vt:variant>
      <vt:variant>
        <vt:lpwstr>_Toc291850799</vt:lpwstr>
      </vt:variant>
      <vt:variant>
        <vt:i4>2031665</vt:i4>
      </vt:variant>
      <vt:variant>
        <vt:i4>221</vt:i4>
      </vt:variant>
      <vt:variant>
        <vt:i4>0</vt:i4>
      </vt:variant>
      <vt:variant>
        <vt:i4>5</vt:i4>
      </vt:variant>
      <vt:variant>
        <vt:lpwstr/>
      </vt:variant>
      <vt:variant>
        <vt:lpwstr>_Toc291850798</vt:lpwstr>
      </vt:variant>
      <vt:variant>
        <vt:i4>2031665</vt:i4>
      </vt:variant>
      <vt:variant>
        <vt:i4>215</vt:i4>
      </vt:variant>
      <vt:variant>
        <vt:i4>0</vt:i4>
      </vt:variant>
      <vt:variant>
        <vt:i4>5</vt:i4>
      </vt:variant>
      <vt:variant>
        <vt:lpwstr/>
      </vt:variant>
      <vt:variant>
        <vt:lpwstr>_Toc291850797</vt:lpwstr>
      </vt:variant>
      <vt:variant>
        <vt:i4>2031665</vt:i4>
      </vt:variant>
      <vt:variant>
        <vt:i4>209</vt:i4>
      </vt:variant>
      <vt:variant>
        <vt:i4>0</vt:i4>
      </vt:variant>
      <vt:variant>
        <vt:i4>5</vt:i4>
      </vt:variant>
      <vt:variant>
        <vt:lpwstr/>
      </vt:variant>
      <vt:variant>
        <vt:lpwstr>_Toc291850796</vt:lpwstr>
      </vt:variant>
      <vt:variant>
        <vt:i4>2031665</vt:i4>
      </vt:variant>
      <vt:variant>
        <vt:i4>203</vt:i4>
      </vt:variant>
      <vt:variant>
        <vt:i4>0</vt:i4>
      </vt:variant>
      <vt:variant>
        <vt:i4>5</vt:i4>
      </vt:variant>
      <vt:variant>
        <vt:lpwstr/>
      </vt:variant>
      <vt:variant>
        <vt:lpwstr>_Toc291850795</vt:lpwstr>
      </vt:variant>
      <vt:variant>
        <vt:i4>2031665</vt:i4>
      </vt:variant>
      <vt:variant>
        <vt:i4>197</vt:i4>
      </vt:variant>
      <vt:variant>
        <vt:i4>0</vt:i4>
      </vt:variant>
      <vt:variant>
        <vt:i4>5</vt:i4>
      </vt:variant>
      <vt:variant>
        <vt:lpwstr/>
      </vt:variant>
      <vt:variant>
        <vt:lpwstr>_Toc291850794</vt:lpwstr>
      </vt:variant>
      <vt:variant>
        <vt:i4>2031665</vt:i4>
      </vt:variant>
      <vt:variant>
        <vt:i4>191</vt:i4>
      </vt:variant>
      <vt:variant>
        <vt:i4>0</vt:i4>
      </vt:variant>
      <vt:variant>
        <vt:i4>5</vt:i4>
      </vt:variant>
      <vt:variant>
        <vt:lpwstr/>
      </vt:variant>
      <vt:variant>
        <vt:lpwstr>_Toc291850793</vt:lpwstr>
      </vt:variant>
      <vt:variant>
        <vt:i4>2031665</vt:i4>
      </vt:variant>
      <vt:variant>
        <vt:i4>185</vt:i4>
      </vt:variant>
      <vt:variant>
        <vt:i4>0</vt:i4>
      </vt:variant>
      <vt:variant>
        <vt:i4>5</vt:i4>
      </vt:variant>
      <vt:variant>
        <vt:lpwstr/>
      </vt:variant>
      <vt:variant>
        <vt:lpwstr>_Toc291850792</vt:lpwstr>
      </vt:variant>
      <vt:variant>
        <vt:i4>2031665</vt:i4>
      </vt:variant>
      <vt:variant>
        <vt:i4>179</vt:i4>
      </vt:variant>
      <vt:variant>
        <vt:i4>0</vt:i4>
      </vt:variant>
      <vt:variant>
        <vt:i4>5</vt:i4>
      </vt:variant>
      <vt:variant>
        <vt:lpwstr/>
      </vt:variant>
      <vt:variant>
        <vt:lpwstr>_Toc291850791</vt:lpwstr>
      </vt:variant>
      <vt:variant>
        <vt:i4>2031665</vt:i4>
      </vt:variant>
      <vt:variant>
        <vt:i4>173</vt:i4>
      </vt:variant>
      <vt:variant>
        <vt:i4>0</vt:i4>
      </vt:variant>
      <vt:variant>
        <vt:i4>5</vt:i4>
      </vt:variant>
      <vt:variant>
        <vt:lpwstr/>
      </vt:variant>
      <vt:variant>
        <vt:lpwstr>_Toc291850790</vt:lpwstr>
      </vt:variant>
      <vt:variant>
        <vt:i4>1966129</vt:i4>
      </vt:variant>
      <vt:variant>
        <vt:i4>167</vt:i4>
      </vt:variant>
      <vt:variant>
        <vt:i4>0</vt:i4>
      </vt:variant>
      <vt:variant>
        <vt:i4>5</vt:i4>
      </vt:variant>
      <vt:variant>
        <vt:lpwstr/>
      </vt:variant>
      <vt:variant>
        <vt:lpwstr>_Toc291850789</vt:lpwstr>
      </vt:variant>
      <vt:variant>
        <vt:i4>1966129</vt:i4>
      </vt:variant>
      <vt:variant>
        <vt:i4>161</vt:i4>
      </vt:variant>
      <vt:variant>
        <vt:i4>0</vt:i4>
      </vt:variant>
      <vt:variant>
        <vt:i4>5</vt:i4>
      </vt:variant>
      <vt:variant>
        <vt:lpwstr/>
      </vt:variant>
      <vt:variant>
        <vt:lpwstr>_Toc291850788</vt:lpwstr>
      </vt:variant>
      <vt:variant>
        <vt:i4>1966129</vt:i4>
      </vt:variant>
      <vt:variant>
        <vt:i4>155</vt:i4>
      </vt:variant>
      <vt:variant>
        <vt:i4>0</vt:i4>
      </vt:variant>
      <vt:variant>
        <vt:i4>5</vt:i4>
      </vt:variant>
      <vt:variant>
        <vt:lpwstr/>
      </vt:variant>
      <vt:variant>
        <vt:lpwstr>_Toc291850787</vt:lpwstr>
      </vt:variant>
      <vt:variant>
        <vt:i4>1966129</vt:i4>
      </vt:variant>
      <vt:variant>
        <vt:i4>149</vt:i4>
      </vt:variant>
      <vt:variant>
        <vt:i4>0</vt:i4>
      </vt:variant>
      <vt:variant>
        <vt:i4>5</vt:i4>
      </vt:variant>
      <vt:variant>
        <vt:lpwstr/>
      </vt:variant>
      <vt:variant>
        <vt:lpwstr>_Toc291850786</vt:lpwstr>
      </vt:variant>
      <vt:variant>
        <vt:i4>1966129</vt:i4>
      </vt:variant>
      <vt:variant>
        <vt:i4>143</vt:i4>
      </vt:variant>
      <vt:variant>
        <vt:i4>0</vt:i4>
      </vt:variant>
      <vt:variant>
        <vt:i4>5</vt:i4>
      </vt:variant>
      <vt:variant>
        <vt:lpwstr/>
      </vt:variant>
      <vt:variant>
        <vt:lpwstr>_Toc291850785</vt:lpwstr>
      </vt:variant>
      <vt:variant>
        <vt:i4>1966129</vt:i4>
      </vt:variant>
      <vt:variant>
        <vt:i4>137</vt:i4>
      </vt:variant>
      <vt:variant>
        <vt:i4>0</vt:i4>
      </vt:variant>
      <vt:variant>
        <vt:i4>5</vt:i4>
      </vt:variant>
      <vt:variant>
        <vt:lpwstr/>
      </vt:variant>
      <vt:variant>
        <vt:lpwstr>_Toc291850784</vt:lpwstr>
      </vt:variant>
      <vt:variant>
        <vt:i4>1966129</vt:i4>
      </vt:variant>
      <vt:variant>
        <vt:i4>131</vt:i4>
      </vt:variant>
      <vt:variant>
        <vt:i4>0</vt:i4>
      </vt:variant>
      <vt:variant>
        <vt:i4>5</vt:i4>
      </vt:variant>
      <vt:variant>
        <vt:lpwstr/>
      </vt:variant>
      <vt:variant>
        <vt:lpwstr>_Toc291850783</vt:lpwstr>
      </vt:variant>
      <vt:variant>
        <vt:i4>1966129</vt:i4>
      </vt:variant>
      <vt:variant>
        <vt:i4>125</vt:i4>
      </vt:variant>
      <vt:variant>
        <vt:i4>0</vt:i4>
      </vt:variant>
      <vt:variant>
        <vt:i4>5</vt:i4>
      </vt:variant>
      <vt:variant>
        <vt:lpwstr/>
      </vt:variant>
      <vt:variant>
        <vt:lpwstr>_Toc291850782</vt:lpwstr>
      </vt:variant>
      <vt:variant>
        <vt:i4>1966129</vt:i4>
      </vt:variant>
      <vt:variant>
        <vt:i4>119</vt:i4>
      </vt:variant>
      <vt:variant>
        <vt:i4>0</vt:i4>
      </vt:variant>
      <vt:variant>
        <vt:i4>5</vt:i4>
      </vt:variant>
      <vt:variant>
        <vt:lpwstr/>
      </vt:variant>
      <vt:variant>
        <vt:lpwstr>_Toc291850781</vt:lpwstr>
      </vt:variant>
      <vt:variant>
        <vt:i4>1966129</vt:i4>
      </vt:variant>
      <vt:variant>
        <vt:i4>113</vt:i4>
      </vt:variant>
      <vt:variant>
        <vt:i4>0</vt:i4>
      </vt:variant>
      <vt:variant>
        <vt:i4>5</vt:i4>
      </vt:variant>
      <vt:variant>
        <vt:lpwstr/>
      </vt:variant>
      <vt:variant>
        <vt:lpwstr>_Toc291850780</vt:lpwstr>
      </vt:variant>
      <vt:variant>
        <vt:i4>1114161</vt:i4>
      </vt:variant>
      <vt:variant>
        <vt:i4>107</vt:i4>
      </vt:variant>
      <vt:variant>
        <vt:i4>0</vt:i4>
      </vt:variant>
      <vt:variant>
        <vt:i4>5</vt:i4>
      </vt:variant>
      <vt:variant>
        <vt:lpwstr/>
      </vt:variant>
      <vt:variant>
        <vt:lpwstr>_Toc291850779</vt:lpwstr>
      </vt:variant>
      <vt:variant>
        <vt:i4>1114161</vt:i4>
      </vt:variant>
      <vt:variant>
        <vt:i4>101</vt:i4>
      </vt:variant>
      <vt:variant>
        <vt:i4>0</vt:i4>
      </vt:variant>
      <vt:variant>
        <vt:i4>5</vt:i4>
      </vt:variant>
      <vt:variant>
        <vt:lpwstr/>
      </vt:variant>
      <vt:variant>
        <vt:lpwstr>_Toc291850778</vt:lpwstr>
      </vt:variant>
      <vt:variant>
        <vt:i4>1114161</vt:i4>
      </vt:variant>
      <vt:variant>
        <vt:i4>95</vt:i4>
      </vt:variant>
      <vt:variant>
        <vt:i4>0</vt:i4>
      </vt:variant>
      <vt:variant>
        <vt:i4>5</vt:i4>
      </vt:variant>
      <vt:variant>
        <vt:lpwstr/>
      </vt:variant>
      <vt:variant>
        <vt:lpwstr>_Toc291850777</vt:lpwstr>
      </vt:variant>
      <vt:variant>
        <vt:i4>1114161</vt:i4>
      </vt:variant>
      <vt:variant>
        <vt:i4>89</vt:i4>
      </vt:variant>
      <vt:variant>
        <vt:i4>0</vt:i4>
      </vt:variant>
      <vt:variant>
        <vt:i4>5</vt:i4>
      </vt:variant>
      <vt:variant>
        <vt:lpwstr/>
      </vt:variant>
      <vt:variant>
        <vt:lpwstr>_Toc291850776</vt:lpwstr>
      </vt:variant>
      <vt:variant>
        <vt:i4>1114161</vt:i4>
      </vt:variant>
      <vt:variant>
        <vt:i4>83</vt:i4>
      </vt:variant>
      <vt:variant>
        <vt:i4>0</vt:i4>
      </vt:variant>
      <vt:variant>
        <vt:i4>5</vt:i4>
      </vt:variant>
      <vt:variant>
        <vt:lpwstr/>
      </vt:variant>
      <vt:variant>
        <vt:lpwstr>_Toc291850775</vt:lpwstr>
      </vt:variant>
      <vt:variant>
        <vt:i4>1114161</vt:i4>
      </vt:variant>
      <vt:variant>
        <vt:i4>77</vt:i4>
      </vt:variant>
      <vt:variant>
        <vt:i4>0</vt:i4>
      </vt:variant>
      <vt:variant>
        <vt:i4>5</vt:i4>
      </vt:variant>
      <vt:variant>
        <vt:lpwstr/>
      </vt:variant>
      <vt:variant>
        <vt:lpwstr>_Toc291850774</vt:lpwstr>
      </vt:variant>
      <vt:variant>
        <vt:i4>1114161</vt:i4>
      </vt:variant>
      <vt:variant>
        <vt:i4>71</vt:i4>
      </vt:variant>
      <vt:variant>
        <vt:i4>0</vt:i4>
      </vt:variant>
      <vt:variant>
        <vt:i4>5</vt:i4>
      </vt:variant>
      <vt:variant>
        <vt:lpwstr/>
      </vt:variant>
      <vt:variant>
        <vt:lpwstr>_Toc291850773</vt:lpwstr>
      </vt:variant>
      <vt:variant>
        <vt:i4>1114161</vt:i4>
      </vt:variant>
      <vt:variant>
        <vt:i4>65</vt:i4>
      </vt:variant>
      <vt:variant>
        <vt:i4>0</vt:i4>
      </vt:variant>
      <vt:variant>
        <vt:i4>5</vt:i4>
      </vt:variant>
      <vt:variant>
        <vt:lpwstr/>
      </vt:variant>
      <vt:variant>
        <vt:lpwstr>_Toc291850772</vt:lpwstr>
      </vt:variant>
      <vt:variant>
        <vt:i4>1114161</vt:i4>
      </vt:variant>
      <vt:variant>
        <vt:i4>59</vt:i4>
      </vt:variant>
      <vt:variant>
        <vt:i4>0</vt:i4>
      </vt:variant>
      <vt:variant>
        <vt:i4>5</vt:i4>
      </vt:variant>
      <vt:variant>
        <vt:lpwstr/>
      </vt:variant>
      <vt:variant>
        <vt:lpwstr>_Toc291850771</vt:lpwstr>
      </vt:variant>
      <vt:variant>
        <vt:i4>1114161</vt:i4>
      </vt:variant>
      <vt:variant>
        <vt:i4>53</vt:i4>
      </vt:variant>
      <vt:variant>
        <vt:i4>0</vt:i4>
      </vt:variant>
      <vt:variant>
        <vt:i4>5</vt:i4>
      </vt:variant>
      <vt:variant>
        <vt:lpwstr/>
      </vt:variant>
      <vt:variant>
        <vt:lpwstr>_Toc291850770</vt:lpwstr>
      </vt:variant>
      <vt:variant>
        <vt:i4>1048625</vt:i4>
      </vt:variant>
      <vt:variant>
        <vt:i4>47</vt:i4>
      </vt:variant>
      <vt:variant>
        <vt:i4>0</vt:i4>
      </vt:variant>
      <vt:variant>
        <vt:i4>5</vt:i4>
      </vt:variant>
      <vt:variant>
        <vt:lpwstr/>
      </vt:variant>
      <vt:variant>
        <vt:lpwstr>_Toc291850769</vt:lpwstr>
      </vt:variant>
      <vt:variant>
        <vt:i4>1048625</vt:i4>
      </vt:variant>
      <vt:variant>
        <vt:i4>41</vt:i4>
      </vt:variant>
      <vt:variant>
        <vt:i4>0</vt:i4>
      </vt:variant>
      <vt:variant>
        <vt:i4>5</vt:i4>
      </vt:variant>
      <vt:variant>
        <vt:lpwstr/>
      </vt:variant>
      <vt:variant>
        <vt:lpwstr>_Toc291850768</vt:lpwstr>
      </vt:variant>
      <vt:variant>
        <vt:i4>1048625</vt:i4>
      </vt:variant>
      <vt:variant>
        <vt:i4>35</vt:i4>
      </vt:variant>
      <vt:variant>
        <vt:i4>0</vt:i4>
      </vt:variant>
      <vt:variant>
        <vt:i4>5</vt:i4>
      </vt:variant>
      <vt:variant>
        <vt:lpwstr/>
      </vt:variant>
      <vt:variant>
        <vt:lpwstr>_Toc291850767</vt:lpwstr>
      </vt:variant>
      <vt:variant>
        <vt:i4>1048625</vt:i4>
      </vt:variant>
      <vt:variant>
        <vt:i4>29</vt:i4>
      </vt:variant>
      <vt:variant>
        <vt:i4>0</vt:i4>
      </vt:variant>
      <vt:variant>
        <vt:i4>5</vt:i4>
      </vt:variant>
      <vt:variant>
        <vt:lpwstr/>
      </vt:variant>
      <vt:variant>
        <vt:lpwstr>_Toc291850766</vt:lpwstr>
      </vt:variant>
      <vt:variant>
        <vt:i4>1048625</vt:i4>
      </vt:variant>
      <vt:variant>
        <vt:i4>23</vt:i4>
      </vt:variant>
      <vt:variant>
        <vt:i4>0</vt:i4>
      </vt:variant>
      <vt:variant>
        <vt:i4>5</vt:i4>
      </vt:variant>
      <vt:variant>
        <vt:lpwstr/>
      </vt:variant>
      <vt:variant>
        <vt:lpwstr>_Toc291850765</vt:lpwstr>
      </vt:variant>
      <vt:variant>
        <vt:i4>1048625</vt:i4>
      </vt:variant>
      <vt:variant>
        <vt:i4>17</vt:i4>
      </vt:variant>
      <vt:variant>
        <vt:i4>0</vt:i4>
      </vt:variant>
      <vt:variant>
        <vt:i4>5</vt:i4>
      </vt:variant>
      <vt:variant>
        <vt:lpwstr/>
      </vt:variant>
      <vt:variant>
        <vt:lpwstr>_Toc291850764</vt:lpwstr>
      </vt:variant>
      <vt:variant>
        <vt:i4>1048625</vt:i4>
      </vt:variant>
      <vt:variant>
        <vt:i4>11</vt:i4>
      </vt:variant>
      <vt:variant>
        <vt:i4>0</vt:i4>
      </vt:variant>
      <vt:variant>
        <vt:i4>5</vt:i4>
      </vt:variant>
      <vt:variant>
        <vt:lpwstr/>
      </vt:variant>
      <vt:variant>
        <vt:lpwstr>_Toc291850763</vt:lpwstr>
      </vt:variant>
      <vt:variant>
        <vt:i4>1048625</vt:i4>
      </vt:variant>
      <vt:variant>
        <vt:i4>5</vt:i4>
      </vt:variant>
      <vt:variant>
        <vt:i4>0</vt:i4>
      </vt:variant>
      <vt:variant>
        <vt:i4>5</vt:i4>
      </vt:variant>
      <vt:variant>
        <vt:lpwstr/>
      </vt:variant>
      <vt:variant>
        <vt:lpwstr>_Toc291850762</vt:lpwstr>
      </vt:variant>
      <vt:variant>
        <vt:i4>458762</vt:i4>
      </vt:variant>
      <vt:variant>
        <vt:i4>0</vt:i4>
      </vt:variant>
      <vt:variant>
        <vt:i4>0</vt:i4>
      </vt:variant>
      <vt:variant>
        <vt:i4>5</vt:i4>
      </vt:variant>
      <vt:variant>
        <vt:lpwstr>http://xbrl.squarespace.com/</vt:lpwstr>
      </vt:variant>
      <vt:variant>
        <vt:lpwstr/>
      </vt:variant>
      <vt:variant>
        <vt:i4>1572870</vt:i4>
      </vt:variant>
      <vt:variant>
        <vt:i4>0</vt:i4>
      </vt:variant>
      <vt:variant>
        <vt:i4>0</vt:i4>
      </vt:variant>
      <vt:variant>
        <vt:i4>5</vt:i4>
      </vt:variant>
      <vt:variant>
        <vt:lpwstr>http://www.xbrlsite.com/US-GAAP-2011/LogicalModel/SEC-XBRL-Primer-2011-02-15.pdf</vt:lpwstr>
      </vt:variant>
      <vt:variant>
        <vt:lpwstr/>
      </vt:variant>
      <vt:variant>
        <vt:i4>6553702</vt:i4>
      </vt:variant>
      <vt:variant>
        <vt:i4>6</vt:i4>
      </vt:variant>
      <vt:variant>
        <vt:i4>0</vt:i4>
      </vt:variant>
      <vt:variant>
        <vt:i4>5</vt:i4>
      </vt:variant>
      <vt:variant>
        <vt:lpwstr>http://creativecommons.org/licenses/by/3.0/</vt:lpwstr>
      </vt:variant>
      <vt:variant>
        <vt:lpwstr/>
      </vt:variant>
      <vt:variant>
        <vt:i4>6553702</vt:i4>
      </vt:variant>
      <vt:variant>
        <vt:i4>0</vt:i4>
      </vt:variant>
      <vt:variant>
        <vt:i4>0</vt:i4>
      </vt:variant>
      <vt:variant>
        <vt:i4>5</vt:i4>
      </vt:variant>
      <vt:variant>
        <vt:lpwstr>http://creativecommons.org/licenses/by/3.0/</vt:lpwstr>
      </vt:variant>
      <vt:variant>
        <vt:lpwstr/>
      </vt:variant>
      <vt:variant>
        <vt:i4>6553702</vt:i4>
      </vt:variant>
      <vt:variant>
        <vt:i4>220875</vt:i4>
      </vt:variant>
      <vt:variant>
        <vt:i4>1065</vt:i4>
      </vt:variant>
      <vt:variant>
        <vt:i4>4</vt:i4>
      </vt:variant>
      <vt:variant>
        <vt:lpwstr>http://creativecommons.org/licenses/by/3.0/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Reporting Using XBRL</dc:title>
  <dc:creator>Charles Hoffman</dc:creator>
  <cp:lastModifiedBy>Charles Hoffman</cp:lastModifiedBy>
  <cp:revision>12</cp:revision>
  <cp:lastPrinted>2019-03-12T20:27:00Z</cp:lastPrinted>
  <dcterms:created xsi:type="dcterms:W3CDTF">2017-01-04T17:56:00Z</dcterms:created>
  <dcterms:modified xsi:type="dcterms:W3CDTF">2020-06-12T00:51:00Z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