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013D1D" w14:textId="77777777" w:rsidR="003C78C5" w:rsidRDefault="003C78C5" w:rsidP="00D552F0">
      <w:pPr>
        <w:pStyle w:val="Heading1"/>
        <w:rPr>
          <w:lang w:val="en-GB"/>
        </w:rPr>
      </w:pPr>
      <w:bookmarkStart w:id="0" w:name="_Toc469843761"/>
      <w:r>
        <w:rPr>
          <w:lang w:val="en-GB"/>
        </w:rPr>
        <w:t>Analysis of 6,751 XBRL-based Public Company 10-Ks Submitted to SEC</w:t>
      </w:r>
      <w:bookmarkEnd w:id="0"/>
    </w:p>
    <w:p w14:paraId="39651C9F" w14:textId="00B52110" w:rsidR="009F55DB" w:rsidRDefault="009F55DB" w:rsidP="00D552F0">
      <w:pPr>
        <w:pStyle w:val="BodyText"/>
      </w:pPr>
      <w:r>
        <w:t>The purpose of this section is to provide details about XBRL-based digital financial reports that have been created by public companies and submitted to the Securities and Exchange Commission (SEC).</w:t>
      </w:r>
    </w:p>
    <w:p w14:paraId="41926471" w14:textId="261C328A" w:rsidR="003C78C5" w:rsidRDefault="003C78C5" w:rsidP="00D552F0">
      <w:pPr>
        <w:pStyle w:val="BodyText"/>
      </w:pPr>
      <w:r w:rsidRPr="00A2789C">
        <w:t>XBRL-based digital financial reports are made up of many distinct and identifiable pieces.  These pieces are related to other pieces in specific and identifiable ways.</w:t>
      </w:r>
    </w:p>
    <w:p w14:paraId="282413E6" w14:textId="77777777" w:rsidR="003C78C5" w:rsidRPr="00A2789C" w:rsidRDefault="003C78C5" w:rsidP="00D552F0">
      <w:pPr>
        <w:pStyle w:val="Heading2"/>
      </w:pPr>
      <w:bookmarkStart w:id="1" w:name="_Toc418920380"/>
      <w:r w:rsidRPr="00A52C3B">
        <w:t>Analysis of 6,</w:t>
      </w:r>
      <w:r>
        <w:t>751 XBRL-based financial reports</w:t>
      </w:r>
      <w:bookmarkEnd w:id="1"/>
    </w:p>
    <w:p w14:paraId="0B1C3806" w14:textId="7B497132" w:rsidR="003C78C5" w:rsidRPr="00A2789C" w:rsidRDefault="003C78C5" w:rsidP="00D552F0">
      <w:pPr>
        <w:pStyle w:val="BodyText"/>
      </w:pPr>
      <w:r w:rsidRPr="00A2789C">
        <w:t xml:space="preserve">An analysis of 6,751 </w:t>
      </w:r>
      <w:r w:rsidR="009F55DB" w:rsidRPr="00A2789C">
        <w:t>publicly</w:t>
      </w:r>
      <w:r w:rsidRPr="00A2789C">
        <w:t xml:space="preserve"> available XBRL-based financial reports</w:t>
      </w:r>
      <w:r w:rsidRPr="00A2789C">
        <w:rPr>
          <w:vertAlign w:val="superscript"/>
        </w:rPr>
        <w:footnoteReference w:id="1"/>
      </w:r>
      <w:r w:rsidRPr="00A2789C">
        <w:t xml:space="preserve"> provided by public companies to the U.S. Securities and Exchange Commission (SEC) revealed the information which is contained in this document.  The purpose of the analysis was to determine the explicit parts of a digital financial report.  This analysis used mainly commercially available software provided by XBRL Cloud and SECXBRL.info to perform this analysis data.  Information was summarized and reported using Microsoft Access databases and Excel spreadsheets to format information.</w:t>
      </w:r>
    </w:p>
    <w:p w14:paraId="549DED02" w14:textId="77777777" w:rsidR="003C78C5" w:rsidRPr="00A2789C" w:rsidRDefault="003C78C5" w:rsidP="00D552F0">
      <w:pPr>
        <w:pStyle w:val="BodyText"/>
      </w:pPr>
      <w:r w:rsidRPr="00A2789C">
        <w:t>Information in this document generally resulted for direct queries to a relational database, XML files (info sets), or commercially available APIs which contained information about the pieces of these reports.  The results of this analysis should be repeatable by others.</w:t>
      </w:r>
    </w:p>
    <w:p w14:paraId="499A53B9" w14:textId="77777777" w:rsidR="003C78C5" w:rsidRPr="00A2789C" w:rsidRDefault="003C78C5" w:rsidP="00D552F0">
      <w:pPr>
        <w:pStyle w:val="BodyText"/>
      </w:pPr>
      <w:r w:rsidRPr="00A2789C">
        <w:t xml:space="preserve">The document </w:t>
      </w:r>
      <w:r w:rsidRPr="00A2789C">
        <w:rPr>
          <w:i/>
        </w:rPr>
        <w:t>Understanding the Mechanics of an SEC-type XBRL-based Digital Financial Report</w:t>
      </w:r>
      <w:r w:rsidRPr="00A2789C">
        <w:rPr>
          <w:vertAlign w:val="superscript"/>
        </w:rPr>
        <w:footnoteReference w:id="2"/>
      </w:r>
      <w:r w:rsidRPr="00A2789C">
        <w:t xml:space="preserve"> summarizes and explains the pieces of an SEC-type XBRL-based digital financial report and how they relate to one another.</w:t>
      </w:r>
    </w:p>
    <w:p w14:paraId="408AAC8F" w14:textId="77777777" w:rsidR="003C78C5" w:rsidRPr="00A2789C" w:rsidRDefault="003C78C5" w:rsidP="00D552F0">
      <w:pPr>
        <w:pStyle w:val="BodyText"/>
      </w:pPr>
      <w:r w:rsidRPr="00A2789C">
        <w:t xml:space="preserve">The document </w:t>
      </w:r>
      <w:r w:rsidRPr="00A2789C">
        <w:rPr>
          <w:i/>
        </w:rPr>
        <w:t>Terminology of a Financial Report</w:t>
      </w:r>
      <w:r w:rsidRPr="00A2789C">
        <w:rPr>
          <w:vertAlign w:val="superscript"/>
        </w:rPr>
        <w:footnoteReference w:id="3"/>
      </w:r>
      <w:r w:rsidRPr="00A2789C">
        <w:t xml:space="preserve"> is a set of logical axioms which are written in human readable pseudo code and tries to formally articulate these rules in a concise controlled natural language form.  The next step is to covert the pseudo code into finite first-order logic semantics and syntax.</w:t>
      </w:r>
    </w:p>
    <w:p w14:paraId="230AC750" w14:textId="77777777" w:rsidR="003C78C5" w:rsidRDefault="003C78C5" w:rsidP="00D552F0">
      <w:pPr>
        <w:pStyle w:val="BodyText"/>
      </w:pPr>
      <w:r w:rsidRPr="00A2789C">
        <w:t>This information is important because it helps software vendors understand how to implement helpful functionality within software to help business professionals using that software create digital financial reports which are consistent with the description of such a report.</w:t>
      </w:r>
    </w:p>
    <w:p w14:paraId="6F8D07F9" w14:textId="77777777" w:rsidR="003C78C5" w:rsidRPr="00A2789C" w:rsidRDefault="003C78C5" w:rsidP="00D552F0">
      <w:pPr>
        <w:pStyle w:val="Heading2"/>
      </w:pPr>
      <w:bookmarkStart w:id="2" w:name="_Toc418920381"/>
      <w:r>
        <w:lastRenderedPageBreak/>
        <w:t>Evaluation against minimum criteria</w:t>
      </w:r>
      <w:bookmarkEnd w:id="2"/>
    </w:p>
    <w:p w14:paraId="1077D957" w14:textId="77777777" w:rsidR="003C78C5" w:rsidRPr="00A2789C" w:rsidRDefault="003C78C5" w:rsidP="00D552F0">
      <w:pPr>
        <w:pStyle w:val="BodyText"/>
      </w:pPr>
      <w:r w:rsidRPr="00A2789C">
        <w:t>The following table is a summary of the results of this testing for the current year of 2014 with comparison information provided for 2013 and 2012</w:t>
      </w:r>
      <w:r>
        <w:rPr>
          <w:rStyle w:val="FootnoteReference"/>
        </w:rPr>
        <w:footnoteReference w:id="4"/>
      </w:r>
      <w:r w:rsidRPr="00A2789C">
        <w:t>.</w:t>
      </w:r>
    </w:p>
    <w:tbl>
      <w:tblPr>
        <w:tblStyle w:val="TableGrid"/>
        <w:tblW w:w="0" w:type="auto"/>
        <w:tblLook w:val="04A0" w:firstRow="1" w:lastRow="0" w:firstColumn="1" w:lastColumn="0" w:noHBand="0" w:noVBand="1"/>
      </w:tblPr>
      <w:tblGrid>
        <w:gridCol w:w="5833"/>
        <w:gridCol w:w="1063"/>
        <w:gridCol w:w="1063"/>
        <w:gridCol w:w="897"/>
      </w:tblGrid>
      <w:tr w:rsidR="003C78C5" w:rsidRPr="00A2789C" w14:paraId="131E525D" w14:textId="77777777" w:rsidTr="00984985">
        <w:tc>
          <w:tcPr>
            <w:tcW w:w="6228" w:type="dxa"/>
          </w:tcPr>
          <w:p w14:paraId="60D99813" w14:textId="77777777" w:rsidR="003C78C5" w:rsidRPr="00A2789C" w:rsidRDefault="003C78C5" w:rsidP="00984985">
            <w:pPr>
              <w:pStyle w:val="BodyText"/>
              <w:rPr>
                <w:b/>
              </w:rPr>
            </w:pPr>
            <w:r w:rsidRPr="00A2789C">
              <w:rPr>
                <w:b/>
              </w:rPr>
              <w:t>Minimum Processing Steps Measure</w:t>
            </w:r>
          </w:p>
        </w:tc>
        <w:tc>
          <w:tcPr>
            <w:tcW w:w="1080" w:type="dxa"/>
          </w:tcPr>
          <w:p w14:paraId="16ABF6F5" w14:textId="77777777" w:rsidR="003C78C5" w:rsidRPr="00A2789C" w:rsidRDefault="003C78C5" w:rsidP="00984985">
            <w:pPr>
              <w:pStyle w:val="BodyText"/>
              <w:rPr>
                <w:b/>
              </w:rPr>
            </w:pPr>
            <w:r w:rsidRPr="00A2789C">
              <w:rPr>
                <w:b/>
              </w:rPr>
              <w:t>2014</w:t>
            </w:r>
            <w:r w:rsidRPr="00A2789C">
              <w:rPr>
                <w:b/>
                <w:vertAlign w:val="superscript"/>
              </w:rPr>
              <w:footnoteReference w:id="5"/>
            </w:r>
          </w:p>
        </w:tc>
        <w:tc>
          <w:tcPr>
            <w:tcW w:w="1080" w:type="dxa"/>
          </w:tcPr>
          <w:p w14:paraId="5E2DD79D" w14:textId="77777777" w:rsidR="003C78C5" w:rsidRPr="00A2789C" w:rsidRDefault="003C78C5" w:rsidP="00984985">
            <w:pPr>
              <w:pStyle w:val="BodyText"/>
              <w:rPr>
                <w:b/>
              </w:rPr>
            </w:pPr>
            <w:r w:rsidRPr="00A2789C">
              <w:rPr>
                <w:b/>
              </w:rPr>
              <w:t>2013</w:t>
            </w:r>
            <w:r w:rsidRPr="00A2789C">
              <w:rPr>
                <w:vertAlign w:val="superscript"/>
              </w:rPr>
              <w:footnoteReference w:id="6"/>
            </w:r>
          </w:p>
        </w:tc>
        <w:tc>
          <w:tcPr>
            <w:tcW w:w="900" w:type="dxa"/>
          </w:tcPr>
          <w:p w14:paraId="1FB58E3C" w14:textId="77777777" w:rsidR="003C78C5" w:rsidRPr="00A2789C" w:rsidRDefault="003C78C5" w:rsidP="00984985">
            <w:pPr>
              <w:pStyle w:val="BodyText"/>
              <w:rPr>
                <w:b/>
              </w:rPr>
            </w:pPr>
            <w:r w:rsidRPr="00A2789C">
              <w:rPr>
                <w:b/>
              </w:rPr>
              <w:t>2012</w:t>
            </w:r>
            <w:r w:rsidRPr="00A2789C">
              <w:rPr>
                <w:vertAlign w:val="superscript"/>
              </w:rPr>
              <w:footnoteReference w:id="7"/>
            </w:r>
          </w:p>
        </w:tc>
      </w:tr>
      <w:tr w:rsidR="003C78C5" w:rsidRPr="00A2789C" w14:paraId="5F6E06F6" w14:textId="77777777" w:rsidTr="00984985">
        <w:tc>
          <w:tcPr>
            <w:tcW w:w="6228" w:type="dxa"/>
          </w:tcPr>
          <w:p w14:paraId="0D4A86F7" w14:textId="77777777" w:rsidR="003C78C5" w:rsidRPr="00A2789C" w:rsidRDefault="003C78C5" w:rsidP="00984985">
            <w:pPr>
              <w:pStyle w:val="BodyText"/>
            </w:pPr>
            <w:r w:rsidRPr="00A2789C">
              <w:t>Financial reports analyzed (10-Ks for the fiscal year)</w:t>
            </w:r>
          </w:p>
        </w:tc>
        <w:tc>
          <w:tcPr>
            <w:tcW w:w="1080" w:type="dxa"/>
          </w:tcPr>
          <w:p w14:paraId="7F2868A6" w14:textId="77777777" w:rsidR="003C78C5" w:rsidRPr="00A2789C" w:rsidRDefault="003C78C5" w:rsidP="00984985">
            <w:pPr>
              <w:pStyle w:val="BodyText"/>
            </w:pPr>
            <w:r w:rsidRPr="00A2789C">
              <w:t>6,751</w:t>
            </w:r>
          </w:p>
        </w:tc>
        <w:tc>
          <w:tcPr>
            <w:tcW w:w="1080" w:type="dxa"/>
          </w:tcPr>
          <w:p w14:paraId="4C43ADFA" w14:textId="77777777" w:rsidR="003C78C5" w:rsidRPr="00A2789C" w:rsidRDefault="003C78C5" w:rsidP="00984985">
            <w:pPr>
              <w:pStyle w:val="BodyText"/>
            </w:pPr>
            <w:r w:rsidRPr="00A2789C">
              <w:t>6,674</w:t>
            </w:r>
          </w:p>
        </w:tc>
        <w:tc>
          <w:tcPr>
            <w:tcW w:w="900" w:type="dxa"/>
          </w:tcPr>
          <w:p w14:paraId="5B762B75" w14:textId="77777777" w:rsidR="003C78C5" w:rsidRPr="00A2789C" w:rsidRDefault="003C78C5" w:rsidP="00984985">
            <w:pPr>
              <w:pStyle w:val="BodyText"/>
            </w:pPr>
            <w:r w:rsidRPr="00A2789C">
              <w:t>7,160</w:t>
            </w:r>
          </w:p>
        </w:tc>
      </w:tr>
      <w:tr w:rsidR="003C78C5" w:rsidRPr="00A2789C" w14:paraId="76F578EB" w14:textId="77777777" w:rsidTr="00984985">
        <w:tc>
          <w:tcPr>
            <w:tcW w:w="6228" w:type="dxa"/>
          </w:tcPr>
          <w:p w14:paraId="1B0DF4F2" w14:textId="77777777" w:rsidR="003C78C5" w:rsidRPr="00A2789C" w:rsidRDefault="003C78C5" w:rsidP="00984985">
            <w:pPr>
              <w:pStyle w:val="BodyText"/>
            </w:pPr>
            <w:r w:rsidRPr="00A2789C">
              <w:t>Number of “All Stars” (reports consistent with rules)</w:t>
            </w:r>
          </w:p>
        </w:tc>
        <w:tc>
          <w:tcPr>
            <w:tcW w:w="1080" w:type="dxa"/>
          </w:tcPr>
          <w:p w14:paraId="017A98C5" w14:textId="77777777" w:rsidR="003C78C5" w:rsidRPr="00A2789C" w:rsidRDefault="003C78C5" w:rsidP="00984985">
            <w:pPr>
              <w:pStyle w:val="BodyText"/>
            </w:pPr>
            <w:r w:rsidRPr="00A2789C">
              <w:t>3,365</w:t>
            </w:r>
          </w:p>
        </w:tc>
        <w:tc>
          <w:tcPr>
            <w:tcW w:w="1080" w:type="dxa"/>
          </w:tcPr>
          <w:p w14:paraId="57438186" w14:textId="77777777" w:rsidR="003C78C5" w:rsidRPr="00A2789C" w:rsidRDefault="003C78C5" w:rsidP="00984985">
            <w:pPr>
              <w:pStyle w:val="BodyText"/>
            </w:pPr>
            <w:r w:rsidRPr="00A2789C">
              <w:t>1,281</w:t>
            </w:r>
          </w:p>
        </w:tc>
        <w:tc>
          <w:tcPr>
            <w:tcW w:w="900" w:type="dxa"/>
          </w:tcPr>
          <w:p w14:paraId="53CCE837" w14:textId="77777777" w:rsidR="003C78C5" w:rsidRPr="00A2789C" w:rsidRDefault="003C78C5" w:rsidP="00984985">
            <w:pPr>
              <w:pStyle w:val="BodyText"/>
            </w:pPr>
            <w:r w:rsidRPr="00A2789C">
              <w:t>915</w:t>
            </w:r>
          </w:p>
        </w:tc>
      </w:tr>
      <w:tr w:rsidR="003C78C5" w:rsidRPr="00A2789C" w14:paraId="64BDC05A" w14:textId="77777777" w:rsidTr="00984985">
        <w:tc>
          <w:tcPr>
            <w:tcW w:w="6228" w:type="dxa"/>
          </w:tcPr>
          <w:p w14:paraId="422CC1A3" w14:textId="77777777" w:rsidR="003C78C5" w:rsidRPr="00A2789C" w:rsidRDefault="003C78C5" w:rsidP="00984985">
            <w:pPr>
              <w:pStyle w:val="BodyText"/>
            </w:pPr>
            <w:r w:rsidRPr="00A2789C">
              <w:t>Percent of “All Stars” (percent of total which are consistent)</w:t>
            </w:r>
          </w:p>
        </w:tc>
        <w:tc>
          <w:tcPr>
            <w:tcW w:w="1080" w:type="dxa"/>
          </w:tcPr>
          <w:p w14:paraId="4A0D6434" w14:textId="77777777" w:rsidR="003C78C5" w:rsidRPr="00A2789C" w:rsidRDefault="003C78C5" w:rsidP="00984985">
            <w:pPr>
              <w:pStyle w:val="BodyText"/>
            </w:pPr>
            <w:r w:rsidRPr="00A2789C">
              <w:t>50%</w:t>
            </w:r>
          </w:p>
        </w:tc>
        <w:tc>
          <w:tcPr>
            <w:tcW w:w="1080" w:type="dxa"/>
          </w:tcPr>
          <w:p w14:paraId="7EC9FE7F" w14:textId="77777777" w:rsidR="003C78C5" w:rsidRPr="00A2789C" w:rsidRDefault="003C78C5" w:rsidP="00984985">
            <w:pPr>
              <w:pStyle w:val="BodyText"/>
            </w:pPr>
            <w:r w:rsidRPr="00A2789C">
              <w:t>19%</w:t>
            </w:r>
          </w:p>
        </w:tc>
        <w:tc>
          <w:tcPr>
            <w:tcW w:w="900" w:type="dxa"/>
          </w:tcPr>
          <w:p w14:paraId="263545A6" w14:textId="77777777" w:rsidR="003C78C5" w:rsidRPr="00A2789C" w:rsidRDefault="003C78C5" w:rsidP="00984985">
            <w:pPr>
              <w:pStyle w:val="BodyText"/>
            </w:pPr>
            <w:r w:rsidRPr="00A2789C">
              <w:t>13%</w:t>
            </w:r>
          </w:p>
        </w:tc>
      </w:tr>
    </w:tbl>
    <w:p w14:paraId="5E892EBC" w14:textId="77777777" w:rsidR="003C78C5" w:rsidRPr="00A2789C" w:rsidRDefault="003C78C5" w:rsidP="00D552F0">
      <w:pPr>
        <w:pStyle w:val="BodyText"/>
      </w:pPr>
    </w:p>
    <w:p w14:paraId="4FD2CDAB" w14:textId="77777777" w:rsidR="003C78C5" w:rsidRPr="00A2789C" w:rsidRDefault="003C78C5" w:rsidP="00D552F0">
      <w:pPr>
        <w:pStyle w:val="BodyText"/>
      </w:pPr>
      <w:r w:rsidRPr="00A2789C">
        <w:t>The following chart shows the change in the number of “All Stars” (XBRL-based public company financial reports consistent with all of the minimum criteria consistency tests):</w:t>
      </w:r>
    </w:p>
    <w:p w14:paraId="6528FE1F" w14:textId="77777777" w:rsidR="003C78C5" w:rsidRPr="00A2789C" w:rsidRDefault="003C78C5" w:rsidP="00D552F0">
      <w:pPr>
        <w:pStyle w:val="BodyText"/>
      </w:pPr>
      <w:r w:rsidRPr="00A2789C">
        <w:rPr>
          <w:noProof/>
        </w:rPr>
        <w:drawing>
          <wp:inline distT="0" distB="0" distL="0" distR="0" wp14:anchorId="21C0C2D3" wp14:editId="7AFEEA8C">
            <wp:extent cx="5495026" cy="2426970"/>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95329" cy="2427104"/>
                    </a:xfrm>
                    <a:prstGeom prst="rect">
                      <a:avLst/>
                    </a:prstGeom>
                  </pic:spPr>
                </pic:pic>
              </a:graphicData>
            </a:graphic>
          </wp:inline>
        </w:drawing>
      </w:r>
    </w:p>
    <w:p w14:paraId="70A9E5C4" w14:textId="77777777" w:rsidR="003C78C5" w:rsidRPr="00A2789C" w:rsidRDefault="003C78C5" w:rsidP="00D552F0">
      <w:pPr>
        <w:pStyle w:val="BodyText"/>
      </w:pPr>
      <w:r w:rsidRPr="00A2789C">
        <w:t xml:space="preserve">There were two significant differences between testing of 2014 10-K submissions and testing of the prior year 2013 10-K submissions which are worth noting.  The first difference is that commercially available software was used for testing of the current 2014 10-K submissions.  In the prior year, what can best be described as a mixture of commercial software and working prototype software was used for testing. The second difference was the introduction of report frames for evaluating fundamental accounting concept relations consistency.  Report frames or reporting pallets are </w:t>
      </w:r>
      <w:r w:rsidRPr="00A2789C">
        <w:lastRenderedPageBreak/>
        <w:t xml:space="preserve">explained in the document, </w:t>
      </w:r>
      <w:r w:rsidRPr="00A2789C">
        <w:rPr>
          <w:i/>
        </w:rPr>
        <w:t>Summary Information about Conformance with Fundamental Accounting Concept Relations</w:t>
      </w:r>
      <w:r w:rsidRPr="00A2789C">
        <w:rPr>
          <w:vertAlign w:val="superscript"/>
        </w:rPr>
        <w:footnoteReference w:id="8"/>
      </w:r>
      <w:r w:rsidRPr="00A2789C">
        <w:t>.</w:t>
      </w:r>
    </w:p>
    <w:p w14:paraId="40E08FBB" w14:textId="77777777" w:rsidR="003C78C5" w:rsidRPr="00A2789C" w:rsidRDefault="003C78C5" w:rsidP="00D552F0">
      <w:pPr>
        <w:pStyle w:val="BodyText"/>
      </w:pPr>
      <w:r w:rsidRPr="00A2789C">
        <w:t>The following is a summary of the 2014 results for each category of the minimum criteria with comparable information for 2013 and 2012:</w:t>
      </w:r>
    </w:p>
    <w:tbl>
      <w:tblPr>
        <w:tblStyle w:val="TableGrid"/>
        <w:tblW w:w="8640" w:type="dxa"/>
        <w:tblInd w:w="108" w:type="dxa"/>
        <w:tblLook w:val="04A0" w:firstRow="1" w:lastRow="0" w:firstColumn="1" w:lastColumn="0" w:noHBand="0" w:noVBand="1"/>
      </w:tblPr>
      <w:tblGrid>
        <w:gridCol w:w="412"/>
        <w:gridCol w:w="2378"/>
        <w:gridCol w:w="3060"/>
        <w:gridCol w:w="900"/>
        <w:gridCol w:w="990"/>
        <w:gridCol w:w="900"/>
      </w:tblGrid>
      <w:tr w:rsidR="003C78C5" w:rsidRPr="00D64177" w14:paraId="1C0CB844" w14:textId="77777777" w:rsidTr="00984985">
        <w:trPr>
          <w:trHeight w:val="300"/>
        </w:trPr>
        <w:tc>
          <w:tcPr>
            <w:tcW w:w="412" w:type="dxa"/>
            <w:noWrap/>
            <w:hideMark/>
          </w:tcPr>
          <w:p w14:paraId="01F6D8C5" w14:textId="77777777" w:rsidR="003C78C5" w:rsidRPr="00D64177" w:rsidRDefault="003C78C5" w:rsidP="00984985">
            <w:pPr>
              <w:pStyle w:val="BodyText"/>
              <w:rPr>
                <w:b/>
                <w:i/>
                <w:sz w:val="14"/>
              </w:rPr>
            </w:pPr>
            <w:r w:rsidRPr="00D64177">
              <w:rPr>
                <w:b/>
                <w:i/>
                <w:sz w:val="14"/>
              </w:rPr>
              <w:t>#</w:t>
            </w:r>
          </w:p>
        </w:tc>
        <w:tc>
          <w:tcPr>
            <w:tcW w:w="2378" w:type="dxa"/>
            <w:hideMark/>
          </w:tcPr>
          <w:p w14:paraId="75E6BD41" w14:textId="77777777" w:rsidR="003C78C5" w:rsidRPr="00D64177" w:rsidRDefault="003C78C5" w:rsidP="00984985">
            <w:pPr>
              <w:pStyle w:val="BodyText"/>
              <w:jc w:val="left"/>
              <w:rPr>
                <w:b/>
                <w:i/>
                <w:sz w:val="14"/>
              </w:rPr>
            </w:pPr>
            <w:r w:rsidRPr="00D64177">
              <w:rPr>
                <w:b/>
                <w:i/>
                <w:sz w:val="14"/>
              </w:rPr>
              <w:t>Goal or Desired State</w:t>
            </w:r>
          </w:p>
        </w:tc>
        <w:tc>
          <w:tcPr>
            <w:tcW w:w="3060" w:type="dxa"/>
            <w:hideMark/>
          </w:tcPr>
          <w:p w14:paraId="2FF74F97" w14:textId="77777777" w:rsidR="003C78C5" w:rsidRPr="00D64177" w:rsidRDefault="003C78C5" w:rsidP="00984985">
            <w:pPr>
              <w:pStyle w:val="BodyText"/>
              <w:jc w:val="left"/>
              <w:rPr>
                <w:b/>
                <w:i/>
                <w:sz w:val="14"/>
              </w:rPr>
            </w:pPr>
            <w:r w:rsidRPr="00D64177">
              <w:rPr>
                <w:b/>
                <w:i/>
                <w:sz w:val="14"/>
              </w:rPr>
              <w:t>Process tests</w:t>
            </w:r>
          </w:p>
        </w:tc>
        <w:tc>
          <w:tcPr>
            <w:tcW w:w="900" w:type="dxa"/>
            <w:noWrap/>
            <w:hideMark/>
          </w:tcPr>
          <w:p w14:paraId="3DB530B1" w14:textId="77777777" w:rsidR="003C78C5" w:rsidRPr="00D64177" w:rsidRDefault="003C78C5" w:rsidP="00984985">
            <w:pPr>
              <w:pStyle w:val="BodyText"/>
              <w:rPr>
                <w:b/>
                <w:bCs/>
                <w:i/>
                <w:sz w:val="14"/>
              </w:rPr>
            </w:pPr>
            <w:r w:rsidRPr="00D64177">
              <w:rPr>
                <w:b/>
                <w:bCs/>
                <w:i/>
                <w:sz w:val="14"/>
              </w:rPr>
              <w:t>FY 2014</w:t>
            </w:r>
          </w:p>
        </w:tc>
        <w:tc>
          <w:tcPr>
            <w:tcW w:w="990" w:type="dxa"/>
            <w:noWrap/>
            <w:hideMark/>
          </w:tcPr>
          <w:p w14:paraId="6B19D229" w14:textId="77777777" w:rsidR="003C78C5" w:rsidRPr="00D64177" w:rsidRDefault="003C78C5" w:rsidP="00984985">
            <w:pPr>
              <w:pStyle w:val="BodyText"/>
              <w:rPr>
                <w:b/>
                <w:i/>
                <w:sz w:val="14"/>
              </w:rPr>
            </w:pPr>
            <w:r w:rsidRPr="00D64177">
              <w:rPr>
                <w:b/>
                <w:i/>
                <w:sz w:val="14"/>
              </w:rPr>
              <w:t>FY 2013</w:t>
            </w:r>
          </w:p>
        </w:tc>
        <w:tc>
          <w:tcPr>
            <w:tcW w:w="900" w:type="dxa"/>
            <w:noWrap/>
            <w:hideMark/>
          </w:tcPr>
          <w:p w14:paraId="58A06342" w14:textId="77777777" w:rsidR="003C78C5" w:rsidRPr="00D64177" w:rsidRDefault="003C78C5" w:rsidP="00984985">
            <w:pPr>
              <w:pStyle w:val="BodyText"/>
              <w:rPr>
                <w:b/>
                <w:i/>
                <w:sz w:val="14"/>
              </w:rPr>
            </w:pPr>
            <w:r w:rsidRPr="00D64177">
              <w:rPr>
                <w:b/>
                <w:i/>
                <w:sz w:val="14"/>
              </w:rPr>
              <w:t>FY 2012</w:t>
            </w:r>
          </w:p>
        </w:tc>
      </w:tr>
      <w:tr w:rsidR="003C78C5" w:rsidRPr="00D64177" w14:paraId="71189403" w14:textId="77777777" w:rsidTr="00984985">
        <w:trPr>
          <w:trHeight w:val="458"/>
        </w:trPr>
        <w:tc>
          <w:tcPr>
            <w:tcW w:w="412" w:type="dxa"/>
            <w:tcBorders>
              <w:bottom w:val="single" w:sz="4" w:space="0" w:color="auto"/>
            </w:tcBorders>
            <w:hideMark/>
          </w:tcPr>
          <w:p w14:paraId="2F05C1A6" w14:textId="77777777" w:rsidR="003C78C5" w:rsidRPr="00D64177" w:rsidRDefault="003C78C5" w:rsidP="00984985">
            <w:pPr>
              <w:pStyle w:val="BodyText"/>
              <w:rPr>
                <w:sz w:val="14"/>
              </w:rPr>
            </w:pPr>
            <w:r w:rsidRPr="00D64177">
              <w:rPr>
                <w:sz w:val="14"/>
              </w:rPr>
              <w:t>1</w:t>
            </w:r>
          </w:p>
        </w:tc>
        <w:tc>
          <w:tcPr>
            <w:tcW w:w="2378" w:type="dxa"/>
            <w:tcBorders>
              <w:bottom w:val="single" w:sz="4" w:space="0" w:color="auto"/>
            </w:tcBorders>
            <w:hideMark/>
          </w:tcPr>
          <w:p w14:paraId="0AE2D8F2" w14:textId="77777777" w:rsidR="003C78C5" w:rsidRPr="00D64177" w:rsidRDefault="003C78C5" w:rsidP="00984985">
            <w:pPr>
              <w:pStyle w:val="BodyText"/>
              <w:jc w:val="left"/>
              <w:rPr>
                <w:sz w:val="14"/>
              </w:rPr>
            </w:pPr>
            <w:r w:rsidRPr="00D64177">
              <w:rPr>
                <w:b/>
                <w:bCs/>
                <w:sz w:val="14"/>
              </w:rPr>
              <w:t>XBRL</w:t>
            </w:r>
            <w:r w:rsidRPr="00D64177">
              <w:rPr>
                <w:sz w:val="14"/>
              </w:rPr>
              <w:t>: Consistent XBRL technical syntax</w:t>
            </w:r>
          </w:p>
        </w:tc>
        <w:tc>
          <w:tcPr>
            <w:tcW w:w="3060" w:type="dxa"/>
            <w:tcBorders>
              <w:bottom w:val="single" w:sz="4" w:space="0" w:color="auto"/>
            </w:tcBorders>
            <w:hideMark/>
          </w:tcPr>
          <w:p w14:paraId="3BA97503" w14:textId="77777777" w:rsidR="003C78C5" w:rsidRPr="00D64177" w:rsidRDefault="003C78C5" w:rsidP="00984985">
            <w:pPr>
              <w:pStyle w:val="BodyText"/>
              <w:jc w:val="left"/>
              <w:rPr>
                <w:sz w:val="14"/>
              </w:rPr>
            </w:pPr>
            <w:r w:rsidRPr="00D64177">
              <w:rPr>
                <w:sz w:val="14"/>
              </w:rPr>
              <w:t>Automated XBRL technical syntax consistency checks</w:t>
            </w:r>
          </w:p>
        </w:tc>
        <w:tc>
          <w:tcPr>
            <w:tcW w:w="900" w:type="dxa"/>
            <w:tcBorders>
              <w:bottom w:val="single" w:sz="4" w:space="0" w:color="auto"/>
            </w:tcBorders>
            <w:noWrap/>
            <w:hideMark/>
          </w:tcPr>
          <w:p w14:paraId="6EFAB74C" w14:textId="77777777" w:rsidR="003C78C5" w:rsidRPr="00D64177" w:rsidRDefault="003C78C5" w:rsidP="00984985">
            <w:pPr>
              <w:pStyle w:val="BodyText"/>
              <w:rPr>
                <w:b/>
                <w:bCs/>
                <w:sz w:val="14"/>
              </w:rPr>
            </w:pPr>
            <w:r w:rsidRPr="00D64177">
              <w:rPr>
                <w:b/>
                <w:bCs/>
                <w:sz w:val="14"/>
              </w:rPr>
              <w:t>99.9%</w:t>
            </w:r>
          </w:p>
        </w:tc>
        <w:tc>
          <w:tcPr>
            <w:tcW w:w="990" w:type="dxa"/>
            <w:tcBorders>
              <w:bottom w:val="single" w:sz="4" w:space="0" w:color="auto"/>
            </w:tcBorders>
            <w:noWrap/>
            <w:hideMark/>
          </w:tcPr>
          <w:p w14:paraId="2356DC31" w14:textId="77777777" w:rsidR="003C78C5" w:rsidRPr="00D64177" w:rsidRDefault="003C78C5" w:rsidP="00984985">
            <w:pPr>
              <w:pStyle w:val="BodyText"/>
              <w:rPr>
                <w:sz w:val="14"/>
              </w:rPr>
            </w:pPr>
            <w:r w:rsidRPr="00D64177">
              <w:rPr>
                <w:sz w:val="14"/>
              </w:rPr>
              <w:t>99.9%</w:t>
            </w:r>
          </w:p>
        </w:tc>
        <w:tc>
          <w:tcPr>
            <w:tcW w:w="900" w:type="dxa"/>
            <w:tcBorders>
              <w:bottom w:val="single" w:sz="4" w:space="0" w:color="auto"/>
            </w:tcBorders>
            <w:noWrap/>
            <w:hideMark/>
          </w:tcPr>
          <w:p w14:paraId="564A07C2" w14:textId="77777777" w:rsidR="003C78C5" w:rsidRPr="00D64177" w:rsidRDefault="003C78C5" w:rsidP="00984985">
            <w:pPr>
              <w:pStyle w:val="BodyText"/>
              <w:rPr>
                <w:sz w:val="14"/>
              </w:rPr>
            </w:pPr>
            <w:r w:rsidRPr="00D64177">
              <w:rPr>
                <w:sz w:val="14"/>
              </w:rPr>
              <w:t>99.9%</w:t>
            </w:r>
          </w:p>
        </w:tc>
      </w:tr>
      <w:tr w:rsidR="003C78C5" w:rsidRPr="00D64177" w14:paraId="641DEE81" w14:textId="77777777" w:rsidTr="00984985">
        <w:trPr>
          <w:trHeight w:val="449"/>
        </w:trPr>
        <w:tc>
          <w:tcPr>
            <w:tcW w:w="412" w:type="dxa"/>
            <w:shd w:val="pct15" w:color="auto" w:fill="auto"/>
            <w:hideMark/>
          </w:tcPr>
          <w:p w14:paraId="56F31E91" w14:textId="77777777" w:rsidR="003C78C5" w:rsidRPr="00D64177" w:rsidRDefault="003C78C5" w:rsidP="00984985">
            <w:pPr>
              <w:pStyle w:val="BodyText"/>
              <w:rPr>
                <w:sz w:val="14"/>
              </w:rPr>
            </w:pPr>
            <w:r w:rsidRPr="00D64177">
              <w:rPr>
                <w:sz w:val="14"/>
              </w:rPr>
              <w:t>2</w:t>
            </w:r>
          </w:p>
        </w:tc>
        <w:tc>
          <w:tcPr>
            <w:tcW w:w="2378" w:type="dxa"/>
            <w:shd w:val="pct15" w:color="auto" w:fill="auto"/>
            <w:hideMark/>
          </w:tcPr>
          <w:p w14:paraId="47E874AC" w14:textId="77777777" w:rsidR="003C78C5" w:rsidRPr="00D64177" w:rsidRDefault="003C78C5" w:rsidP="00984985">
            <w:pPr>
              <w:pStyle w:val="BodyText"/>
              <w:jc w:val="left"/>
              <w:rPr>
                <w:sz w:val="14"/>
              </w:rPr>
            </w:pPr>
            <w:r w:rsidRPr="00D64177">
              <w:rPr>
                <w:b/>
                <w:bCs/>
                <w:sz w:val="14"/>
              </w:rPr>
              <w:t>EFM</w:t>
            </w:r>
            <w:r w:rsidRPr="00D64177">
              <w:rPr>
                <w:sz w:val="14"/>
              </w:rPr>
              <w:t>: Consistent with EDGAR Filer Manual (EFM) syntax/semantics</w:t>
            </w:r>
          </w:p>
        </w:tc>
        <w:tc>
          <w:tcPr>
            <w:tcW w:w="3060" w:type="dxa"/>
            <w:shd w:val="pct15" w:color="auto" w:fill="auto"/>
            <w:hideMark/>
          </w:tcPr>
          <w:p w14:paraId="3BD0B5B7" w14:textId="77777777" w:rsidR="003C78C5" w:rsidRPr="00D64177" w:rsidRDefault="003C78C5" w:rsidP="00984985">
            <w:pPr>
              <w:pStyle w:val="BodyText"/>
              <w:jc w:val="left"/>
              <w:rPr>
                <w:sz w:val="14"/>
              </w:rPr>
            </w:pPr>
            <w:r w:rsidRPr="00D64177">
              <w:rPr>
                <w:sz w:val="14"/>
              </w:rPr>
              <w:t>Automated EFM syntax and semantics consistency checks</w:t>
            </w:r>
          </w:p>
        </w:tc>
        <w:tc>
          <w:tcPr>
            <w:tcW w:w="900" w:type="dxa"/>
            <w:shd w:val="pct15" w:color="auto" w:fill="auto"/>
            <w:noWrap/>
            <w:hideMark/>
          </w:tcPr>
          <w:p w14:paraId="50D7EF0B" w14:textId="77777777" w:rsidR="003C78C5" w:rsidRPr="00D64177" w:rsidRDefault="003C78C5" w:rsidP="00984985">
            <w:pPr>
              <w:pStyle w:val="BodyText"/>
              <w:rPr>
                <w:b/>
                <w:bCs/>
                <w:sz w:val="14"/>
              </w:rPr>
            </w:pPr>
            <w:r w:rsidRPr="00D64177">
              <w:rPr>
                <w:b/>
                <w:bCs/>
                <w:sz w:val="14"/>
              </w:rPr>
              <w:t>81.9%</w:t>
            </w:r>
          </w:p>
        </w:tc>
        <w:tc>
          <w:tcPr>
            <w:tcW w:w="990" w:type="dxa"/>
            <w:shd w:val="pct15" w:color="auto" w:fill="auto"/>
            <w:noWrap/>
            <w:hideMark/>
          </w:tcPr>
          <w:p w14:paraId="06FA505E" w14:textId="77777777" w:rsidR="003C78C5" w:rsidRPr="00D64177" w:rsidRDefault="003C78C5" w:rsidP="00984985">
            <w:pPr>
              <w:pStyle w:val="BodyText"/>
              <w:rPr>
                <w:sz w:val="14"/>
              </w:rPr>
            </w:pPr>
            <w:r w:rsidRPr="00D64177">
              <w:rPr>
                <w:sz w:val="14"/>
              </w:rPr>
              <w:t>97.9%</w:t>
            </w:r>
          </w:p>
        </w:tc>
        <w:tc>
          <w:tcPr>
            <w:tcW w:w="900" w:type="dxa"/>
            <w:shd w:val="pct15" w:color="auto" w:fill="auto"/>
            <w:noWrap/>
            <w:hideMark/>
          </w:tcPr>
          <w:p w14:paraId="4BE9D1AE" w14:textId="77777777" w:rsidR="003C78C5" w:rsidRPr="00D64177" w:rsidRDefault="003C78C5" w:rsidP="00984985">
            <w:pPr>
              <w:pStyle w:val="BodyText"/>
              <w:rPr>
                <w:sz w:val="14"/>
              </w:rPr>
            </w:pPr>
            <w:r w:rsidRPr="00D64177">
              <w:rPr>
                <w:sz w:val="14"/>
              </w:rPr>
              <w:t>80.5%</w:t>
            </w:r>
          </w:p>
        </w:tc>
      </w:tr>
      <w:tr w:rsidR="003C78C5" w:rsidRPr="00D64177" w14:paraId="57B5DDDE" w14:textId="77777777" w:rsidTr="00984985">
        <w:trPr>
          <w:trHeight w:val="521"/>
        </w:trPr>
        <w:tc>
          <w:tcPr>
            <w:tcW w:w="412" w:type="dxa"/>
            <w:hideMark/>
          </w:tcPr>
          <w:p w14:paraId="6B53B316" w14:textId="77777777" w:rsidR="003C78C5" w:rsidRPr="00D64177" w:rsidRDefault="003C78C5" w:rsidP="00984985">
            <w:pPr>
              <w:pStyle w:val="BodyText"/>
              <w:rPr>
                <w:sz w:val="14"/>
              </w:rPr>
            </w:pPr>
            <w:r w:rsidRPr="00D64177">
              <w:rPr>
                <w:sz w:val="14"/>
              </w:rPr>
              <w:t>3</w:t>
            </w:r>
          </w:p>
        </w:tc>
        <w:tc>
          <w:tcPr>
            <w:tcW w:w="2378" w:type="dxa"/>
            <w:hideMark/>
          </w:tcPr>
          <w:p w14:paraId="050A463C" w14:textId="77777777" w:rsidR="003C78C5" w:rsidRPr="00D64177" w:rsidRDefault="003C78C5" w:rsidP="00984985">
            <w:pPr>
              <w:pStyle w:val="BodyText"/>
              <w:jc w:val="left"/>
              <w:rPr>
                <w:sz w:val="14"/>
              </w:rPr>
            </w:pPr>
            <w:r w:rsidRPr="00D64177">
              <w:rPr>
                <w:b/>
                <w:bCs/>
                <w:sz w:val="14"/>
              </w:rPr>
              <w:t>Report Level Model Structure</w:t>
            </w:r>
            <w:r w:rsidRPr="00D64177">
              <w:rPr>
                <w:sz w:val="14"/>
              </w:rPr>
              <w:t>: Consistent report level structure</w:t>
            </w:r>
          </w:p>
        </w:tc>
        <w:tc>
          <w:tcPr>
            <w:tcW w:w="3060" w:type="dxa"/>
            <w:hideMark/>
          </w:tcPr>
          <w:p w14:paraId="76352D5B" w14:textId="77777777" w:rsidR="003C78C5" w:rsidRPr="00D64177" w:rsidRDefault="003C78C5" w:rsidP="00984985">
            <w:pPr>
              <w:pStyle w:val="BodyText"/>
              <w:jc w:val="left"/>
              <w:rPr>
                <w:sz w:val="14"/>
              </w:rPr>
            </w:pPr>
            <w:r w:rsidRPr="00D64177">
              <w:rPr>
                <w:sz w:val="14"/>
              </w:rPr>
              <w:t>Automated report model structure consistency checks</w:t>
            </w:r>
          </w:p>
        </w:tc>
        <w:tc>
          <w:tcPr>
            <w:tcW w:w="900" w:type="dxa"/>
            <w:noWrap/>
            <w:hideMark/>
          </w:tcPr>
          <w:p w14:paraId="7119F9C9" w14:textId="77777777" w:rsidR="003C78C5" w:rsidRPr="00D64177" w:rsidRDefault="003C78C5" w:rsidP="00984985">
            <w:pPr>
              <w:pStyle w:val="BodyText"/>
              <w:rPr>
                <w:b/>
                <w:bCs/>
                <w:sz w:val="14"/>
              </w:rPr>
            </w:pPr>
            <w:r w:rsidRPr="00D64177">
              <w:rPr>
                <w:b/>
                <w:bCs/>
                <w:sz w:val="14"/>
              </w:rPr>
              <w:t>98.2%</w:t>
            </w:r>
          </w:p>
        </w:tc>
        <w:tc>
          <w:tcPr>
            <w:tcW w:w="990" w:type="dxa"/>
            <w:noWrap/>
            <w:hideMark/>
          </w:tcPr>
          <w:p w14:paraId="0C908C6F" w14:textId="77777777" w:rsidR="003C78C5" w:rsidRPr="00D64177" w:rsidRDefault="003C78C5" w:rsidP="00984985">
            <w:pPr>
              <w:pStyle w:val="BodyText"/>
              <w:rPr>
                <w:sz w:val="14"/>
              </w:rPr>
            </w:pPr>
            <w:r w:rsidRPr="00D64177">
              <w:rPr>
                <w:sz w:val="14"/>
              </w:rPr>
              <w:t>95.8%</w:t>
            </w:r>
          </w:p>
        </w:tc>
        <w:tc>
          <w:tcPr>
            <w:tcW w:w="900" w:type="dxa"/>
            <w:noWrap/>
            <w:hideMark/>
          </w:tcPr>
          <w:p w14:paraId="20682DE8" w14:textId="77777777" w:rsidR="003C78C5" w:rsidRPr="00D64177" w:rsidRDefault="003C78C5" w:rsidP="00984985">
            <w:pPr>
              <w:pStyle w:val="BodyText"/>
              <w:rPr>
                <w:sz w:val="14"/>
              </w:rPr>
            </w:pPr>
            <w:r w:rsidRPr="00D64177">
              <w:rPr>
                <w:sz w:val="14"/>
              </w:rPr>
              <w:t>97.9%</w:t>
            </w:r>
          </w:p>
        </w:tc>
      </w:tr>
      <w:tr w:rsidR="003C78C5" w:rsidRPr="00D64177" w14:paraId="6BB69CF9" w14:textId="77777777" w:rsidTr="00984985">
        <w:trPr>
          <w:trHeight w:val="660"/>
        </w:trPr>
        <w:tc>
          <w:tcPr>
            <w:tcW w:w="412" w:type="dxa"/>
            <w:hideMark/>
          </w:tcPr>
          <w:p w14:paraId="770D7D83" w14:textId="77777777" w:rsidR="003C78C5" w:rsidRPr="00D64177" w:rsidRDefault="003C78C5" w:rsidP="00984985">
            <w:pPr>
              <w:pStyle w:val="BodyText"/>
              <w:rPr>
                <w:sz w:val="14"/>
              </w:rPr>
            </w:pPr>
            <w:r w:rsidRPr="00D64177">
              <w:rPr>
                <w:sz w:val="14"/>
              </w:rPr>
              <w:t>4</w:t>
            </w:r>
          </w:p>
        </w:tc>
        <w:tc>
          <w:tcPr>
            <w:tcW w:w="2378" w:type="dxa"/>
            <w:hideMark/>
          </w:tcPr>
          <w:p w14:paraId="5B95120F" w14:textId="77777777" w:rsidR="003C78C5" w:rsidRPr="00D64177" w:rsidRDefault="003C78C5" w:rsidP="00984985">
            <w:pPr>
              <w:pStyle w:val="BodyText"/>
              <w:jc w:val="left"/>
              <w:rPr>
                <w:sz w:val="14"/>
              </w:rPr>
            </w:pPr>
            <w:r w:rsidRPr="00D64177">
              <w:rPr>
                <w:b/>
                <w:bCs/>
                <w:sz w:val="14"/>
              </w:rPr>
              <w:t>Root Entity</w:t>
            </w:r>
            <w:r w:rsidRPr="00D64177">
              <w:rPr>
                <w:sz w:val="14"/>
              </w:rPr>
              <w:t>: Detectable economic entity or accounting entity or “entity of focus”</w:t>
            </w:r>
          </w:p>
        </w:tc>
        <w:tc>
          <w:tcPr>
            <w:tcW w:w="3060" w:type="dxa"/>
            <w:hideMark/>
          </w:tcPr>
          <w:p w14:paraId="00E2B2E1" w14:textId="77777777" w:rsidR="003C78C5" w:rsidRPr="00D64177" w:rsidRDefault="003C78C5" w:rsidP="00984985">
            <w:pPr>
              <w:pStyle w:val="BodyText"/>
              <w:jc w:val="left"/>
              <w:rPr>
                <w:sz w:val="14"/>
              </w:rPr>
            </w:pPr>
            <w:r w:rsidRPr="00D64177">
              <w:rPr>
                <w:sz w:val="14"/>
              </w:rPr>
              <w:t>Successful and unambiguous identification of the “entity of focus”</w:t>
            </w:r>
          </w:p>
        </w:tc>
        <w:tc>
          <w:tcPr>
            <w:tcW w:w="900" w:type="dxa"/>
            <w:noWrap/>
            <w:hideMark/>
          </w:tcPr>
          <w:p w14:paraId="13F504A8" w14:textId="77777777" w:rsidR="003C78C5" w:rsidRPr="00D64177" w:rsidRDefault="003C78C5" w:rsidP="00984985">
            <w:pPr>
              <w:pStyle w:val="BodyText"/>
              <w:rPr>
                <w:b/>
                <w:bCs/>
                <w:sz w:val="14"/>
              </w:rPr>
            </w:pPr>
            <w:r w:rsidRPr="00D64177">
              <w:rPr>
                <w:b/>
                <w:bCs/>
                <w:sz w:val="14"/>
              </w:rPr>
              <w:t>99.5%</w:t>
            </w:r>
          </w:p>
        </w:tc>
        <w:tc>
          <w:tcPr>
            <w:tcW w:w="990" w:type="dxa"/>
            <w:noWrap/>
            <w:hideMark/>
          </w:tcPr>
          <w:p w14:paraId="39C06D3C" w14:textId="77777777" w:rsidR="003C78C5" w:rsidRPr="00D64177" w:rsidRDefault="003C78C5" w:rsidP="00984985">
            <w:pPr>
              <w:pStyle w:val="BodyText"/>
              <w:rPr>
                <w:sz w:val="14"/>
              </w:rPr>
            </w:pPr>
            <w:r w:rsidRPr="00D64177">
              <w:rPr>
                <w:sz w:val="14"/>
              </w:rPr>
              <w:t>99.2%</w:t>
            </w:r>
          </w:p>
        </w:tc>
        <w:tc>
          <w:tcPr>
            <w:tcW w:w="900" w:type="dxa"/>
            <w:noWrap/>
            <w:hideMark/>
          </w:tcPr>
          <w:p w14:paraId="262B71B9" w14:textId="77777777" w:rsidR="003C78C5" w:rsidRPr="00D64177" w:rsidRDefault="003C78C5" w:rsidP="00984985">
            <w:pPr>
              <w:pStyle w:val="BodyText"/>
              <w:rPr>
                <w:sz w:val="14"/>
              </w:rPr>
            </w:pPr>
            <w:r w:rsidRPr="00D64177">
              <w:rPr>
                <w:sz w:val="14"/>
              </w:rPr>
              <w:t>98.8%</w:t>
            </w:r>
          </w:p>
        </w:tc>
      </w:tr>
      <w:tr w:rsidR="003C78C5" w:rsidRPr="00D64177" w14:paraId="40329386" w14:textId="77777777" w:rsidTr="00984985">
        <w:trPr>
          <w:trHeight w:val="935"/>
        </w:trPr>
        <w:tc>
          <w:tcPr>
            <w:tcW w:w="412" w:type="dxa"/>
            <w:hideMark/>
          </w:tcPr>
          <w:p w14:paraId="57B0E355" w14:textId="77777777" w:rsidR="003C78C5" w:rsidRPr="00D64177" w:rsidRDefault="003C78C5" w:rsidP="00984985">
            <w:pPr>
              <w:pStyle w:val="BodyText"/>
              <w:rPr>
                <w:sz w:val="14"/>
              </w:rPr>
            </w:pPr>
            <w:r w:rsidRPr="00D64177">
              <w:rPr>
                <w:sz w:val="14"/>
              </w:rPr>
              <w:t>5</w:t>
            </w:r>
          </w:p>
        </w:tc>
        <w:tc>
          <w:tcPr>
            <w:tcW w:w="2378" w:type="dxa"/>
            <w:hideMark/>
          </w:tcPr>
          <w:p w14:paraId="380E1CDB" w14:textId="77777777" w:rsidR="003C78C5" w:rsidRPr="00D64177" w:rsidRDefault="003C78C5" w:rsidP="00984985">
            <w:pPr>
              <w:pStyle w:val="BodyText"/>
              <w:jc w:val="left"/>
              <w:rPr>
                <w:sz w:val="14"/>
              </w:rPr>
            </w:pPr>
            <w:r w:rsidRPr="00D64177">
              <w:rPr>
                <w:b/>
                <w:bCs/>
                <w:sz w:val="14"/>
              </w:rPr>
              <w:t>Key Periods</w:t>
            </w:r>
            <w:r w:rsidRPr="00D64177">
              <w:rPr>
                <w:sz w:val="14"/>
              </w:rPr>
              <w:t>: Detectable and unambiguous current period balance sheet and income statement period dates</w:t>
            </w:r>
          </w:p>
        </w:tc>
        <w:tc>
          <w:tcPr>
            <w:tcW w:w="3060" w:type="dxa"/>
            <w:hideMark/>
          </w:tcPr>
          <w:p w14:paraId="1075C365" w14:textId="77777777" w:rsidR="003C78C5" w:rsidRPr="00D64177" w:rsidRDefault="003C78C5" w:rsidP="00984985">
            <w:pPr>
              <w:pStyle w:val="BodyText"/>
              <w:jc w:val="left"/>
              <w:rPr>
                <w:sz w:val="14"/>
              </w:rPr>
            </w:pPr>
            <w:r w:rsidRPr="00D64177">
              <w:rPr>
                <w:sz w:val="14"/>
              </w:rPr>
              <w:t>Successful and unambiguous identification of the current balance sheet date and income statement period</w:t>
            </w:r>
          </w:p>
        </w:tc>
        <w:tc>
          <w:tcPr>
            <w:tcW w:w="900" w:type="dxa"/>
            <w:noWrap/>
            <w:hideMark/>
          </w:tcPr>
          <w:p w14:paraId="10D5B842" w14:textId="77777777" w:rsidR="003C78C5" w:rsidRPr="00D64177" w:rsidRDefault="003C78C5" w:rsidP="00984985">
            <w:pPr>
              <w:pStyle w:val="BodyText"/>
              <w:rPr>
                <w:b/>
                <w:bCs/>
                <w:sz w:val="14"/>
              </w:rPr>
            </w:pPr>
            <w:r w:rsidRPr="00D64177">
              <w:rPr>
                <w:b/>
                <w:bCs/>
                <w:sz w:val="14"/>
              </w:rPr>
              <w:t>99.3%</w:t>
            </w:r>
          </w:p>
        </w:tc>
        <w:tc>
          <w:tcPr>
            <w:tcW w:w="990" w:type="dxa"/>
            <w:noWrap/>
            <w:hideMark/>
          </w:tcPr>
          <w:p w14:paraId="720A8926" w14:textId="77777777" w:rsidR="003C78C5" w:rsidRPr="00D64177" w:rsidRDefault="003C78C5" w:rsidP="00984985">
            <w:pPr>
              <w:pStyle w:val="BodyText"/>
              <w:rPr>
                <w:sz w:val="14"/>
              </w:rPr>
            </w:pPr>
            <w:r w:rsidRPr="00D64177">
              <w:rPr>
                <w:sz w:val="14"/>
              </w:rPr>
              <w:t>98.6%</w:t>
            </w:r>
          </w:p>
        </w:tc>
        <w:tc>
          <w:tcPr>
            <w:tcW w:w="900" w:type="dxa"/>
            <w:noWrap/>
            <w:hideMark/>
          </w:tcPr>
          <w:p w14:paraId="193C7A75" w14:textId="77777777" w:rsidR="003C78C5" w:rsidRPr="00D64177" w:rsidRDefault="003C78C5" w:rsidP="00984985">
            <w:pPr>
              <w:pStyle w:val="BodyText"/>
              <w:rPr>
                <w:sz w:val="14"/>
              </w:rPr>
            </w:pPr>
            <w:r w:rsidRPr="00D64177">
              <w:rPr>
                <w:sz w:val="14"/>
              </w:rPr>
              <w:t>99.8%</w:t>
            </w:r>
          </w:p>
        </w:tc>
      </w:tr>
      <w:tr w:rsidR="003C78C5" w:rsidRPr="00D64177" w14:paraId="218F1BAD" w14:textId="77777777" w:rsidTr="00984985">
        <w:trPr>
          <w:trHeight w:val="1169"/>
        </w:trPr>
        <w:tc>
          <w:tcPr>
            <w:tcW w:w="412" w:type="dxa"/>
            <w:hideMark/>
          </w:tcPr>
          <w:p w14:paraId="6F525E48" w14:textId="77777777" w:rsidR="003C78C5" w:rsidRPr="00D64177" w:rsidRDefault="003C78C5" w:rsidP="00984985">
            <w:pPr>
              <w:pStyle w:val="BodyText"/>
              <w:rPr>
                <w:sz w:val="14"/>
              </w:rPr>
            </w:pPr>
            <w:r w:rsidRPr="00D64177">
              <w:rPr>
                <w:sz w:val="14"/>
              </w:rPr>
              <w:t>6</w:t>
            </w:r>
          </w:p>
        </w:tc>
        <w:tc>
          <w:tcPr>
            <w:tcW w:w="2378" w:type="dxa"/>
            <w:hideMark/>
          </w:tcPr>
          <w:p w14:paraId="45F7F1DB" w14:textId="77777777" w:rsidR="003C78C5" w:rsidRPr="00D64177" w:rsidRDefault="003C78C5" w:rsidP="00984985">
            <w:pPr>
              <w:pStyle w:val="BodyText"/>
              <w:jc w:val="left"/>
              <w:rPr>
                <w:sz w:val="14"/>
              </w:rPr>
            </w:pPr>
            <w:r w:rsidRPr="00D64177">
              <w:rPr>
                <w:b/>
                <w:bCs/>
                <w:sz w:val="14"/>
              </w:rPr>
              <w:t>FAC</w:t>
            </w:r>
            <w:r w:rsidRPr="00D64177">
              <w:rPr>
                <w:sz w:val="14"/>
              </w:rPr>
              <w:t>: Detectable and unambiguous set of fundamental reported facts and intact relations between those fundamental facts which is consistent with expectation</w:t>
            </w:r>
          </w:p>
        </w:tc>
        <w:tc>
          <w:tcPr>
            <w:tcW w:w="3060" w:type="dxa"/>
            <w:hideMark/>
          </w:tcPr>
          <w:p w14:paraId="54064895" w14:textId="77777777" w:rsidR="003C78C5" w:rsidRPr="00D64177" w:rsidRDefault="003C78C5" w:rsidP="00984985">
            <w:pPr>
              <w:pStyle w:val="BodyText"/>
              <w:jc w:val="left"/>
              <w:rPr>
                <w:sz w:val="14"/>
              </w:rPr>
            </w:pPr>
            <w:r w:rsidRPr="00D64177">
              <w:rPr>
                <w:sz w:val="14"/>
              </w:rPr>
              <w:t>Automated consistency checks to be sure fundamental accounting concepts are distinguishable and the relations between those fundamental concepts are intact/sound</w:t>
            </w:r>
          </w:p>
        </w:tc>
        <w:tc>
          <w:tcPr>
            <w:tcW w:w="900" w:type="dxa"/>
            <w:noWrap/>
            <w:hideMark/>
          </w:tcPr>
          <w:p w14:paraId="101B56CC" w14:textId="77777777" w:rsidR="003C78C5" w:rsidRPr="00D64177" w:rsidRDefault="003C78C5" w:rsidP="00984985">
            <w:pPr>
              <w:pStyle w:val="BodyText"/>
              <w:rPr>
                <w:b/>
                <w:bCs/>
                <w:sz w:val="14"/>
              </w:rPr>
            </w:pPr>
            <w:r w:rsidRPr="00D64177">
              <w:rPr>
                <w:b/>
                <w:bCs/>
                <w:sz w:val="14"/>
              </w:rPr>
              <w:t>98.7%</w:t>
            </w:r>
          </w:p>
        </w:tc>
        <w:tc>
          <w:tcPr>
            <w:tcW w:w="990" w:type="dxa"/>
            <w:noWrap/>
            <w:hideMark/>
          </w:tcPr>
          <w:p w14:paraId="03DD7B59" w14:textId="77777777" w:rsidR="003C78C5" w:rsidRPr="00D64177" w:rsidRDefault="003C78C5" w:rsidP="00984985">
            <w:pPr>
              <w:pStyle w:val="BodyText"/>
              <w:rPr>
                <w:sz w:val="14"/>
              </w:rPr>
            </w:pPr>
            <w:r w:rsidRPr="00D64177">
              <w:rPr>
                <w:sz w:val="14"/>
              </w:rPr>
              <w:t>97.8%</w:t>
            </w:r>
          </w:p>
        </w:tc>
        <w:tc>
          <w:tcPr>
            <w:tcW w:w="900" w:type="dxa"/>
            <w:noWrap/>
            <w:hideMark/>
          </w:tcPr>
          <w:p w14:paraId="62D1B163" w14:textId="77777777" w:rsidR="003C78C5" w:rsidRPr="00D64177" w:rsidRDefault="003C78C5" w:rsidP="00984985">
            <w:pPr>
              <w:pStyle w:val="BodyText"/>
              <w:rPr>
                <w:sz w:val="14"/>
              </w:rPr>
            </w:pPr>
            <w:r w:rsidRPr="00D64177">
              <w:rPr>
                <w:sz w:val="14"/>
              </w:rPr>
              <w:t>97.9%</w:t>
            </w:r>
          </w:p>
        </w:tc>
      </w:tr>
      <w:tr w:rsidR="003C78C5" w:rsidRPr="00D64177" w14:paraId="6CE8C89F" w14:textId="77777777" w:rsidTr="00984985">
        <w:trPr>
          <w:trHeight w:val="710"/>
        </w:trPr>
        <w:tc>
          <w:tcPr>
            <w:tcW w:w="412" w:type="dxa"/>
            <w:hideMark/>
          </w:tcPr>
          <w:p w14:paraId="0A25873B" w14:textId="77777777" w:rsidR="003C78C5" w:rsidRPr="00D64177" w:rsidRDefault="003C78C5" w:rsidP="00984985">
            <w:pPr>
              <w:pStyle w:val="BodyText"/>
              <w:rPr>
                <w:sz w:val="14"/>
              </w:rPr>
            </w:pPr>
            <w:r w:rsidRPr="00D64177">
              <w:rPr>
                <w:sz w:val="14"/>
              </w:rPr>
              <w:t>7</w:t>
            </w:r>
          </w:p>
        </w:tc>
        <w:tc>
          <w:tcPr>
            <w:tcW w:w="2378" w:type="dxa"/>
            <w:hideMark/>
          </w:tcPr>
          <w:p w14:paraId="5CC18B91" w14:textId="77777777" w:rsidR="003C78C5" w:rsidRPr="00D64177" w:rsidRDefault="003C78C5" w:rsidP="00984985">
            <w:pPr>
              <w:pStyle w:val="BodyText"/>
              <w:jc w:val="left"/>
              <w:rPr>
                <w:sz w:val="14"/>
              </w:rPr>
            </w:pPr>
            <w:r w:rsidRPr="00D64177">
              <w:rPr>
                <w:b/>
                <w:bCs/>
                <w:sz w:val="14"/>
              </w:rPr>
              <w:t>PFS</w:t>
            </w:r>
            <w:r w:rsidRPr="00D64177">
              <w:rPr>
                <w:sz w:val="14"/>
              </w:rPr>
              <w:t>: Detectable basic primary financial statements</w:t>
            </w:r>
          </w:p>
        </w:tc>
        <w:tc>
          <w:tcPr>
            <w:tcW w:w="3060" w:type="dxa"/>
            <w:hideMark/>
          </w:tcPr>
          <w:p w14:paraId="08142F2B" w14:textId="77777777" w:rsidR="003C78C5" w:rsidRPr="00D64177" w:rsidRDefault="003C78C5" w:rsidP="00984985">
            <w:pPr>
              <w:pStyle w:val="BodyText"/>
              <w:jc w:val="left"/>
              <w:rPr>
                <w:sz w:val="14"/>
              </w:rPr>
            </w:pPr>
            <w:r w:rsidRPr="00D64177">
              <w:rPr>
                <w:sz w:val="14"/>
              </w:rPr>
              <w:t>Automated detection of balance sheet, income statement, and cash flow statement</w:t>
            </w:r>
          </w:p>
        </w:tc>
        <w:tc>
          <w:tcPr>
            <w:tcW w:w="900" w:type="dxa"/>
            <w:noWrap/>
            <w:hideMark/>
          </w:tcPr>
          <w:p w14:paraId="096230E8" w14:textId="77777777" w:rsidR="003C78C5" w:rsidRPr="00D64177" w:rsidRDefault="003C78C5" w:rsidP="00984985">
            <w:pPr>
              <w:pStyle w:val="BodyText"/>
              <w:rPr>
                <w:b/>
                <w:bCs/>
                <w:sz w:val="14"/>
              </w:rPr>
            </w:pPr>
            <w:r w:rsidRPr="00D64177">
              <w:rPr>
                <w:b/>
                <w:bCs/>
                <w:sz w:val="14"/>
              </w:rPr>
              <w:t>88.7%</w:t>
            </w:r>
          </w:p>
        </w:tc>
        <w:tc>
          <w:tcPr>
            <w:tcW w:w="990" w:type="dxa"/>
            <w:noWrap/>
            <w:hideMark/>
          </w:tcPr>
          <w:p w14:paraId="16FAF52C" w14:textId="77777777" w:rsidR="003C78C5" w:rsidRPr="00D64177" w:rsidRDefault="003C78C5" w:rsidP="00984985">
            <w:pPr>
              <w:pStyle w:val="BodyText"/>
              <w:rPr>
                <w:sz w:val="14"/>
              </w:rPr>
            </w:pPr>
            <w:r w:rsidRPr="00D64177">
              <w:rPr>
                <w:sz w:val="14"/>
              </w:rPr>
              <w:t>87.8%</w:t>
            </w:r>
          </w:p>
        </w:tc>
        <w:tc>
          <w:tcPr>
            <w:tcW w:w="900" w:type="dxa"/>
            <w:noWrap/>
            <w:hideMark/>
          </w:tcPr>
          <w:p w14:paraId="349C5800" w14:textId="77777777" w:rsidR="003C78C5" w:rsidRPr="00D64177" w:rsidRDefault="003C78C5" w:rsidP="00984985">
            <w:pPr>
              <w:pStyle w:val="BodyText"/>
              <w:rPr>
                <w:sz w:val="14"/>
              </w:rPr>
            </w:pPr>
            <w:r w:rsidRPr="00D64177">
              <w:rPr>
                <w:sz w:val="14"/>
              </w:rPr>
              <w:t> NOT TESTED</w:t>
            </w:r>
          </w:p>
        </w:tc>
      </w:tr>
      <w:tr w:rsidR="003C78C5" w:rsidRPr="00D64177" w14:paraId="7299E6D7" w14:textId="77777777" w:rsidTr="00984985">
        <w:trPr>
          <w:trHeight w:val="1430"/>
        </w:trPr>
        <w:tc>
          <w:tcPr>
            <w:tcW w:w="412" w:type="dxa"/>
            <w:hideMark/>
          </w:tcPr>
          <w:p w14:paraId="396566AF" w14:textId="77777777" w:rsidR="003C78C5" w:rsidRPr="00D64177" w:rsidRDefault="003C78C5" w:rsidP="00984985">
            <w:pPr>
              <w:pStyle w:val="BodyText"/>
              <w:rPr>
                <w:sz w:val="14"/>
              </w:rPr>
            </w:pPr>
            <w:r w:rsidRPr="00D64177">
              <w:rPr>
                <w:sz w:val="14"/>
              </w:rPr>
              <w:t>8</w:t>
            </w:r>
          </w:p>
        </w:tc>
        <w:tc>
          <w:tcPr>
            <w:tcW w:w="2378" w:type="dxa"/>
            <w:hideMark/>
          </w:tcPr>
          <w:p w14:paraId="02212936" w14:textId="77777777" w:rsidR="003C78C5" w:rsidRPr="00D64177" w:rsidRDefault="003C78C5" w:rsidP="00984985">
            <w:pPr>
              <w:pStyle w:val="BodyText"/>
              <w:jc w:val="left"/>
              <w:rPr>
                <w:sz w:val="14"/>
              </w:rPr>
            </w:pPr>
            <w:r w:rsidRPr="00D64177">
              <w:rPr>
                <w:b/>
                <w:bCs/>
                <w:sz w:val="14"/>
              </w:rPr>
              <w:t>PFS Roll Ups</w:t>
            </w:r>
            <w:r w:rsidRPr="00D64177">
              <w:rPr>
                <w:sz w:val="14"/>
              </w:rPr>
              <w:t xml:space="preserve">: Detectable basic primary financial statement </w:t>
            </w:r>
            <w:proofErr w:type="gramStart"/>
            <w:r w:rsidRPr="00D64177">
              <w:rPr>
                <w:sz w:val="14"/>
              </w:rPr>
              <w:t>roll</w:t>
            </w:r>
            <w:proofErr w:type="gramEnd"/>
            <w:r w:rsidRPr="00D64177">
              <w:rPr>
                <w:sz w:val="14"/>
              </w:rPr>
              <w:t xml:space="preserve"> up computations are intact which prove trustworthy nature of information (actual computation not tested, only existence of business rules)</w:t>
            </w:r>
          </w:p>
        </w:tc>
        <w:tc>
          <w:tcPr>
            <w:tcW w:w="3060" w:type="dxa"/>
            <w:hideMark/>
          </w:tcPr>
          <w:p w14:paraId="4D36A3BB" w14:textId="77777777" w:rsidR="003C78C5" w:rsidRPr="00D64177" w:rsidRDefault="003C78C5" w:rsidP="00984985">
            <w:pPr>
              <w:pStyle w:val="BodyText"/>
              <w:jc w:val="left"/>
              <w:rPr>
                <w:sz w:val="14"/>
              </w:rPr>
            </w:pPr>
            <w:r w:rsidRPr="00D64177">
              <w:rPr>
                <w:sz w:val="14"/>
              </w:rPr>
              <w:t>Automated verification checks for existence of business rules which articulate these basic primary financial statement relations</w:t>
            </w:r>
          </w:p>
        </w:tc>
        <w:tc>
          <w:tcPr>
            <w:tcW w:w="900" w:type="dxa"/>
            <w:noWrap/>
            <w:hideMark/>
          </w:tcPr>
          <w:p w14:paraId="44340FBB" w14:textId="77777777" w:rsidR="003C78C5" w:rsidRPr="00D64177" w:rsidRDefault="003C78C5" w:rsidP="00984985">
            <w:pPr>
              <w:pStyle w:val="BodyText"/>
              <w:rPr>
                <w:b/>
                <w:bCs/>
                <w:sz w:val="14"/>
              </w:rPr>
            </w:pPr>
            <w:r w:rsidRPr="00D64177">
              <w:rPr>
                <w:b/>
                <w:bCs/>
                <w:sz w:val="14"/>
              </w:rPr>
              <w:t>92.0%</w:t>
            </w:r>
          </w:p>
        </w:tc>
        <w:tc>
          <w:tcPr>
            <w:tcW w:w="990" w:type="dxa"/>
            <w:noWrap/>
            <w:hideMark/>
          </w:tcPr>
          <w:p w14:paraId="1C4C5EC3" w14:textId="77777777" w:rsidR="003C78C5" w:rsidRPr="00D64177" w:rsidRDefault="003C78C5" w:rsidP="00984985">
            <w:pPr>
              <w:pStyle w:val="BodyText"/>
              <w:rPr>
                <w:sz w:val="14"/>
              </w:rPr>
            </w:pPr>
            <w:r w:rsidRPr="00D64177">
              <w:rPr>
                <w:sz w:val="14"/>
              </w:rPr>
              <w:t>90.5%</w:t>
            </w:r>
          </w:p>
        </w:tc>
        <w:tc>
          <w:tcPr>
            <w:tcW w:w="900" w:type="dxa"/>
            <w:noWrap/>
            <w:hideMark/>
          </w:tcPr>
          <w:p w14:paraId="38DC32E9" w14:textId="77777777" w:rsidR="003C78C5" w:rsidRPr="00D64177" w:rsidRDefault="003C78C5" w:rsidP="00984985">
            <w:pPr>
              <w:pStyle w:val="BodyText"/>
              <w:rPr>
                <w:sz w:val="14"/>
              </w:rPr>
            </w:pPr>
            <w:r w:rsidRPr="00D64177">
              <w:rPr>
                <w:sz w:val="14"/>
              </w:rPr>
              <w:t>84.9%</w:t>
            </w:r>
          </w:p>
        </w:tc>
      </w:tr>
      <w:tr w:rsidR="003C78C5" w:rsidRPr="00D64177" w14:paraId="72EA1B6B" w14:textId="77777777" w:rsidTr="00984985">
        <w:trPr>
          <w:trHeight w:val="530"/>
        </w:trPr>
        <w:tc>
          <w:tcPr>
            <w:tcW w:w="412" w:type="dxa"/>
            <w:hideMark/>
          </w:tcPr>
          <w:p w14:paraId="1539A9EA" w14:textId="77777777" w:rsidR="003C78C5" w:rsidRPr="00D64177" w:rsidRDefault="003C78C5" w:rsidP="00984985">
            <w:pPr>
              <w:pStyle w:val="BodyText"/>
              <w:rPr>
                <w:sz w:val="14"/>
              </w:rPr>
            </w:pPr>
            <w:r w:rsidRPr="00D64177">
              <w:rPr>
                <w:sz w:val="14"/>
              </w:rPr>
              <w:t>9</w:t>
            </w:r>
          </w:p>
        </w:tc>
        <w:tc>
          <w:tcPr>
            <w:tcW w:w="2378" w:type="dxa"/>
            <w:hideMark/>
          </w:tcPr>
          <w:p w14:paraId="60382762" w14:textId="77777777" w:rsidR="003C78C5" w:rsidRPr="00D64177" w:rsidRDefault="003C78C5" w:rsidP="00984985">
            <w:pPr>
              <w:pStyle w:val="BodyText"/>
              <w:jc w:val="left"/>
              <w:rPr>
                <w:sz w:val="14"/>
              </w:rPr>
            </w:pPr>
            <w:r w:rsidRPr="00D64177">
              <w:rPr>
                <w:b/>
                <w:bCs/>
                <w:sz w:val="14"/>
              </w:rPr>
              <w:t>Reporting Units</w:t>
            </w:r>
            <w:r w:rsidRPr="00D64177">
              <w:rPr>
                <w:sz w:val="14"/>
              </w:rPr>
              <w:t>: Detectable reporting units of reporting entity.</w:t>
            </w:r>
          </w:p>
        </w:tc>
        <w:tc>
          <w:tcPr>
            <w:tcW w:w="3060" w:type="dxa"/>
            <w:hideMark/>
          </w:tcPr>
          <w:p w14:paraId="654BCF56" w14:textId="77777777" w:rsidR="003C78C5" w:rsidRPr="00D64177" w:rsidRDefault="003C78C5" w:rsidP="00984985">
            <w:pPr>
              <w:pStyle w:val="BodyText"/>
              <w:jc w:val="left"/>
              <w:rPr>
                <w:sz w:val="14"/>
              </w:rPr>
            </w:pPr>
            <w:r w:rsidRPr="00D64177">
              <w:rPr>
                <w:sz w:val="14"/>
              </w:rPr>
              <w:t>Automated detection of proper reporting units of reporting entity.</w:t>
            </w:r>
          </w:p>
        </w:tc>
        <w:tc>
          <w:tcPr>
            <w:tcW w:w="900" w:type="dxa"/>
            <w:noWrap/>
            <w:hideMark/>
          </w:tcPr>
          <w:p w14:paraId="285E164C" w14:textId="77777777" w:rsidR="003C78C5" w:rsidRPr="00D64177" w:rsidRDefault="003C78C5" w:rsidP="00984985">
            <w:pPr>
              <w:pStyle w:val="BodyText"/>
              <w:rPr>
                <w:sz w:val="14"/>
              </w:rPr>
            </w:pPr>
            <w:r w:rsidRPr="00D64177">
              <w:rPr>
                <w:sz w:val="14"/>
              </w:rPr>
              <w:t>NOT TESTED</w:t>
            </w:r>
          </w:p>
        </w:tc>
        <w:tc>
          <w:tcPr>
            <w:tcW w:w="990" w:type="dxa"/>
            <w:noWrap/>
            <w:hideMark/>
          </w:tcPr>
          <w:p w14:paraId="3C8A2558" w14:textId="77777777" w:rsidR="003C78C5" w:rsidRPr="00D64177" w:rsidRDefault="003C78C5" w:rsidP="00984985">
            <w:pPr>
              <w:pStyle w:val="BodyText"/>
              <w:rPr>
                <w:sz w:val="14"/>
              </w:rPr>
            </w:pPr>
            <w:r w:rsidRPr="00D64177">
              <w:rPr>
                <w:sz w:val="14"/>
              </w:rPr>
              <w:t>NOT TESTED</w:t>
            </w:r>
          </w:p>
        </w:tc>
        <w:tc>
          <w:tcPr>
            <w:tcW w:w="900" w:type="dxa"/>
            <w:noWrap/>
            <w:hideMark/>
          </w:tcPr>
          <w:p w14:paraId="1AC7829A" w14:textId="77777777" w:rsidR="003C78C5" w:rsidRPr="00D64177" w:rsidRDefault="003C78C5" w:rsidP="00984985">
            <w:pPr>
              <w:pStyle w:val="BodyText"/>
              <w:rPr>
                <w:sz w:val="14"/>
              </w:rPr>
            </w:pPr>
            <w:r w:rsidRPr="00D64177">
              <w:rPr>
                <w:sz w:val="14"/>
              </w:rPr>
              <w:t>NOT TESTED</w:t>
            </w:r>
          </w:p>
        </w:tc>
      </w:tr>
    </w:tbl>
    <w:p w14:paraId="1A2AD108" w14:textId="77777777" w:rsidR="003C78C5" w:rsidRPr="00A2789C" w:rsidRDefault="003C78C5" w:rsidP="00D552F0">
      <w:pPr>
        <w:pStyle w:val="BodyText"/>
      </w:pPr>
    </w:p>
    <w:p w14:paraId="77A1EECD" w14:textId="77777777" w:rsidR="003C78C5" w:rsidRPr="00A2789C" w:rsidRDefault="003C78C5" w:rsidP="00D552F0">
      <w:pPr>
        <w:pStyle w:val="BodyText"/>
      </w:pPr>
      <w:r w:rsidRPr="00A2789C">
        <w:t>Each category of the minimum criteria shows improvement except for consistency with EFM rules.</w:t>
      </w:r>
    </w:p>
    <w:p w14:paraId="1A5338F1" w14:textId="77777777" w:rsidR="003C78C5" w:rsidRPr="00A2789C" w:rsidRDefault="003C78C5" w:rsidP="00D552F0">
      <w:pPr>
        <w:pStyle w:val="BodyText"/>
      </w:pPr>
    </w:p>
    <w:p w14:paraId="05BC42CE" w14:textId="77777777" w:rsidR="003C78C5" w:rsidRDefault="003C78C5" w:rsidP="00D552F0">
      <w:pPr>
        <w:pStyle w:val="BodyText"/>
        <w:rPr>
          <w:b/>
        </w:rPr>
      </w:pPr>
    </w:p>
    <w:p w14:paraId="225B96BB" w14:textId="77777777" w:rsidR="003C78C5" w:rsidRDefault="003C78C5" w:rsidP="00D552F0">
      <w:pPr>
        <w:pStyle w:val="BodyText"/>
        <w:rPr>
          <w:b/>
        </w:rPr>
      </w:pPr>
    </w:p>
    <w:p w14:paraId="2EB238C2" w14:textId="77777777" w:rsidR="003C78C5" w:rsidRDefault="003C78C5" w:rsidP="00D552F0">
      <w:pPr>
        <w:pStyle w:val="BodyText"/>
        <w:rPr>
          <w:b/>
        </w:rPr>
      </w:pPr>
    </w:p>
    <w:p w14:paraId="0638467E" w14:textId="77777777" w:rsidR="003C78C5" w:rsidRDefault="003C78C5" w:rsidP="00D552F0">
      <w:pPr>
        <w:pStyle w:val="BodyText"/>
        <w:rPr>
          <w:b/>
        </w:rPr>
      </w:pPr>
    </w:p>
    <w:p w14:paraId="37F50559" w14:textId="77777777" w:rsidR="003C78C5" w:rsidRPr="00A2789C" w:rsidRDefault="003C78C5" w:rsidP="00D552F0">
      <w:pPr>
        <w:pStyle w:val="BodyText"/>
        <w:rPr>
          <w:b/>
        </w:rPr>
      </w:pPr>
    </w:p>
    <w:p w14:paraId="4DDAFC4D" w14:textId="77777777" w:rsidR="003C78C5" w:rsidRPr="00A2789C" w:rsidRDefault="003C78C5" w:rsidP="00D552F0">
      <w:pPr>
        <w:pStyle w:val="BodyText"/>
        <w:rPr>
          <w:b/>
        </w:rPr>
      </w:pPr>
      <w:r w:rsidRPr="00A2789C">
        <w:rPr>
          <w:b/>
        </w:rPr>
        <w:br w:type="page"/>
      </w:r>
    </w:p>
    <w:p w14:paraId="650DEF0F" w14:textId="77777777" w:rsidR="003C78C5" w:rsidRPr="00A2789C" w:rsidRDefault="003C78C5" w:rsidP="00D552F0">
      <w:pPr>
        <w:pStyle w:val="Heading2"/>
      </w:pPr>
      <w:bookmarkStart w:id="3" w:name="_Toc418920382"/>
      <w:r w:rsidRPr="00A2789C">
        <w:lastRenderedPageBreak/>
        <w:t>Report</w:t>
      </w:r>
      <w:bookmarkEnd w:id="3"/>
    </w:p>
    <w:p w14:paraId="62991187" w14:textId="77777777" w:rsidR="003C78C5" w:rsidRPr="00A2789C" w:rsidRDefault="003C78C5" w:rsidP="00D552F0">
      <w:pPr>
        <w:pStyle w:val="BodyText"/>
      </w:pPr>
      <w:r w:rsidRPr="00A2789C">
        <w:t>There were 6,751 reports analyzed</w:t>
      </w:r>
      <w:r w:rsidRPr="00A2789C">
        <w:rPr>
          <w:vertAlign w:val="superscript"/>
        </w:rPr>
        <w:footnoteReference w:id="9"/>
      </w:r>
      <w:r w:rsidRPr="00A2789C">
        <w:t>.  All reports were the last 10-K submitted to the SEC between April 1, 2014 and March 31, 2015 by a reporting entity (economic entity):</w:t>
      </w: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936"/>
      </w:tblGrid>
      <w:tr w:rsidR="003C78C5" w:rsidRPr="00A2789C" w14:paraId="7A4248A2" w14:textId="77777777" w:rsidTr="00984985">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5424448" w14:textId="77777777" w:rsidR="003C78C5" w:rsidRPr="00A2789C" w:rsidRDefault="003C78C5" w:rsidP="00984985">
            <w:pPr>
              <w:pStyle w:val="BodyText"/>
              <w:rPr>
                <w:b/>
                <w:bCs/>
              </w:rPr>
            </w:pPr>
            <w:r w:rsidRPr="00A2789C">
              <w:rPr>
                <w:b/>
                <w:bCs/>
              </w:rPr>
              <w:t>Reports</w:t>
            </w:r>
          </w:p>
        </w:tc>
      </w:tr>
      <w:tr w:rsidR="003C78C5" w:rsidRPr="00A2789C" w14:paraId="22C11B94" w14:textId="77777777" w:rsidTr="00984985">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95DD2" w14:textId="77777777" w:rsidR="003C78C5" w:rsidRPr="00A2789C" w:rsidRDefault="003C78C5" w:rsidP="00984985">
            <w:pPr>
              <w:pStyle w:val="BodyText"/>
            </w:pPr>
            <w:r w:rsidRPr="00A2789C">
              <w:t>6,751</w:t>
            </w:r>
          </w:p>
        </w:tc>
      </w:tr>
    </w:tbl>
    <w:p w14:paraId="654BD1E2" w14:textId="77777777" w:rsidR="003C78C5" w:rsidRPr="00A2789C" w:rsidRDefault="003C78C5" w:rsidP="00D552F0">
      <w:pPr>
        <w:pStyle w:val="BodyText"/>
      </w:pPr>
    </w:p>
    <w:p w14:paraId="28BFB221" w14:textId="77777777" w:rsidR="003C78C5" w:rsidRPr="00A2789C" w:rsidRDefault="003C78C5" w:rsidP="00D552F0">
      <w:pPr>
        <w:pStyle w:val="BodyText"/>
        <w:rPr>
          <w:i/>
        </w:rPr>
      </w:pPr>
      <w:r w:rsidRPr="00A2789C">
        <w:rPr>
          <w:i/>
        </w:rPr>
        <w:t>Fiscal Year Focus and Fiscal Period Focus</w:t>
      </w:r>
    </w:p>
    <w:p w14:paraId="5D216C76" w14:textId="77777777" w:rsidR="003C78C5" w:rsidRPr="00A2789C" w:rsidRDefault="003C78C5" w:rsidP="00D552F0">
      <w:pPr>
        <w:pStyle w:val="BodyText"/>
      </w:pPr>
      <w:r w:rsidRPr="00A2789C">
        <w:t xml:space="preserve">Each of the 6,751 reports analyzed had an identifiable </w:t>
      </w:r>
      <w:r w:rsidRPr="00A2789C">
        <w:rPr>
          <w:i/>
        </w:rPr>
        <w:t>fiscal year focus</w:t>
      </w:r>
      <w:r w:rsidRPr="00A2789C">
        <w:t xml:space="preserve"> and </w:t>
      </w:r>
      <w:r w:rsidRPr="00A2789C">
        <w:rPr>
          <w:i/>
        </w:rPr>
        <w:t>fiscal period focus</w:t>
      </w:r>
      <w:r w:rsidRPr="00A2789C">
        <w:t>:</w:t>
      </w:r>
    </w:p>
    <w:p w14:paraId="664AC7DA" w14:textId="77777777" w:rsidR="003C78C5" w:rsidRPr="00A2789C" w:rsidRDefault="003C78C5" w:rsidP="00D552F0">
      <w:pPr>
        <w:pStyle w:val="BodyText"/>
      </w:pPr>
      <w:r>
        <w:rPr>
          <w:noProof/>
        </w:rPr>
        <w:drawing>
          <wp:inline distT="0" distB="0" distL="0" distR="0" wp14:anchorId="2078EB28" wp14:editId="59E21F64">
            <wp:extent cx="2523810" cy="2847619"/>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523810" cy="2847619"/>
                    </a:xfrm>
                    <a:prstGeom prst="rect">
                      <a:avLst/>
                    </a:prstGeom>
                  </pic:spPr>
                </pic:pic>
              </a:graphicData>
            </a:graphic>
          </wp:inline>
        </w:drawing>
      </w:r>
    </w:p>
    <w:p w14:paraId="5DE1DFFE" w14:textId="77777777" w:rsidR="003C78C5" w:rsidRPr="00A2789C" w:rsidRDefault="003C78C5" w:rsidP="00D552F0">
      <w:pPr>
        <w:pStyle w:val="BodyText"/>
      </w:pPr>
      <w:r w:rsidRPr="00A2789C">
        <w:t>The one row with no fiscal year focus is a bug in software, the value is provided; however, the value is reported using the wrong period.</w:t>
      </w:r>
    </w:p>
    <w:p w14:paraId="3D5AFF65" w14:textId="77777777" w:rsidR="003C78C5" w:rsidRPr="00A2789C" w:rsidRDefault="003C78C5" w:rsidP="00D552F0">
      <w:pPr>
        <w:pStyle w:val="BodyText"/>
      </w:pPr>
      <w:r w:rsidRPr="00A2789C">
        <w:t>Economic entities can pick their own fiscal year focus per the EFM.  Economic entities are required to use specific fiscal period focus as described in EFM 6.5.21  which states “***Note: 10-Q’s for the 1st, 2nd and 3rd quarters should have a fiscal period focus of Q1, Q2, and Q3 respectively, and a 10-K should have fiscal period focus of FY.”  Since all of the reports are 10-Ks, then every report which uses Q4, Q2, Q1 or CY for their 10-K is not reporting the information correctly.</w:t>
      </w:r>
    </w:p>
    <w:p w14:paraId="6704A3A6" w14:textId="77777777" w:rsidR="003C78C5" w:rsidRDefault="003C78C5" w:rsidP="00D552F0">
      <w:pPr>
        <w:pStyle w:val="BodyText"/>
      </w:pPr>
      <w:r w:rsidRPr="00A2789C">
        <w:t>As such, all the items in YELLOW appear to be errors in filings.</w:t>
      </w:r>
    </w:p>
    <w:p w14:paraId="38070EF7" w14:textId="77777777" w:rsidR="003C78C5" w:rsidRDefault="003C78C5" w:rsidP="00D552F0">
      <w:pPr>
        <w:pStyle w:val="BodyText"/>
      </w:pPr>
    </w:p>
    <w:p w14:paraId="01D5F6A5" w14:textId="77777777" w:rsidR="003C78C5" w:rsidRPr="00A2789C" w:rsidRDefault="003C78C5" w:rsidP="00D552F0">
      <w:pPr>
        <w:pStyle w:val="Heading2"/>
      </w:pPr>
      <w:bookmarkStart w:id="4" w:name="_Toc418920383"/>
      <w:r>
        <w:lastRenderedPageBreak/>
        <w:t>Reporting units</w:t>
      </w:r>
      <w:bookmarkEnd w:id="4"/>
    </w:p>
    <w:p w14:paraId="0863D46A" w14:textId="77777777" w:rsidR="003C78C5" w:rsidRDefault="003C78C5" w:rsidP="00D552F0">
      <w:pPr>
        <w:pStyle w:val="BodyText"/>
      </w:pPr>
      <w:r w:rsidRPr="00A2789C">
        <w:t xml:space="preserve">Within the 6,751 reports analyzed; </w:t>
      </w:r>
      <w:r>
        <w:t>the reporting units</w:t>
      </w:r>
      <w:r>
        <w:rPr>
          <w:rStyle w:val="FootnoteReference"/>
        </w:rPr>
        <w:footnoteReference w:id="10"/>
      </w:r>
      <w:r>
        <w:t xml:space="preserve"> used with to report financial information consisted of the following</w:t>
      </w:r>
      <w:r w:rsidRPr="00A2789C">
        <w:t>:</w:t>
      </w:r>
    </w:p>
    <w:p w14:paraId="78D88A06" w14:textId="77777777" w:rsidR="003C78C5" w:rsidRDefault="003C78C5" w:rsidP="00D552F0">
      <w:pPr>
        <w:pStyle w:val="BodyText"/>
      </w:pPr>
      <w:r>
        <w:rPr>
          <w:noProof/>
        </w:rPr>
        <w:drawing>
          <wp:inline distT="0" distB="0" distL="0" distR="0" wp14:anchorId="52DB3291" wp14:editId="3E2FCC74">
            <wp:extent cx="2133333" cy="1895238"/>
            <wp:effectExtent l="0" t="0" r="635"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133333" cy="1895238"/>
                    </a:xfrm>
                    <a:prstGeom prst="rect">
                      <a:avLst/>
                    </a:prstGeom>
                  </pic:spPr>
                </pic:pic>
              </a:graphicData>
            </a:graphic>
          </wp:inline>
        </w:drawing>
      </w:r>
    </w:p>
    <w:p w14:paraId="2633FCC3" w14:textId="77777777" w:rsidR="003C78C5" w:rsidRPr="00A2789C" w:rsidRDefault="003C78C5" w:rsidP="00D552F0">
      <w:pPr>
        <w:pStyle w:val="BodyText"/>
      </w:pPr>
    </w:p>
    <w:p w14:paraId="33748175" w14:textId="77777777" w:rsidR="003C78C5" w:rsidRPr="00A2789C" w:rsidRDefault="003C78C5" w:rsidP="00D552F0">
      <w:pPr>
        <w:pStyle w:val="Heading2"/>
      </w:pPr>
      <w:bookmarkStart w:id="5" w:name="_Toc418920384"/>
      <w:r w:rsidRPr="00A2789C">
        <w:t>Economic entity</w:t>
      </w:r>
      <w:bookmarkEnd w:id="5"/>
    </w:p>
    <w:p w14:paraId="17973D53" w14:textId="77777777" w:rsidR="003C78C5" w:rsidRPr="00A2789C" w:rsidRDefault="003C78C5" w:rsidP="00D552F0">
      <w:pPr>
        <w:pStyle w:val="BodyText"/>
      </w:pPr>
      <w:r w:rsidRPr="00A2789C">
        <w:t>Within the 6,751 reports analyzed; each report was for exactly 1 economic entity (accounting entity, reporting entity, SEC EFM calls this the “default legal entity”.  The economic entity is defined in two ways:</w:t>
      </w:r>
    </w:p>
    <w:p w14:paraId="20184822" w14:textId="77777777" w:rsidR="003C78C5" w:rsidRPr="00A2789C" w:rsidRDefault="003C78C5" w:rsidP="003E34B2">
      <w:pPr>
        <w:pStyle w:val="BodyText"/>
        <w:numPr>
          <w:ilvl w:val="0"/>
          <w:numId w:val="185"/>
        </w:numPr>
      </w:pPr>
      <w:r w:rsidRPr="00A2789C">
        <w:t xml:space="preserve">The value of the </w:t>
      </w:r>
      <w:proofErr w:type="spellStart"/>
      <w:proofErr w:type="gramStart"/>
      <w:r w:rsidRPr="00A2789C">
        <w:t>xbrli:entity</w:t>
      </w:r>
      <w:proofErr w:type="spellEnd"/>
      <w:proofErr w:type="gramEnd"/>
      <w:r w:rsidRPr="00A2789C">
        <w:t>/</w:t>
      </w:r>
      <w:proofErr w:type="spellStart"/>
      <w:r w:rsidRPr="00A2789C">
        <w:t>xbrli:identifier</w:t>
      </w:r>
      <w:proofErr w:type="spellEnd"/>
      <w:r w:rsidRPr="00A2789C">
        <w:t xml:space="preserve"> (all values in the report are required to be the same per EFM rule 6.5.3)</w:t>
      </w:r>
    </w:p>
    <w:p w14:paraId="5E9415EB" w14:textId="77777777" w:rsidR="003C78C5" w:rsidRPr="00A2789C" w:rsidRDefault="003C78C5" w:rsidP="003E34B2">
      <w:pPr>
        <w:pStyle w:val="BodyText"/>
        <w:numPr>
          <w:ilvl w:val="0"/>
          <w:numId w:val="185"/>
        </w:numPr>
      </w:pPr>
      <w:r w:rsidRPr="00A2789C">
        <w:t xml:space="preserve">The value of the </w:t>
      </w:r>
      <w:proofErr w:type="spellStart"/>
      <w:proofErr w:type="gramStart"/>
      <w:r w:rsidRPr="00A2789C">
        <w:t>dei:EntityCentralIndexKey</w:t>
      </w:r>
      <w:proofErr w:type="spellEnd"/>
      <w:proofErr w:type="gramEnd"/>
      <w:r w:rsidRPr="00A2789C">
        <w:t xml:space="preserve"> fact (in what the SEC EFM calls the “required context”; per rule 6.5.23)</w:t>
      </w:r>
    </w:p>
    <w:p w14:paraId="7219C2D7" w14:textId="77777777" w:rsidR="003C78C5" w:rsidRPr="00A2789C" w:rsidRDefault="003C78C5" w:rsidP="00D552F0">
      <w:pPr>
        <w:pStyle w:val="BodyText"/>
      </w:pPr>
      <w:r w:rsidRPr="00A2789C">
        <w:t xml:space="preserve">Economic entities have an </w:t>
      </w:r>
      <w:r w:rsidRPr="00A2789C">
        <w:rPr>
          <w:i/>
        </w:rPr>
        <w:t>entity filer category</w:t>
      </w:r>
      <w:r w:rsidRPr="00A2789C">
        <w:t xml:space="preserve"> (required by SEC EFM, but for some reason 10 filers do not provide this fact):</w:t>
      </w:r>
    </w:p>
    <w:p w14:paraId="6154B694" w14:textId="77777777" w:rsidR="003C78C5" w:rsidRPr="00A2789C" w:rsidRDefault="003C78C5" w:rsidP="00D552F0">
      <w:pPr>
        <w:pStyle w:val="BodyText"/>
      </w:pPr>
      <w:r w:rsidRPr="00A2789C">
        <w:rPr>
          <w:noProof/>
        </w:rPr>
        <w:drawing>
          <wp:inline distT="0" distB="0" distL="0" distR="0" wp14:anchorId="4AC34792" wp14:editId="409D862E">
            <wp:extent cx="2691994" cy="1447659"/>
            <wp:effectExtent l="0" t="0" r="0" b="635"/>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691593" cy="1447443"/>
                    </a:xfrm>
                    <a:prstGeom prst="rect">
                      <a:avLst/>
                    </a:prstGeom>
                  </pic:spPr>
                </pic:pic>
              </a:graphicData>
            </a:graphic>
          </wp:inline>
        </w:drawing>
      </w:r>
    </w:p>
    <w:p w14:paraId="09ED2B01" w14:textId="77777777" w:rsidR="003C78C5" w:rsidRPr="00A2789C" w:rsidRDefault="003C78C5" w:rsidP="00D552F0">
      <w:pPr>
        <w:pStyle w:val="BodyText"/>
      </w:pPr>
      <w:r w:rsidRPr="00A2789C">
        <w:t xml:space="preserve">Economic entities have a </w:t>
      </w:r>
      <w:r w:rsidRPr="00A2789C">
        <w:rPr>
          <w:i/>
        </w:rPr>
        <w:t xml:space="preserve">current fiscal year end </w:t>
      </w:r>
      <w:r w:rsidRPr="00A2789C">
        <w:t xml:space="preserve">(required by SEC EFM, but for some reason 1 filer does not provide this fact): </w:t>
      </w:r>
    </w:p>
    <w:p w14:paraId="6A9773AB" w14:textId="77777777" w:rsidR="003C78C5" w:rsidRPr="00A2789C" w:rsidRDefault="003C78C5" w:rsidP="00D552F0">
      <w:pPr>
        <w:pStyle w:val="BodyText"/>
      </w:pPr>
      <w:r w:rsidRPr="00A2789C">
        <w:rPr>
          <w:noProof/>
        </w:rPr>
        <w:lastRenderedPageBreak/>
        <w:drawing>
          <wp:inline distT="0" distB="0" distL="0" distR="0" wp14:anchorId="763159E4" wp14:editId="12F9E29D">
            <wp:extent cx="2900941" cy="5959163"/>
            <wp:effectExtent l="0" t="0" r="0" b="381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977004" cy="6115413"/>
                    </a:xfrm>
                    <a:prstGeom prst="rect">
                      <a:avLst/>
                    </a:prstGeom>
                  </pic:spPr>
                </pic:pic>
              </a:graphicData>
            </a:graphic>
          </wp:inline>
        </w:drawing>
      </w:r>
    </w:p>
    <w:p w14:paraId="4F3D4AB3" w14:textId="77777777" w:rsidR="003C78C5" w:rsidRPr="00A2789C" w:rsidRDefault="003C78C5" w:rsidP="00D552F0">
      <w:pPr>
        <w:pStyle w:val="BodyText"/>
      </w:pPr>
      <w:r w:rsidRPr="00A2789C">
        <w:t xml:space="preserve">Economic entities have one of 422 different </w:t>
      </w:r>
      <w:r w:rsidRPr="00A2789C">
        <w:rPr>
          <w:i/>
        </w:rPr>
        <w:t>SIC codes</w:t>
      </w:r>
      <w:r w:rsidRPr="00A2789C">
        <w:t>:</w:t>
      </w:r>
    </w:p>
    <w:p w14:paraId="7D679E39" w14:textId="77777777" w:rsidR="003C78C5" w:rsidRPr="00A2789C" w:rsidRDefault="003C78C5" w:rsidP="00D552F0">
      <w:pPr>
        <w:pStyle w:val="BodyText"/>
      </w:pPr>
      <w:r w:rsidRPr="00A2789C">
        <w:rPr>
          <w:noProof/>
        </w:rPr>
        <w:lastRenderedPageBreak/>
        <w:drawing>
          <wp:inline distT="0" distB="0" distL="0" distR="0" wp14:anchorId="1B7CE1E2" wp14:editId="20F25FBD">
            <wp:extent cx="4403750" cy="2916995"/>
            <wp:effectExtent l="0" t="0" r="0" b="0"/>
            <wp:docPr id="1215" name="Picture 1215" descr="C:\Users\Charlie\AppData\Local\Temp\SNAGHTML2f8dfe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arlie\AppData\Local\Temp\SNAGHTML2f8dfee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05312" cy="2918030"/>
                    </a:xfrm>
                    <a:prstGeom prst="rect">
                      <a:avLst/>
                    </a:prstGeom>
                    <a:noFill/>
                    <a:ln>
                      <a:noFill/>
                    </a:ln>
                  </pic:spPr>
                </pic:pic>
              </a:graphicData>
            </a:graphic>
          </wp:inline>
        </w:drawing>
      </w:r>
    </w:p>
    <w:p w14:paraId="0B2DF1D0" w14:textId="77777777" w:rsidR="003C78C5" w:rsidRPr="00A2789C" w:rsidRDefault="003C78C5" w:rsidP="00D552F0">
      <w:pPr>
        <w:pStyle w:val="BodyText"/>
      </w:pPr>
      <w:r w:rsidRPr="00A2789C">
        <w:t>Note that the SIC code is not contained in the XBRL-based financial filing; it is in the SEC RSS feed.</w:t>
      </w:r>
    </w:p>
    <w:p w14:paraId="7CA26AD6" w14:textId="77777777" w:rsidR="003C78C5" w:rsidRPr="00A2789C" w:rsidRDefault="003C78C5" w:rsidP="00D552F0">
      <w:pPr>
        <w:pStyle w:val="BodyText"/>
        <w:rPr>
          <w:i/>
        </w:rPr>
      </w:pPr>
      <w:r w:rsidRPr="00A2789C">
        <w:rPr>
          <w:i/>
        </w:rPr>
        <w:t>Legal entity type</w:t>
      </w:r>
    </w:p>
    <w:p w14:paraId="7DE98F5F" w14:textId="77777777" w:rsidR="003C78C5" w:rsidRPr="00A2789C" w:rsidRDefault="003C78C5" w:rsidP="00D552F0">
      <w:pPr>
        <w:pStyle w:val="BodyText"/>
      </w:pPr>
      <w:r w:rsidRPr="00A2789C">
        <w:t xml:space="preserve">Entities have a </w:t>
      </w:r>
      <w:r w:rsidRPr="00A2789C">
        <w:rPr>
          <w:i/>
        </w:rPr>
        <w:t>legal entity type</w:t>
      </w:r>
      <w:r w:rsidRPr="00A2789C">
        <w:t xml:space="preserve"> which can be gleaned based on the metadata which is used to report (for example whether they report common stock or partner capital):</w:t>
      </w:r>
    </w:p>
    <w:p w14:paraId="042E24A1" w14:textId="77777777" w:rsidR="003C78C5" w:rsidRPr="00A2789C" w:rsidRDefault="003C78C5" w:rsidP="00D552F0">
      <w:pPr>
        <w:pStyle w:val="BodyText"/>
      </w:pPr>
      <w:r w:rsidRPr="00A2789C">
        <w:rPr>
          <w:noProof/>
        </w:rPr>
        <w:drawing>
          <wp:inline distT="0" distB="0" distL="0" distR="0" wp14:anchorId="0D4F97D3" wp14:editId="41803C0A">
            <wp:extent cx="3228572" cy="1714286"/>
            <wp:effectExtent l="0" t="0" r="0" b="635"/>
            <wp:docPr id="1073741984" name="Picture 107374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228572" cy="1714286"/>
                    </a:xfrm>
                    <a:prstGeom prst="rect">
                      <a:avLst/>
                    </a:prstGeom>
                  </pic:spPr>
                </pic:pic>
              </a:graphicData>
            </a:graphic>
          </wp:inline>
        </w:drawing>
      </w:r>
    </w:p>
    <w:p w14:paraId="793FE45D" w14:textId="77777777" w:rsidR="003C78C5" w:rsidRPr="00A2789C" w:rsidRDefault="003C78C5" w:rsidP="00D552F0">
      <w:pPr>
        <w:pStyle w:val="BodyText"/>
      </w:pPr>
    </w:p>
    <w:p w14:paraId="2328C69D" w14:textId="77777777" w:rsidR="003C78C5" w:rsidRPr="00A2789C" w:rsidRDefault="003C78C5" w:rsidP="00D552F0">
      <w:pPr>
        <w:pStyle w:val="BodyText"/>
      </w:pPr>
    </w:p>
    <w:p w14:paraId="6E582E34" w14:textId="77777777" w:rsidR="003C78C5" w:rsidRPr="00A2789C" w:rsidRDefault="003C78C5" w:rsidP="00D552F0">
      <w:pPr>
        <w:pStyle w:val="BodyText"/>
        <w:rPr>
          <w:b/>
        </w:rPr>
      </w:pPr>
      <w:r w:rsidRPr="00A2789C">
        <w:rPr>
          <w:b/>
        </w:rPr>
        <w:br w:type="page"/>
      </w:r>
    </w:p>
    <w:p w14:paraId="47F1716F" w14:textId="77777777" w:rsidR="003C78C5" w:rsidRPr="00A2789C" w:rsidRDefault="003C78C5" w:rsidP="00D552F0">
      <w:pPr>
        <w:pStyle w:val="Heading2"/>
      </w:pPr>
      <w:bookmarkStart w:id="6" w:name="_Toc418920385"/>
      <w:r w:rsidRPr="00A2789C">
        <w:lastRenderedPageBreak/>
        <w:t>Components (Networks and [Table]s)</w:t>
      </w:r>
      <w:bookmarkEnd w:id="6"/>
    </w:p>
    <w:p w14:paraId="14998293" w14:textId="77777777" w:rsidR="003C78C5" w:rsidRPr="00A2789C" w:rsidRDefault="003C78C5" w:rsidP="00D552F0">
      <w:pPr>
        <w:pStyle w:val="BodyText"/>
      </w:pPr>
      <w:r w:rsidRPr="00A2789C">
        <w:t xml:space="preserve">XBRL-based public company filings to the SEC do not specify how to break a report into components; however, they do provide breakdowns of a report in two ways: using Networks and using [Table]s.  The SEC EFM section 6.7.12 explains how Networks are organized, but it does not explain how [Table]s </w:t>
      </w:r>
      <w:proofErr w:type="gramStart"/>
      <w:r w:rsidRPr="00A2789C">
        <w:t>are</w:t>
      </w:r>
      <w:proofErr w:type="gramEnd"/>
      <w:r w:rsidRPr="00A2789C">
        <w:t xml:space="preserve"> organized if there is more than one [Table] per Network. Order of XBRL presentation relations can be used to order [Table]s within a network.</w:t>
      </w:r>
    </w:p>
    <w:p w14:paraId="6032ED4F" w14:textId="77777777" w:rsidR="003C78C5" w:rsidRPr="00A2789C" w:rsidRDefault="003C78C5" w:rsidP="00D552F0">
      <w:pPr>
        <w:pStyle w:val="BodyText"/>
        <w:rPr>
          <w:i/>
        </w:rPr>
      </w:pPr>
      <w:r w:rsidRPr="00A2789C">
        <w:rPr>
          <w:i/>
        </w:rPr>
        <w:t>Networks</w:t>
      </w:r>
    </w:p>
    <w:p w14:paraId="1CC6DA79" w14:textId="77777777" w:rsidR="003C78C5" w:rsidRPr="00A2789C" w:rsidRDefault="003C78C5" w:rsidP="00D552F0">
      <w:pPr>
        <w:pStyle w:val="BodyText"/>
      </w:pPr>
      <w:r w:rsidRPr="00A2789C">
        <w:t xml:space="preserve">The reports analyzed had a total of 495,825 Networks.  </w:t>
      </w:r>
    </w:p>
    <w:p w14:paraId="13B82794" w14:textId="77777777" w:rsidR="003C78C5" w:rsidRPr="00A2789C" w:rsidRDefault="003C78C5" w:rsidP="00D552F0">
      <w:pPr>
        <w:pStyle w:val="BodyText"/>
      </w:pPr>
      <w:r w:rsidRPr="00A2789C">
        <w:t>Those networks contained between 1 and 8 explicitly created [Table]s or implied tables meaning that everything that is not grouped into an explicit table is grouped by the Network into one implied table via that Network relation</w:t>
      </w:r>
      <w:r w:rsidRPr="00A2789C">
        <w:rPr>
          <w:vertAlign w:val="superscript"/>
        </w:rPr>
        <w:footnoteReference w:id="11"/>
      </w:r>
      <w:r w:rsidRPr="00A2789C">
        <w:t>.</w:t>
      </w:r>
    </w:p>
    <w:p w14:paraId="1AD32785" w14:textId="77777777" w:rsidR="003C78C5" w:rsidRPr="00A2789C" w:rsidRDefault="003C78C5" w:rsidP="00D552F0">
      <w:pPr>
        <w:pStyle w:val="BodyText"/>
      </w:pPr>
      <w:r w:rsidRPr="00A2789C">
        <w:rPr>
          <w:noProof/>
        </w:rPr>
        <w:drawing>
          <wp:inline distT="0" distB="0" distL="0" distR="0" wp14:anchorId="6F8C22EC" wp14:editId="6E24A906">
            <wp:extent cx="2516026" cy="2640787"/>
            <wp:effectExtent l="0" t="0" r="0" b="7620"/>
            <wp:docPr id="1073741985" name="Picture 107374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516544" cy="2641330"/>
                    </a:xfrm>
                    <a:prstGeom prst="rect">
                      <a:avLst/>
                    </a:prstGeom>
                  </pic:spPr>
                </pic:pic>
              </a:graphicData>
            </a:graphic>
          </wp:inline>
        </w:drawing>
      </w:r>
    </w:p>
    <w:p w14:paraId="319FC91F" w14:textId="77777777" w:rsidR="003C78C5" w:rsidRPr="00A2789C" w:rsidRDefault="003C78C5" w:rsidP="00D552F0">
      <w:pPr>
        <w:pStyle w:val="BodyText"/>
      </w:pPr>
    </w:p>
    <w:p w14:paraId="59F37FC1" w14:textId="77777777" w:rsidR="003C78C5" w:rsidRPr="00A2789C" w:rsidRDefault="003C78C5" w:rsidP="00D552F0">
      <w:pPr>
        <w:pStyle w:val="BodyText"/>
        <w:rPr>
          <w:i/>
        </w:rPr>
      </w:pPr>
      <w:r w:rsidRPr="00A2789C">
        <w:rPr>
          <w:i/>
        </w:rPr>
        <w:t>Network Type and Level of Disclosure</w:t>
      </w:r>
    </w:p>
    <w:p w14:paraId="6D78F29E" w14:textId="77777777" w:rsidR="003C78C5" w:rsidRPr="00A2789C" w:rsidRDefault="003C78C5" w:rsidP="00D552F0">
      <w:pPr>
        <w:pStyle w:val="BodyText"/>
      </w:pPr>
      <w:r w:rsidRPr="00A2789C">
        <w:t>Networks can also be broken out by Type</w:t>
      </w:r>
      <w:r w:rsidRPr="00A2789C">
        <w:rPr>
          <w:vertAlign w:val="superscript"/>
        </w:rPr>
        <w:footnoteReference w:id="12"/>
      </w:r>
      <w:r w:rsidRPr="00A2789C">
        <w:t xml:space="preserve"> and by level</w:t>
      </w:r>
      <w:r w:rsidRPr="00A2789C">
        <w:rPr>
          <w:vertAlign w:val="superscript"/>
        </w:rPr>
        <w:footnoteReference w:id="13"/>
      </w:r>
      <w:r w:rsidRPr="00A2789C">
        <w:t>.  The following is a breakdown of all Networks by both Type and Level.  Note that the YELLOW rows appear to be errors because statement and document information are never reported as text blocks:</w:t>
      </w:r>
    </w:p>
    <w:p w14:paraId="540079A1" w14:textId="77777777" w:rsidR="003C78C5" w:rsidRPr="00A2789C" w:rsidRDefault="003C78C5" w:rsidP="00D552F0">
      <w:pPr>
        <w:pStyle w:val="BodyText"/>
      </w:pPr>
      <w:r w:rsidRPr="00A2789C">
        <w:rPr>
          <w:noProof/>
        </w:rPr>
        <w:lastRenderedPageBreak/>
        <w:drawing>
          <wp:inline distT="0" distB="0" distL="0" distR="0" wp14:anchorId="0F753D99" wp14:editId="1FC8D826">
            <wp:extent cx="2990476" cy="3419048"/>
            <wp:effectExtent l="0" t="0" r="635" b="0"/>
            <wp:docPr id="1073741986" name="Picture 107374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990476" cy="3419048"/>
                    </a:xfrm>
                    <a:prstGeom prst="rect">
                      <a:avLst/>
                    </a:prstGeom>
                  </pic:spPr>
                </pic:pic>
              </a:graphicData>
            </a:graphic>
          </wp:inline>
        </w:drawing>
      </w:r>
    </w:p>
    <w:p w14:paraId="3146F46C" w14:textId="77777777" w:rsidR="003C78C5" w:rsidRPr="00A2789C" w:rsidRDefault="003C78C5" w:rsidP="00D552F0">
      <w:pPr>
        <w:pStyle w:val="BodyText"/>
      </w:pPr>
      <w:r w:rsidRPr="00A2789C">
        <w:t xml:space="preserve">There is no real information which distinguishes between a disclosure and a schedule type.  Level 4 Detail and Text Block Levels 1 (Notes), Level 2 (Policies) and Level 3 (Disclosures).  </w:t>
      </w:r>
    </w:p>
    <w:p w14:paraId="0A1BB266" w14:textId="77777777" w:rsidR="003C78C5" w:rsidRPr="00A2789C" w:rsidRDefault="003C78C5" w:rsidP="00D552F0">
      <w:pPr>
        <w:pStyle w:val="BodyText"/>
      </w:pPr>
      <w:r w:rsidRPr="00A2789C">
        <w:t>The following breaks Networks out by Detail or the different text block levels. Statements are detail level so detail represents both statements and level 4 detailed disclosures.</w:t>
      </w:r>
    </w:p>
    <w:p w14:paraId="63979A64" w14:textId="77777777" w:rsidR="003C78C5" w:rsidRPr="00A2789C" w:rsidRDefault="003C78C5" w:rsidP="00D552F0">
      <w:pPr>
        <w:pStyle w:val="BodyText"/>
      </w:pPr>
      <w:r w:rsidRPr="00A2789C">
        <w:rPr>
          <w:noProof/>
        </w:rPr>
        <w:drawing>
          <wp:inline distT="0" distB="0" distL="0" distR="0" wp14:anchorId="7718DACE" wp14:editId="0F8F0919">
            <wp:extent cx="2276191" cy="1342857"/>
            <wp:effectExtent l="0" t="0" r="0" b="0"/>
            <wp:docPr id="1073741987" name="Picture 107374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276191" cy="1342857"/>
                    </a:xfrm>
                    <a:prstGeom prst="rect">
                      <a:avLst/>
                    </a:prstGeom>
                  </pic:spPr>
                </pic:pic>
              </a:graphicData>
            </a:graphic>
          </wp:inline>
        </w:drawing>
      </w:r>
    </w:p>
    <w:p w14:paraId="4A0AD607" w14:textId="77777777" w:rsidR="003C78C5" w:rsidRPr="00A2789C" w:rsidRDefault="003C78C5" w:rsidP="00D552F0">
      <w:pPr>
        <w:pStyle w:val="BodyText"/>
      </w:pPr>
      <w:r w:rsidRPr="00A2789C">
        <w:t>Text blocks are not provided for document information or the primary financial statements.</w:t>
      </w:r>
    </w:p>
    <w:p w14:paraId="1CC1B35F" w14:textId="77777777" w:rsidR="003C78C5" w:rsidRPr="00A2789C" w:rsidRDefault="003C78C5" w:rsidP="00D552F0">
      <w:pPr>
        <w:pStyle w:val="BodyText"/>
      </w:pPr>
      <w:r w:rsidRPr="00A2789C">
        <w:br w:type="page"/>
      </w:r>
    </w:p>
    <w:p w14:paraId="4E0AFB68" w14:textId="77777777" w:rsidR="003C78C5" w:rsidRPr="00A2789C" w:rsidRDefault="003C78C5" w:rsidP="00D552F0">
      <w:pPr>
        <w:pStyle w:val="BodyText"/>
      </w:pPr>
      <w:r w:rsidRPr="00A2789C">
        <w:lastRenderedPageBreak/>
        <w:t>Number of networks per report:</w:t>
      </w:r>
    </w:p>
    <w:p w14:paraId="165BB1F4" w14:textId="77777777" w:rsidR="003C78C5" w:rsidRPr="00A2789C" w:rsidRDefault="003C78C5" w:rsidP="00D552F0">
      <w:pPr>
        <w:pStyle w:val="BodyText"/>
      </w:pPr>
      <w:r w:rsidRPr="00A2789C">
        <w:rPr>
          <w:noProof/>
        </w:rPr>
        <w:drawing>
          <wp:inline distT="0" distB="0" distL="0" distR="0" wp14:anchorId="7D5CCC16" wp14:editId="6C0E572F">
            <wp:extent cx="4045306" cy="4347410"/>
            <wp:effectExtent l="0" t="0" r="0" b="0"/>
            <wp:docPr id="1073741988" name="Picture 107374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046127" cy="4348292"/>
                    </a:xfrm>
                    <a:prstGeom prst="rect">
                      <a:avLst/>
                    </a:prstGeom>
                  </pic:spPr>
                </pic:pic>
              </a:graphicData>
            </a:graphic>
          </wp:inline>
        </w:drawing>
      </w:r>
    </w:p>
    <w:p w14:paraId="56C6AA11" w14:textId="77777777" w:rsidR="003C78C5" w:rsidRPr="00A2789C" w:rsidRDefault="003C78C5" w:rsidP="00D552F0">
      <w:pPr>
        <w:pStyle w:val="BodyText"/>
      </w:pPr>
      <w:r w:rsidRPr="00A2789C">
        <w:t>The graphic above shows a histogram of the number of networks per report:</w:t>
      </w:r>
    </w:p>
    <w:p w14:paraId="1E773282" w14:textId="77777777" w:rsidR="003C78C5" w:rsidRPr="00A2789C" w:rsidRDefault="003C78C5" w:rsidP="00D552F0">
      <w:pPr>
        <w:pStyle w:val="BodyText"/>
      </w:pPr>
      <w:r w:rsidRPr="00A2789C">
        <w:rPr>
          <w:noProof/>
        </w:rPr>
        <w:drawing>
          <wp:inline distT="0" distB="0" distL="0" distR="0" wp14:anchorId="7D339531" wp14:editId="3EEF6107">
            <wp:extent cx="3021178" cy="2490258"/>
            <wp:effectExtent l="0" t="0" r="8255" b="5715"/>
            <wp:docPr id="1073741989" name="Picture 107374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037235" cy="2503493"/>
                    </a:xfrm>
                    <a:prstGeom prst="rect">
                      <a:avLst/>
                    </a:prstGeom>
                  </pic:spPr>
                </pic:pic>
              </a:graphicData>
            </a:graphic>
          </wp:inline>
        </w:drawing>
      </w:r>
    </w:p>
    <w:p w14:paraId="5DD96105" w14:textId="77777777" w:rsidR="003C78C5" w:rsidRPr="00A2789C" w:rsidRDefault="003C78C5" w:rsidP="00D552F0">
      <w:pPr>
        <w:pStyle w:val="BodyText"/>
      </w:pPr>
    </w:p>
    <w:p w14:paraId="776BD4B4" w14:textId="77777777" w:rsidR="003C78C5" w:rsidRPr="00A2789C" w:rsidRDefault="003C78C5" w:rsidP="00D552F0">
      <w:pPr>
        <w:pStyle w:val="Heading2"/>
      </w:pPr>
      <w:bookmarkStart w:id="7" w:name="_Toc418920386"/>
      <w:r w:rsidRPr="00A2789C">
        <w:lastRenderedPageBreak/>
        <w:t>Facts</w:t>
      </w:r>
      <w:bookmarkEnd w:id="7"/>
    </w:p>
    <w:p w14:paraId="7ECC0010" w14:textId="77777777" w:rsidR="003C78C5" w:rsidRPr="00A2789C" w:rsidRDefault="003C78C5" w:rsidP="00D552F0">
      <w:pPr>
        <w:pStyle w:val="BodyText"/>
      </w:pPr>
      <w:r w:rsidRPr="00A2789C">
        <w:t>The 6,751 financial reports analyzed contain precisely 8,816,913.  The following table breaks the facts down by those which use a base US GAAP XBRL Taxonomy concept or an extension concept created by the reporting economic entity:</w:t>
      </w:r>
    </w:p>
    <w:p w14:paraId="732B5D9F" w14:textId="77777777" w:rsidR="003C78C5" w:rsidRPr="00A2789C" w:rsidRDefault="003C78C5" w:rsidP="00D552F0">
      <w:pPr>
        <w:pStyle w:val="BodyText"/>
      </w:pPr>
      <w:r w:rsidRPr="00A2789C">
        <w:rPr>
          <w:noProof/>
        </w:rPr>
        <w:drawing>
          <wp:inline distT="0" distB="0" distL="0" distR="0" wp14:anchorId="006A1680" wp14:editId="00EDCE86">
            <wp:extent cx="3013862" cy="1073282"/>
            <wp:effectExtent l="0" t="0" r="0" b="0"/>
            <wp:docPr id="1073741990" name="Picture 107374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3013311" cy="1073086"/>
                    </a:xfrm>
                    <a:prstGeom prst="rect">
                      <a:avLst/>
                    </a:prstGeom>
                  </pic:spPr>
                </pic:pic>
              </a:graphicData>
            </a:graphic>
          </wp:inline>
        </w:drawing>
      </w:r>
    </w:p>
    <w:p w14:paraId="61B387AF" w14:textId="77777777" w:rsidR="003C78C5" w:rsidRPr="00A2789C" w:rsidRDefault="003C78C5" w:rsidP="00D552F0">
      <w:pPr>
        <w:pStyle w:val="BodyText"/>
      </w:pPr>
      <w:r w:rsidRPr="00A2789C">
        <w:t>The following table shows average, minimum, and maximum facts per report and per network:</w:t>
      </w:r>
    </w:p>
    <w:p w14:paraId="3F692635" w14:textId="77777777" w:rsidR="003C78C5" w:rsidRPr="00A2789C" w:rsidRDefault="003C78C5" w:rsidP="00D552F0">
      <w:pPr>
        <w:pStyle w:val="BodyText"/>
      </w:pPr>
      <w:r w:rsidRPr="00A2789C">
        <w:rPr>
          <w:noProof/>
        </w:rPr>
        <w:drawing>
          <wp:inline distT="0" distB="0" distL="0" distR="0" wp14:anchorId="3E1889A0" wp14:editId="4E64A523">
            <wp:extent cx="2950878" cy="2487168"/>
            <wp:effectExtent l="0" t="0" r="1905" b="8890"/>
            <wp:docPr id="1073741991" name="Picture 107374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953313" cy="2489220"/>
                    </a:xfrm>
                    <a:prstGeom prst="rect">
                      <a:avLst/>
                    </a:prstGeom>
                  </pic:spPr>
                </pic:pic>
              </a:graphicData>
            </a:graphic>
          </wp:inline>
        </w:drawing>
      </w:r>
    </w:p>
    <w:p w14:paraId="3FEB8CBB" w14:textId="77777777" w:rsidR="003C78C5" w:rsidRPr="00A2789C" w:rsidRDefault="003C78C5" w:rsidP="00D552F0">
      <w:pPr>
        <w:pStyle w:val="BodyText"/>
      </w:pPr>
      <w:r w:rsidRPr="00A2789C">
        <w:br w:type="page"/>
      </w:r>
    </w:p>
    <w:p w14:paraId="4A82B4BB" w14:textId="77777777" w:rsidR="003C78C5" w:rsidRPr="00A2789C" w:rsidRDefault="003C78C5" w:rsidP="00D552F0">
      <w:pPr>
        <w:pStyle w:val="BodyText"/>
        <w:rPr>
          <w:i/>
        </w:rPr>
      </w:pPr>
      <w:r w:rsidRPr="00A2789C">
        <w:rPr>
          <w:i/>
        </w:rPr>
        <w:lastRenderedPageBreak/>
        <w:t>Histogram of reported facts, groupings of 1000</w:t>
      </w:r>
    </w:p>
    <w:p w14:paraId="135C38C3" w14:textId="77777777" w:rsidR="003C78C5" w:rsidRPr="00A2789C" w:rsidRDefault="003C78C5" w:rsidP="00D552F0">
      <w:pPr>
        <w:pStyle w:val="BodyText"/>
      </w:pPr>
      <w:r w:rsidRPr="00A2789C">
        <w:t>The following shows a histogram of the number of facts per report.  The histogram groups the number of facts reported into increments of 1000.  So, 3,249 reports or 48% of total reports provide between 1 and 1000 reported facts.</w:t>
      </w:r>
    </w:p>
    <w:p w14:paraId="53FA479D" w14:textId="77777777" w:rsidR="003C78C5" w:rsidRPr="00A2789C" w:rsidRDefault="003C78C5" w:rsidP="00D552F0">
      <w:pPr>
        <w:pStyle w:val="BodyText"/>
      </w:pPr>
      <w:r w:rsidRPr="00A2789C">
        <w:rPr>
          <w:noProof/>
        </w:rPr>
        <w:drawing>
          <wp:inline distT="0" distB="0" distL="0" distR="0" wp14:anchorId="0620116D" wp14:editId="174930AE">
            <wp:extent cx="1894637" cy="3711303"/>
            <wp:effectExtent l="0" t="0" r="0" b="3810"/>
            <wp:docPr id="1073741992" name="Picture 107374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1904227" cy="3730087"/>
                    </a:xfrm>
                    <a:prstGeom prst="rect">
                      <a:avLst/>
                    </a:prstGeom>
                  </pic:spPr>
                </pic:pic>
              </a:graphicData>
            </a:graphic>
          </wp:inline>
        </w:drawing>
      </w:r>
    </w:p>
    <w:p w14:paraId="439A2368" w14:textId="77777777" w:rsidR="003C78C5" w:rsidRPr="00A2789C" w:rsidRDefault="003C78C5" w:rsidP="00D552F0">
      <w:pPr>
        <w:pStyle w:val="BodyText"/>
      </w:pPr>
      <w:r w:rsidRPr="00A2789C">
        <w:rPr>
          <w:noProof/>
        </w:rPr>
        <w:drawing>
          <wp:inline distT="0" distB="0" distL="0" distR="0" wp14:anchorId="6DDD51E2" wp14:editId="5E9B40AA">
            <wp:extent cx="5223053" cy="3026133"/>
            <wp:effectExtent l="0" t="0" r="0" b="3175"/>
            <wp:docPr id="1073741993" name="Picture 107374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223055" cy="3026134"/>
                    </a:xfrm>
                    <a:prstGeom prst="rect">
                      <a:avLst/>
                    </a:prstGeom>
                  </pic:spPr>
                </pic:pic>
              </a:graphicData>
            </a:graphic>
          </wp:inline>
        </w:drawing>
      </w:r>
    </w:p>
    <w:p w14:paraId="0B4D30AA" w14:textId="77777777" w:rsidR="003C78C5" w:rsidRPr="00A2789C" w:rsidRDefault="003C78C5" w:rsidP="00D552F0">
      <w:pPr>
        <w:pStyle w:val="BodyText"/>
        <w:rPr>
          <w:i/>
        </w:rPr>
      </w:pPr>
      <w:r w:rsidRPr="00A2789C">
        <w:rPr>
          <w:i/>
        </w:rPr>
        <w:t>Histogram of reported facts, groupings of 100</w:t>
      </w:r>
    </w:p>
    <w:p w14:paraId="2B50A21B" w14:textId="77777777" w:rsidR="003C78C5" w:rsidRPr="00A2789C" w:rsidRDefault="003C78C5" w:rsidP="00D552F0">
      <w:pPr>
        <w:pStyle w:val="BodyText"/>
      </w:pPr>
      <w:r w:rsidRPr="00A2789C">
        <w:lastRenderedPageBreak/>
        <w:t>The chart below groups the range of reported facts into groups of 100.  It also shows a cumulative count and percentage.  The table shows that 80% of all reports have less than 1900 facts which are reported:</w:t>
      </w:r>
    </w:p>
    <w:p w14:paraId="4F67B010" w14:textId="77777777" w:rsidR="003C78C5" w:rsidRPr="00A2789C" w:rsidRDefault="003C78C5" w:rsidP="00D552F0">
      <w:pPr>
        <w:pStyle w:val="BodyText"/>
      </w:pPr>
      <w:r w:rsidRPr="00A2789C">
        <w:rPr>
          <w:noProof/>
        </w:rPr>
        <w:drawing>
          <wp:inline distT="0" distB="0" distL="0" distR="0" wp14:anchorId="050C9373" wp14:editId="4E816683">
            <wp:extent cx="2147298" cy="3752698"/>
            <wp:effectExtent l="0" t="0" r="5715" b="635"/>
            <wp:docPr id="1073741994" name="Picture 1073741994" descr="C:\Users\Charlie\AppData\Local\Temp\SNAGHTML337812b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harlie\AppData\Local\Temp\SNAGHTML337812b3.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47502" cy="3753054"/>
                    </a:xfrm>
                    <a:prstGeom prst="rect">
                      <a:avLst/>
                    </a:prstGeom>
                    <a:noFill/>
                    <a:ln>
                      <a:noFill/>
                    </a:ln>
                  </pic:spPr>
                </pic:pic>
              </a:graphicData>
            </a:graphic>
          </wp:inline>
        </w:drawing>
      </w:r>
    </w:p>
    <w:p w14:paraId="57DA2FE0" w14:textId="77777777" w:rsidR="003C78C5" w:rsidRPr="00A2789C" w:rsidRDefault="003C78C5" w:rsidP="00D552F0">
      <w:pPr>
        <w:pStyle w:val="BodyText"/>
      </w:pPr>
      <w:r w:rsidRPr="00A2789C">
        <w:rPr>
          <w:noProof/>
        </w:rPr>
        <w:drawing>
          <wp:inline distT="0" distB="0" distL="0" distR="0" wp14:anchorId="55469138" wp14:editId="0F3E0530">
            <wp:extent cx="5457139" cy="3161757"/>
            <wp:effectExtent l="0" t="0" r="0" b="635"/>
            <wp:docPr id="1073741995" name="Picture 107374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491420" cy="3181619"/>
                    </a:xfrm>
                    <a:prstGeom prst="rect">
                      <a:avLst/>
                    </a:prstGeom>
                  </pic:spPr>
                </pic:pic>
              </a:graphicData>
            </a:graphic>
          </wp:inline>
        </w:drawing>
      </w:r>
    </w:p>
    <w:p w14:paraId="686B8AF3" w14:textId="77777777" w:rsidR="003C78C5" w:rsidRPr="00A2789C" w:rsidRDefault="003C78C5" w:rsidP="00D552F0">
      <w:pPr>
        <w:pStyle w:val="Heading2"/>
      </w:pPr>
      <w:bookmarkStart w:id="8" w:name="_Toc418920387"/>
      <w:r w:rsidRPr="00A2789C">
        <w:lastRenderedPageBreak/>
        <w:t>Blocks</w:t>
      </w:r>
      <w:bookmarkEnd w:id="8"/>
    </w:p>
    <w:p w14:paraId="00BE7FAC" w14:textId="77777777" w:rsidR="003C78C5" w:rsidRPr="00A2789C" w:rsidRDefault="003C78C5" w:rsidP="00D552F0">
      <w:pPr>
        <w:pStyle w:val="BodyText"/>
      </w:pPr>
      <w:r w:rsidRPr="00A2789C">
        <w:t>A block</w:t>
      </w:r>
      <w:r w:rsidRPr="00A2789C">
        <w:rPr>
          <w:vertAlign w:val="superscript"/>
        </w:rPr>
        <w:footnoteReference w:id="14"/>
      </w:r>
      <w:r w:rsidRPr="00A2789C">
        <w:t xml:space="preserve"> is a subset of a component that has exactly one concept arrangement pattern.  A concept arrangement patterns are relations between the Concepts and Abstracts which make up a set of [Line Items] (primary items).  There are 5 clearly identifiable patterns of the arrangements of concepts in the set of 6,751 reports analyzed:</w:t>
      </w:r>
    </w:p>
    <w:p w14:paraId="27349279" w14:textId="77777777" w:rsidR="003C78C5" w:rsidRPr="00A2789C" w:rsidRDefault="003C78C5" w:rsidP="003E34B2">
      <w:pPr>
        <w:pStyle w:val="BodyText"/>
        <w:numPr>
          <w:ilvl w:val="0"/>
          <w:numId w:val="186"/>
        </w:numPr>
      </w:pPr>
      <w:r w:rsidRPr="00A2789C">
        <w:rPr>
          <w:b/>
        </w:rPr>
        <w:t>Roll up pattern</w:t>
      </w:r>
      <w:r w:rsidRPr="00A2789C">
        <w:t xml:space="preserve">: identifiable by the existence of XBRL calculations; articulates the relation Concept A + Concept B + Concept </w:t>
      </w:r>
      <w:r w:rsidRPr="00A2789C">
        <w:rPr>
          <w:i/>
        </w:rPr>
        <w:t>N</w:t>
      </w:r>
      <w:r w:rsidRPr="00A2789C">
        <w:t xml:space="preserve"> = Total.</w:t>
      </w:r>
    </w:p>
    <w:p w14:paraId="26E3ED26" w14:textId="77777777" w:rsidR="003C78C5" w:rsidRPr="00A2789C" w:rsidRDefault="003C78C5" w:rsidP="003E34B2">
      <w:pPr>
        <w:pStyle w:val="BodyText"/>
        <w:numPr>
          <w:ilvl w:val="0"/>
          <w:numId w:val="186"/>
        </w:numPr>
      </w:pPr>
      <w:r w:rsidRPr="00A2789C">
        <w:rPr>
          <w:b/>
        </w:rPr>
        <w:t>Roll forward pattern</w:t>
      </w:r>
      <w:r w:rsidRPr="00A2789C">
        <w:t>: identifiable by the beginning and ending preferred label roles; articulates the pattern Ending balance = Beginning balance + Additions – Subtractions.</w:t>
      </w:r>
    </w:p>
    <w:p w14:paraId="110D8AD6" w14:textId="77777777" w:rsidR="003C78C5" w:rsidRPr="00A2789C" w:rsidRDefault="003C78C5" w:rsidP="003E34B2">
      <w:pPr>
        <w:pStyle w:val="BodyText"/>
        <w:numPr>
          <w:ilvl w:val="0"/>
          <w:numId w:val="186"/>
        </w:numPr>
      </w:pPr>
      <w:r w:rsidRPr="00A2789C">
        <w:rPr>
          <w:b/>
        </w:rPr>
        <w:t>Text blocks</w:t>
      </w:r>
      <w:r w:rsidRPr="00A2789C">
        <w:t xml:space="preserve">: identifiable by the data type of </w:t>
      </w:r>
      <w:proofErr w:type="spellStart"/>
      <w:proofErr w:type="gramStart"/>
      <w:r w:rsidRPr="00A2789C">
        <w:rPr>
          <w:i/>
        </w:rPr>
        <w:t>nonnum:textBlockItemType</w:t>
      </w:r>
      <w:proofErr w:type="spellEnd"/>
      <w:proofErr w:type="gramEnd"/>
      <w:r w:rsidRPr="00A2789C">
        <w:t xml:space="preserve"> which is used on the concept.</w:t>
      </w:r>
    </w:p>
    <w:p w14:paraId="4F93DC2A" w14:textId="77777777" w:rsidR="003C78C5" w:rsidRPr="00A2789C" w:rsidRDefault="003C78C5" w:rsidP="003E34B2">
      <w:pPr>
        <w:pStyle w:val="BodyText"/>
        <w:numPr>
          <w:ilvl w:val="0"/>
          <w:numId w:val="186"/>
        </w:numPr>
      </w:pPr>
      <w:r w:rsidRPr="00A2789C">
        <w:rPr>
          <w:b/>
        </w:rPr>
        <w:t>Hierarchy</w:t>
      </w:r>
      <w:r w:rsidRPr="00A2789C">
        <w:t>:  identifiable because it does not fit either of the previous four patterns.  Note that there could be other patterns (in fact I know of two other patterns but they are used very rarely)</w:t>
      </w:r>
    </w:p>
    <w:p w14:paraId="76722417" w14:textId="77777777" w:rsidR="003C78C5" w:rsidRDefault="003C78C5" w:rsidP="00D552F0">
      <w:pPr>
        <w:pStyle w:val="BodyText"/>
      </w:pPr>
      <w:r w:rsidRPr="00A2789C">
        <w:t>While blocks really relate to a component, I am relating them to network because I have a better count of networks currently.  The following table shows the number of roll ups, roll forwards, text blocks, hierarchies, and total blocks.</w:t>
      </w:r>
    </w:p>
    <w:p w14:paraId="13DF6D03" w14:textId="77777777" w:rsidR="003C78C5" w:rsidRPr="00A2789C" w:rsidRDefault="003C78C5" w:rsidP="00D552F0">
      <w:pPr>
        <w:pStyle w:val="BodyText"/>
      </w:pPr>
      <w:r w:rsidRPr="00A2789C">
        <w:rPr>
          <w:noProof/>
        </w:rPr>
        <w:drawing>
          <wp:inline distT="0" distB="0" distL="0" distR="0" wp14:anchorId="5959AEDE" wp14:editId="60966FD6">
            <wp:extent cx="5427879" cy="1169421"/>
            <wp:effectExtent l="0" t="0" r="1905" b="0"/>
            <wp:docPr id="1073741996" name="Picture 107374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430330" cy="1169949"/>
                    </a:xfrm>
                    <a:prstGeom prst="rect">
                      <a:avLst/>
                    </a:prstGeom>
                  </pic:spPr>
                </pic:pic>
              </a:graphicData>
            </a:graphic>
          </wp:inline>
        </w:drawing>
      </w:r>
    </w:p>
    <w:p w14:paraId="7D65B9DE" w14:textId="77777777" w:rsidR="003C78C5" w:rsidRPr="00A2789C" w:rsidRDefault="003C78C5" w:rsidP="00D552F0">
      <w:pPr>
        <w:pStyle w:val="BodyText"/>
      </w:pPr>
    </w:p>
    <w:p w14:paraId="4298792D" w14:textId="77777777" w:rsidR="003C78C5" w:rsidRPr="00A2789C" w:rsidRDefault="003C78C5" w:rsidP="00D552F0">
      <w:pPr>
        <w:pStyle w:val="BodyText"/>
        <w:rPr>
          <w:b/>
        </w:rPr>
      </w:pPr>
      <w:r w:rsidRPr="00A2789C">
        <w:rPr>
          <w:b/>
        </w:rPr>
        <w:br w:type="page"/>
      </w:r>
    </w:p>
    <w:p w14:paraId="6E6D932E" w14:textId="77777777" w:rsidR="003C78C5" w:rsidRPr="00A2789C" w:rsidRDefault="003C78C5" w:rsidP="00D552F0">
      <w:pPr>
        <w:pStyle w:val="Heading2"/>
      </w:pPr>
      <w:bookmarkStart w:id="9" w:name="_Toc418920388"/>
      <w:r w:rsidRPr="00A2789C">
        <w:lastRenderedPageBreak/>
        <w:t>Primary Financial Statement Form</w:t>
      </w:r>
      <w:bookmarkEnd w:id="9"/>
    </w:p>
    <w:p w14:paraId="7CB431C3" w14:textId="77777777" w:rsidR="003C78C5" w:rsidRPr="00A2789C" w:rsidRDefault="003C78C5" w:rsidP="00D552F0">
      <w:pPr>
        <w:pStyle w:val="BodyText"/>
      </w:pPr>
      <w:r w:rsidRPr="00A2789C">
        <w:t>Each of the 6,751 reports analyzed contained primary financial statements.  Automated processes were able to successfully detect the balance sheet, income statement (or combined income statement and statement of comprehensive income), and cash flow statement of each report.</w:t>
      </w:r>
    </w:p>
    <w:p w14:paraId="27E5EEF7" w14:textId="77777777" w:rsidR="003C78C5" w:rsidRPr="00A2789C" w:rsidRDefault="003C78C5" w:rsidP="00D552F0">
      <w:pPr>
        <w:pStyle w:val="BodyText"/>
        <w:rPr>
          <w:i/>
        </w:rPr>
      </w:pPr>
      <w:r w:rsidRPr="00A2789C">
        <w:rPr>
          <w:i/>
        </w:rPr>
        <w:t>Balance Sheet Form</w:t>
      </w:r>
    </w:p>
    <w:p w14:paraId="3B0D4D93" w14:textId="77777777" w:rsidR="003C78C5" w:rsidRPr="00A2789C" w:rsidRDefault="003C78C5" w:rsidP="00D552F0">
      <w:pPr>
        <w:pStyle w:val="BodyText"/>
      </w:pPr>
      <w:r w:rsidRPr="00A2789C">
        <w:t>Each of the 6,751 reports analyzed contained a balance sheet and the balance sheet had one of two forms:</w:t>
      </w:r>
    </w:p>
    <w:p w14:paraId="0865E410" w14:textId="77777777" w:rsidR="003C78C5" w:rsidRPr="00A2789C" w:rsidRDefault="003C78C5" w:rsidP="00D552F0">
      <w:pPr>
        <w:pStyle w:val="BodyText"/>
      </w:pPr>
      <w:r w:rsidRPr="00A2789C">
        <w:rPr>
          <w:noProof/>
        </w:rPr>
        <w:drawing>
          <wp:inline distT="0" distB="0" distL="0" distR="0" wp14:anchorId="064D41E2" wp14:editId="5CE5261C">
            <wp:extent cx="2571429" cy="1066667"/>
            <wp:effectExtent l="0" t="0" r="635" b="635"/>
            <wp:docPr id="1073741997" name="Picture 107374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2571429" cy="1066667"/>
                    </a:xfrm>
                    <a:prstGeom prst="rect">
                      <a:avLst/>
                    </a:prstGeom>
                  </pic:spPr>
                </pic:pic>
              </a:graphicData>
            </a:graphic>
          </wp:inline>
        </w:drawing>
      </w:r>
    </w:p>
    <w:p w14:paraId="47EADD41" w14:textId="77777777" w:rsidR="003C78C5" w:rsidRPr="00A2789C" w:rsidRDefault="003C78C5" w:rsidP="00D552F0">
      <w:pPr>
        <w:pStyle w:val="BodyText"/>
        <w:rPr>
          <w:i/>
        </w:rPr>
      </w:pPr>
      <w:r w:rsidRPr="00A2789C">
        <w:rPr>
          <w:i/>
        </w:rPr>
        <w:t>Income Statement Form</w:t>
      </w:r>
    </w:p>
    <w:p w14:paraId="1836DD3C" w14:textId="77777777" w:rsidR="003C78C5" w:rsidRPr="00A2789C" w:rsidRDefault="003C78C5" w:rsidP="00D552F0">
      <w:pPr>
        <w:pStyle w:val="BodyText"/>
      </w:pPr>
      <w:r w:rsidRPr="00A2789C">
        <w:t xml:space="preserve">Each of the 6,751 reports analyzed contained an income statement which had one of two forms.  The category UNKNOWN relates to special income statement formats used by certain entities, processing is not handling this correctly (basically interest based revenues, </w:t>
      </w:r>
      <w:proofErr w:type="gramStart"/>
      <w:r w:rsidRPr="00A2789C">
        <w:t>insurance based</w:t>
      </w:r>
      <w:proofErr w:type="gramEnd"/>
      <w:r w:rsidRPr="00A2789C">
        <w:t xml:space="preserve"> revenues, and securities based revenues are not handled properly yet):</w:t>
      </w:r>
    </w:p>
    <w:p w14:paraId="0BD1F961" w14:textId="77777777" w:rsidR="003C78C5" w:rsidRPr="00A2789C" w:rsidRDefault="003C78C5" w:rsidP="00D552F0">
      <w:pPr>
        <w:pStyle w:val="BodyText"/>
      </w:pPr>
      <w:r w:rsidRPr="00A2789C">
        <w:rPr>
          <w:noProof/>
        </w:rPr>
        <w:drawing>
          <wp:inline distT="0" distB="0" distL="0" distR="0" wp14:anchorId="5DF3E40D" wp14:editId="7080A56E">
            <wp:extent cx="2619048" cy="1190476"/>
            <wp:effectExtent l="0" t="0" r="0" b="0"/>
            <wp:docPr id="1073741998" name="Picture 107374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2619048" cy="1190476"/>
                    </a:xfrm>
                    <a:prstGeom prst="rect">
                      <a:avLst/>
                    </a:prstGeom>
                  </pic:spPr>
                </pic:pic>
              </a:graphicData>
            </a:graphic>
          </wp:inline>
        </w:drawing>
      </w:r>
    </w:p>
    <w:p w14:paraId="1158A2A8" w14:textId="77777777" w:rsidR="003C78C5" w:rsidRPr="00A2789C" w:rsidRDefault="003C78C5" w:rsidP="00D552F0">
      <w:pPr>
        <w:pStyle w:val="BodyText"/>
        <w:rPr>
          <w:i/>
        </w:rPr>
      </w:pPr>
      <w:r w:rsidRPr="00A2789C">
        <w:rPr>
          <w:i/>
        </w:rPr>
        <w:t>Cash Flow Statement Form</w:t>
      </w:r>
    </w:p>
    <w:p w14:paraId="1064C526" w14:textId="77777777" w:rsidR="003C78C5" w:rsidRPr="00A2789C" w:rsidRDefault="003C78C5" w:rsidP="00D552F0">
      <w:pPr>
        <w:pStyle w:val="BodyText"/>
      </w:pPr>
      <w:r w:rsidRPr="00A2789C">
        <w:t>Each of the 6,751 reports analyzed contained a cash flow statement and every cash flow statement had exactly the same form.</w:t>
      </w:r>
    </w:p>
    <w:p w14:paraId="04EC0C8A" w14:textId="77777777" w:rsidR="003C78C5" w:rsidRPr="00A2789C" w:rsidRDefault="003C78C5" w:rsidP="00D552F0">
      <w:pPr>
        <w:pStyle w:val="BodyText"/>
        <w:rPr>
          <w:i/>
        </w:rPr>
      </w:pPr>
      <w:r w:rsidRPr="00A2789C">
        <w:rPr>
          <w:i/>
        </w:rPr>
        <w:t>Statement of Changes in Equity</w:t>
      </w:r>
    </w:p>
    <w:p w14:paraId="6EA9B36A" w14:textId="77777777" w:rsidR="003C78C5" w:rsidRPr="00A2789C" w:rsidRDefault="003C78C5" w:rsidP="00D552F0">
      <w:pPr>
        <w:pStyle w:val="BodyText"/>
      </w:pPr>
      <w:r w:rsidRPr="00A2789C">
        <w:t>The statement of changes in equity was not analyzed at this point.</w:t>
      </w:r>
    </w:p>
    <w:p w14:paraId="7F54ECEE" w14:textId="77777777" w:rsidR="003C78C5" w:rsidRPr="00A2789C" w:rsidRDefault="003C78C5" w:rsidP="00D552F0">
      <w:pPr>
        <w:pStyle w:val="BodyText"/>
      </w:pPr>
    </w:p>
    <w:p w14:paraId="78125760" w14:textId="77777777" w:rsidR="003C78C5" w:rsidRPr="00A2789C" w:rsidRDefault="003C78C5" w:rsidP="00D552F0">
      <w:pPr>
        <w:pStyle w:val="BodyText"/>
        <w:rPr>
          <w:b/>
        </w:rPr>
      </w:pPr>
      <w:r w:rsidRPr="00A2789C">
        <w:rPr>
          <w:b/>
        </w:rPr>
        <w:br w:type="page"/>
      </w:r>
    </w:p>
    <w:p w14:paraId="72AEF3E2" w14:textId="77777777" w:rsidR="003C78C5" w:rsidRPr="00A2789C" w:rsidRDefault="003C78C5" w:rsidP="00D552F0">
      <w:pPr>
        <w:pStyle w:val="Heading2"/>
      </w:pPr>
      <w:bookmarkStart w:id="10" w:name="_Toc418920389"/>
      <w:r w:rsidRPr="00A2789C">
        <w:lastRenderedPageBreak/>
        <w:t>Report Frames</w:t>
      </w:r>
      <w:r w:rsidRPr="00A2789C">
        <w:rPr>
          <w:b w:val="0"/>
          <w:i w:val="0"/>
          <w:vertAlign w:val="superscript"/>
        </w:rPr>
        <w:footnoteReference w:id="15"/>
      </w:r>
      <w:bookmarkEnd w:id="10"/>
    </w:p>
    <w:p w14:paraId="3CCF289A" w14:textId="77777777" w:rsidR="003C78C5" w:rsidRPr="00A2789C" w:rsidRDefault="003C78C5" w:rsidP="00D552F0">
      <w:pPr>
        <w:pStyle w:val="BodyText"/>
      </w:pPr>
      <w:r w:rsidRPr="00A2789C">
        <w:t>Each of the 6,751 reports analyzed contained primary financial statements and those primary financial statements followed 86 identifiable patterns called report frames or report pallets.  80% of reports fell into only 9 report frames.  Note that there were 7 entities which had some unique report frame which has not been provided for at this point.</w:t>
      </w:r>
    </w:p>
    <w:p w14:paraId="72556D64" w14:textId="77777777" w:rsidR="003C78C5" w:rsidRPr="00A2789C" w:rsidRDefault="003C78C5" w:rsidP="00D552F0">
      <w:pPr>
        <w:pStyle w:val="BodyText"/>
      </w:pPr>
      <w:r w:rsidRPr="00A2789C">
        <w:rPr>
          <w:noProof/>
        </w:rPr>
        <w:drawing>
          <wp:inline distT="0" distB="0" distL="0" distR="0" wp14:anchorId="12575D95" wp14:editId="3CADD0E8">
            <wp:extent cx="4074566" cy="6037856"/>
            <wp:effectExtent l="0" t="0" r="2540" b="0"/>
            <wp:docPr id="1073741999" name="Picture 1073741999" descr="C:\Users\Charlie\AppData\Local\Temp\SNAGHTML339a1f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harlie\AppData\Local\Temp\SNAGHTML339a1fce.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74645" cy="6037973"/>
                    </a:xfrm>
                    <a:prstGeom prst="rect">
                      <a:avLst/>
                    </a:prstGeom>
                    <a:noFill/>
                    <a:ln>
                      <a:noFill/>
                    </a:ln>
                  </pic:spPr>
                </pic:pic>
              </a:graphicData>
            </a:graphic>
          </wp:inline>
        </w:drawing>
      </w:r>
    </w:p>
    <w:p w14:paraId="5252802D" w14:textId="77777777" w:rsidR="003C78C5" w:rsidRPr="00A2789C" w:rsidRDefault="003C78C5" w:rsidP="00D552F0">
      <w:pPr>
        <w:pStyle w:val="BodyText"/>
        <w:rPr>
          <w:i/>
        </w:rPr>
      </w:pPr>
      <w:r w:rsidRPr="00A2789C">
        <w:rPr>
          <w:i/>
        </w:rPr>
        <w:lastRenderedPageBreak/>
        <w:t>Accounting activity or industry</w:t>
      </w:r>
    </w:p>
    <w:p w14:paraId="420C1916" w14:textId="77777777" w:rsidR="003C78C5" w:rsidRPr="00A2789C" w:rsidRDefault="003C78C5" w:rsidP="00D552F0">
      <w:pPr>
        <w:pStyle w:val="BodyText"/>
      </w:pPr>
      <w:r w:rsidRPr="00A2789C">
        <w:t>The following breaks reporting entities out by accounting activity or industry:</w:t>
      </w:r>
    </w:p>
    <w:p w14:paraId="652B398E" w14:textId="77777777" w:rsidR="003C78C5" w:rsidRPr="00A2789C" w:rsidRDefault="003C78C5" w:rsidP="00D552F0">
      <w:pPr>
        <w:pStyle w:val="BodyText"/>
      </w:pPr>
      <w:r w:rsidRPr="00A2789C">
        <w:rPr>
          <w:noProof/>
        </w:rPr>
        <w:drawing>
          <wp:inline distT="0" distB="0" distL="0" distR="0" wp14:anchorId="73341B76" wp14:editId="310E6D23">
            <wp:extent cx="2783171" cy="2326233"/>
            <wp:effectExtent l="0" t="0" r="0" b="0"/>
            <wp:docPr id="1073742000" name="Picture 107374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2784086" cy="2326998"/>
                    </a:xfrm>
                    <a:prstGeom prst="rect">
                      <a:avLst/>
                    </a:prstGeom>
                  </pic:spPr>
                </pic:pic>
              </a:graphicData>
            </a:graphic>
          </wp:inline>
        </w:drawing>
      </w:r>
    </w:p>
    <w:p w14:paraId="464BF140" w14:textId="77777777" w:rsidR="003C78C5" w:rsidRPr="00A2789C" w:rsidRDefault="003C78C5" w:rsidP="00D552F0">
      <w:pPr>
        <w:pStyle w:val="BodyText"/>
        <w:rPr>
          <w:i/>
        </w:rPr>
      </w:pPr>
      <w:r w:rsidRPr="00A2789C">
        <w:rPr>
          <w:i/>
        </w:rPr>
        <w:t>Balance sheet format</w:t>
      </w:r>
    </w:p>
    <w:p w14:paraId="6A72F6F8" w14:textId="77777777" w:rsidR="003C78C5" w:rsidRPr="00A2789C" w:rsidRDefault="003C78C5" w:rsidP="00D552F0">
      <w:pPr>
        <w:pStyle w:val="BodyText"/>
      </w:pPr>
      <w:r w:rsidRPr="00A2789C">
        <w:t>The following breaks reporting entities out by balance sheet format:</w:t>
      </w:r>
    </w:p>
    <w:p w14:paraId="57797650" w14:textId="77777777" w:rsidR="003C78C5" w:rsidRPr="00A2789C" w:rsidRDefault="003C78C5" w:rsidP="00D552F0">
      <w:pPr>
        <w:pStyle w:val="BodyText"/>
      </w:pPr>
      <w:r w:rsidRPr="00A2789C">
        <w:rPr>
          <w:noProof/>
        </w:rPr>
        <w:drawing>
          <wp:inline distT="0" distB="0" distL="0" distR="0" wp14:anchorId="117DA784" wp14:editId="1C903797">
            <wp:extent cx="2816352" cy="1408176"/>
            <wp:effectExtent l="0" t="0" r="3175" b="1905"/>
            <wp:docPr id="1073742001" name="Picture 107374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2820514" cy="1410257"/>
                    </a:xfrm>
                    <a:prstGeom prst="rect">
                      <a:avLst/>
                    </a:prstGeom>
                  </pic:spPr>
                </pic:pic>
              </a:graphicData>
            </a:graphic>
          </wp:inline>
        </w:drawing>
      </w:r>
    </w:p>
    <w:p w14:paraId="69BCBC51" w14:textId="77777777" w:rsidR="003C78C5" w:rsidRPr="00A2789C" w:rsidRDefault="003C78C5" w:rsidP="00D552F0">
      <w:pPr>
        <w:pStyle w:val="BodyText"/>
        <w:rPr>
          <w:i/>
        </w:rPr>
      </w:pPr>
      <w:r w:rsidRPr="00A2789C">
        <w:rPr>
          <w:i/>
        </w:rPr>
        <w:t>Cash flow statement format</w:t>
      </w:r>
    </w:p>
    <w:p w14:paraId="089166CA" w14:textId="77777777" w:rsidR="003C78C5" w:rsidRPr="00A2789C" w:rsidRDefault="003C78C5" w:rsidP="00D552F0">
      <w:pPr>
        <w:pStyle w:val="BodyText"/>
      </w:pPr>
      <w:r w:rsidRPr="00A2789C">
        <w:t>The following breaks reporting entities out by cash flow statement format:</w:t>
      </w:r>
    </w:p>
    <w:p w14:paraId="4D21146C" w14:textId="77777777" w:rsidR="003C78C5" w:rsidRPr="00A2789C" w:rsidRDefault="003C78C5" w:rsidP="00D552F0">
      <w:pPr>
        <w:pStyle w:val="BodyText"/>
      </w:pPr>
      <w:r w:rsidRPr="00A2789C">
        <w:rPr>
          <w:noProof/>
        </w:rPr>
        <w:drawing>
          <wp:inline distT="0" distB="0" distL="0" distR="0" wp14:anchorId="63B15E04" wp14:editId="2670A834">
            <wp:extent cx="2816352" cy="1374648"/>
            <wp:effectExtent l="0" t="0" r="3175" b="0"/>
            <wp:docPr id="1073742002" name="Picture 107374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2812785" cy="1372907"/>
                    </a:xfrm>
                    <a:prstGeom prst="rect">
                      <a:avLst/>
                    </a:prstGeom>
                  </pic:spPr>
                </pic:pic>
              </a:graphicData>
            </a:graphic>
          </wp:inline>
        </w:drawing>
      </w:r>
    </w:p>
    <w:p w14:paraId="09194030" w14:textId="77777777" w:rsidR="003C78C5" w:rsidRPr="00A2789C" w:rsidRDefault="003C78C5" w:rsidP="00D552F0">
      <w:pPr>
        <w:pStyle w:val="BodyText"/>
      </w:pPr>
    </w:p>
    <w:p w14:paraId="28C039D2" w14:textId="77777777" w:rsidR="003C78C5" w:rsidRPr="00A2789C" w:rsidRDefault="003C78C5" w:rsidP="00D552F0">
      <w:pPr>
        <w:pStyle w:val="BodyText"/>
      </w:pPr>
      <w:r w:rsidRPr="00A2789C">
        <w:br w:type="page"/>
      </w:r>
    </w:p>
    <w:p w14:paraId="7176F298" w14:textId="77777777" w:rsidR="003C78C5" w:rsidRPr="00A2789C" w:rsidRDefault="003C78C5" w:rsidP="00D552F0">
      <w:pPr>
        <w:pStyle w:val="BodyText"/>
        <w:rPr>
          <w:i/>
        </w:rPr>
      </w:pPr>
      <w:r w:rsidRPr="00A2789C">
        <w:rPr>
          <w:i/>
        </w:rPr>
        <w:lastRenderedPageBreak/>
        <w:t>Income statement format</w:t>
      </w:r>
    </w:p>
    <w:p w14:paraId="7B45B218" w14:textId="77777777" w:rsidR="003C78C5" w:rsidRPr="00A2789C" w:rsidRDefault="003C78C5" w:rsidP="00D552F0">
      <w:pPr>
        <w:pStyle w:val="BodyText"/>
      </w:pPr>
      <w:r w:rsidRPr="00A2789C">
        <w:t>The following breaks reporting entities out by income statement format:</w:t>
      </w:r>
    </w:p>
    <w:p w14:paraId="3BCE2CBE" w14:textId="77777777" w:rsidR="003C78C5" w:rsidRPr="00A2789C" w:rsidRDefault="003C78C5" w:rsidP="00D552F0">
      <w:pPr>
        <w:pStyle w:val="BodyText"/>
      </w:pPr>
      <w:r w:rsidRPr="00A2789C">
        <w:rPr>
          <w:noProof/>
        </w:rPr>
        <w:drawing>
          <wp:inline distT="0" distB="0" distL="0" distR="0" wp14:anchorId="4AF1AA2F" wp14:editId="341A9801">
            <wp:extent cx="2457907" cy="1225328"/>
            <wp:effectExtent l="0" t="0" r="0" b="0"/>
            <wp:docPr id="1073742003" name="Picture 107374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2464750" cy="1228739"/>
                    </a:xfrm>
                    <a:prstGeom prst="rect">
                      <a:avLst/>
                    </a:prstGeom>
                  </pic:spPr>
                </pic:pic>
              </a:graphicData>
            </a:graphic>
          </wp:inline>
        </w:drawing>
      </w:r>
    </w:p>
    <w:p w14:paraId="6F974FC2" w14:textId="77777777" w:rsidR="003C78C5" w:rsidRPr="00A2789C" w:rsidRDefault="003C78C5" w:rsidP="00D552F0">
      <w:pPr>
        <w:pStyle w:val="BodyText"/>
        <w:rPr>
          <w:i/>
        </w:rPr>
      </w:pPr>
    </w:p>
    <w:p w14:paraId="1ADBC468" w14:textId="77777777" w:rsidR="003C78C5" w:rsidRPr="00A2789C" w:rsidRDefault="003C78C5" w:rsidP="00D552F0">
      <w:pPr>
        <w:pStyle w:val="BodyText"/>
        <w:rPr>
          <w:i/>
        </w:rPr>
      </w:pPr>
      <w:r w:rsidRPr="00A2789C">
        <w:rPr>
          <w:i/>
        </w:rPr>
        <w:t>Reporting of income (loss) from equity method investments</w:t>
      </w:r>
    </w:p>
    <w:p w14:paraId="7C0A983A" w14:textId="77777777" w:rsidR="003C78C5" w:rsidRPr="00A2789C" w:rsidRDefault="003C78C5" w:rsidP="00D552F0">
      <w:pPr>
        <w:pStyle w:val="BodyText"/>
      </w:pPr>
      <w:r w:rsidRPr="00A2789C">
        <w:t>The following breaks reporting entities out by where the line item Income (loss) from equity method investments is reported:</w:t>
      </w:r>
    </w:p>
    <w:p w14:paraId="3D7EF017" w14:textId="77777777" w:rsidR="003C78C5" w:rsidRPr="00A2789C" w:rsidRDefault="003C78C5" w:rsidP="00D552F0">
      <w:pPr>
        <w:pStyle w:val="BodyText"/>
      </w:pPr>
      <w:r w:rsidRPr="00A2789C">
        <w:rPr>
          <w:noProof/>
        </w:rPr>
        <w:drawing>
          <wp:inline distT="0" distB="0" distL="0" distR="0" wp14:anchorId="7B462A6A" wp14:editId="4DD60C5C">
            <wp:extent cx="2517551" cy="3167482"/>
            <wp:effectExtent l="0" t="0" r="0" b="0"/>
            <wp:docPr id="1073742004" name="Picture 107374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2518632" cy="3168842"/>
                    </a:xfrm>
                    <a:prstGeom prst="rect">
                      <a:avLst/>
                    </a:prstGeom>
                  </pic:spPr>
                </pic:pic>
              </a:graphicData>
            </a:graphic>
          </wp:inline>
        </w:drawing>
      </w:r>
    </w:p>
    <w:p w14:paraId="49CD887C" w14:textId="77777777" w:rsidR="003C78C5" w:rsidRPr="00A2789C" w:rsidRDefault="003C78C5" w:rsidP="00D552F0">
      <w:pPr>
        <w:pStyle w:val="BodyText"/>
        <w:rPr>
          <w:i/>
        </w:rPr>
      </w:pPr>
      <w:r w:rsidRPr="00A2789C">
        <w:rPr>
          <w:i/>
        </w:rPr>
        <w:t>Reporting of operating income (loss)</w:t>
      </w:r>
    </w:p>
    <w:p w14:paraId="6CF9C6A0" w14:textId="77777777" w:rsidR="003C78C5" w:rsidRPr="00A2789C" w:rsidRDefault="003C78C5" w:rsidP="00D552F0">
      <w:pPr>
        <w:pStyle w:val="BodyText"/>
      </w:pPr>
      <w:r w:rsidRPr="00A2789C">
        <w:t>The following breaks reporting entities out by whether the line item Operating income (loss) was or was not reported:</w:t>
      </w:r>
    </w:p>
    <w:p w14:paraId="4545D033" w14:textId="77777777" w:rsidR="003C78C5" w:rsidRPr="00A2789C" w:rsidRDefault="003C78C5" w:rsidP="00D552F0">
      <w:pPr>
        <w:pStyle w:val="BodyText"/>
      </w:pPr>
      <w:r w:rsidRPr="00A2789C">
        <w:rPr>
          <w:noProof/>
        </w:rPr>
        <w:drawing>
          <wp:inline distT="0" distB="0" distL="0" distR="0" wp14:anchorId="27A4F5F9" wp14:editId="7E7D0F0B">
            <wp:extent cx="2560320" cy="1231067"/>
            <wp:effectExtent l="0" t="0" r="0" b="7620"/>
            <wp:docPr id="1073742005" name="Picture 107374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2565620" cy="1233615"/>
                    </a:xfrm>
                    <a:prstGeom prst="rect">
                      <a:avLst/>
                    </a:prstGeom>
                  </pic:spPr>
                </pic:pic>
              </a:graphicData>
            </a:graphic>
          </wp:inline>
        </w:drawing>
      </w:r>
    </w:p>
    <w:p w14:paraId="225119E8" w14:textId="77777777" w:rsidR="003C78C5" w:rsidRPr="00A2789C" w:rsidRDefault="003C78C5" w:rsidP="00D552F0">
      <w:pPr>
        <w:pStyle w:val="BodyText"/>
      </w:pPr>
      <w:r w:rsidRPr="00A2789C">
        <w:br w:type="page"/>
      </w:r>
    </w:p>
    <w:p w14:paraId="1C5BA9E8" w14:textId="77777777" w:rsidR="003C78C5" w:rsidRPr="00A2789C" w:rsidRDefault="003C78C5" w:rsidP="00D552F0">
      <w:pPr>
        <w:pStyle w:val="Heading2"/>
      </w:pPr>
      <w:bookmarkStart w:id="11" w:name="_Toc418920390"/>
      <w:r w:rsidRPr="00A2789C">
        <w:lastRenderedPageBreak/>
        <w:t>Fundamental accounting concepts</w:t>
      </w:r>
      <w:bookmarkEnd w:id="11"/>
    </w:p>
    <w:p w14:paraId="0391EDD8" w14:textId="77777777" w:rsidR="003C78C5" w:rsidRPr="00A2789C" w:rsidRDefault="003C78C5" w:rsidP="00D552F0">
      <w:pPr>
        <w:pStyle w:val="BodyText"/>
      </w:pPr>
      <w:r w:rsidRPr="00A2789C">
        <w:t>Closely related to report frames</w:t>
      </w:r>
      <w:r w:rsidRPr="00A2789C">
        <w:rPr>
          <w:vertAlign w:val="superscript"/>
        </w:rPr>
        <w:footnoteReference w:id="16"/>
      </w:r>
      <w:r w:rsidRPr="00A2789C">
        <w:t xml:space="preserve"> are fundamental accounting concepts and relations between fundamental accounting concepts.  Each report frame has a set of fundamental accounting concepts and relations between concepts.  However, most report frames share the majority of relations.  The following is a summary of XBRL-based public company financial filings to fundamental accounting concept relations in general:</w:t>
      </w:r>
    </w:p>
    <w:p w14:paraId="105E32AA" w14:textId="77777777" w:rsidR="003C78C5" w:rsidRPr="00A2789C" w:rsidRDefault="003C78C5" w:rsidP="00D552F0">
      <w:pPr>
        <w:pStyle w:val="BodyText"/>
      </w:pPr>
      <w:r w:rsidRPr="00A2789C">
        <w:rPr>
          <w:noProof/>
        </w:rPr>
        <w:drawing>
          <wp:inline distT="0" distB="0" distL="0" distR="0" wp14:anchorId="1EB7250A" wp14:editId="7314B6D6">
            <wp:extent cx="5450152" cy="5457139"/>
            <wp:effectExtent l="0" t="0" r="0" b="0"/>
            <wp:docPr id="1073742006" name="Picture 107374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5447083" cy="5454066"/>
                    </a:xfrm>
                    <a:prstGeom prst="rect">
                      <a:avLst/>
                    </a:prstGeom>
                  </pic:spPr>
                </pic:pic>
              </a:graphicData>
            </a:graphic>
          </wp:inline>
        </w:drawing>
      </w:r>
    </w:p>
    <w:p w14:paraId="08CA6A45" w14:textId="77777777" w:rsidR="003C78C5" w:rsidRPr="00A2789C" w:rsidRDefault="003C78C5" w:rsidP="00D552F0">
      <w:pPr>
        <w:pStyle w:val="BodyText"/>
        <w:rPr>
          <w:b/>
        </w:rPr>
      </w:pPr>
      <w:r w:rsidRPr="00A2789C">
        <w:t>Report frames provide a more precise set of relations.</w:t>
      </w:r>
      <w:r w:rsidRPr="00A2789C">
        <w:rPr>
          <w:b/>
        </w:rPr>
        <w:br w:type="page"/>
      </w:r>
    </w:p>
    <w:p w14:paraId="585B899E" w14:textId="77777777" w:rsidR="003C78C5" w:rsidRPr="00A2789C" w:rsidRDefault="003C78C5" w:rsidP="00D552F0">
      <w:pPr>
        <w:pStyle w:val="Heading2"/>
      </w:pPr>
      <w:bookmarkStart w:id="12" w:name="_Toc418920391"/>
      <w:r w:rsidRPr="00A2789C">
        <w:lastRenderedPageBreak/>
        <w:t>Parenthetical Explanations</w:t>
      </w:r>
      <w:bookmarkEnd w:id="12"/>
    </w:p>
    <w:p w14:paraId="4ABB6736" w14:textId="77777777" w:rsidR="003C78C5" w:rsidRPr="00A2789C" w:rsidRDefault="003C78C5" w:rsidP="00D552F0">
      <w:pPr>
        <w:pStyle w:val="BodyText"/>
      </w:pPr>
      <w:r w:rsidRPr="00A2789C">
        <w:t>The 6,751 reports analyzed contained a total of 27,909 parenthetical explanations (implemented in the form of an XBRL footnote) with an average of 4.1 parenthetical explanations per report.</w:t>
      </w:r>
    </w:p>
    <w:p w14:paraId="12736347" w14:textId="77777777" w:rsidR="003C78C5" w:rsidRPr="00A2789C" w:rsidRDefault="003C78C5" w:rsidP="00D552F0">
      <w:pPr>
        <w:pStyle w:val="BodyText"/>
      </w:pPr>
      <w:r w:rsidRPr="00A2789C">
        <w:rPr>
          <w:noProof/>
        </w:rPr>
        <w:drawing>
          <wp:inline distT="0" distB="0" distL="0" distR="0" wp14:anchorId="7CB73782" wp14:editId="1BD97B87">
            <wp:extent cx="2771583" cy="936346"/>
            <wp:effectExtent l="0" t="0" r="0" b="0"/>
            <wp:docPr id="1073742007" name="Picture 107374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2771836" cy="936431"/>
                    </a:xfrm>
                    <a:prstGeom prst="rect">
                      <a:avLst/>
                    </a:prstGeom>
                  </pic:spPr>
                </pic:pic>
              </a:graphicData>
            </a:graphic>
          </wp:inline>
        </w:drawing>
      </w:r>
    </w:p>
    <w:p w14:paraId="6FB45A68" w14:textId="77777777" w:rsidR="003C78C5" w:rsidRPr="00A2789C" w:rsidRDefault="003C78C5" w:rsidP="00D552F0">
      <w:pPr>
        <w:pStyle w:val="BodyText"/>
      </w:pPr>
      <w:r w:rsidRPr="00A2789C">
        <w:t>The minimum number of parenthetical explanations was 0 with 61% of all reporting entities reporting no parenthetical explanations, the maximum 303 parenthetical explanations. The following shows a histogram of the number of parenthetical explanations:</w:t>
      </w:r>
    </w:p>
    <w:p w14:paraId="74FD29C9" w14:textId="77777777" w:rsidR="003C78C5" w:rsidRPr="00A2789C" w:rsidRDefault="003C78C5" w:rsidP="00D552F0">
      <w:pPr>
        <w:pStyle w:val="BodyText"/>
      </w:pPr>
      <w:r w:rsidRPr="00A2789C">
        <w:rPr>
          <w:noProof/>
        </w:rPr>
        <w:drawing>
          <wp:inline distT="0" distB="0" distL="0" distR="0" wp14:anchorId="0164A2EB" wp14:editId="0CCABFAE">
            <wp:extent cx="2933334" cy="4190476"/>
            <wp:effectExtent l="0" t="0" r="635" b="635"/>
            <wp:docPr id="1073742008" name="Picture 107374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stretch>
                      <a:fillRect/>
                    </a:stretch>
                  </pic:blipFill>
                  <pic:spPr>
                    <a:xfrm>
                      <a:off x="0" y="0"/>
                      <a:ext cx="2933334" cy="4190476"/>
                    </a:xfrm>
                    <a:prstGeom prst="rect">
                      <a:avLst/>
                    </a:prstGeom>
                  </pic:spPr>
                </pic:pic>
              </a:graphicData>
            </a:graphic>
          </wp:inline>
        </w:drawing>
      </w:r>
    </w:p>
    <w:p w14:paraId="2F38F457" w14:textId="77777777" w:rsidR="003C78C5" w:rsidRPr="00A2789C" w:rsidRDefault="003C78C5" w:rsidP="00D552F0">
      <w:pPr>
        <w:pStyle w:val="BodyText"/>
      </w:pPr>
    </w:p>
    <w:p w14:paraId="37026BDF" w14:textId="77777777" w:rsidR="003C78C5" w:rsidRPr="00A2789C" w:rsidRDefault="003C78C5" w:rsidP="00D552F0">
      <w:pPr>
        <w:pStyle w:val="BodyText"/>
      </w:pPr>
      <w:r w:rsidRPr="00A2789C">
        <w:br w:type="page"/>
      </w:r>
    </w:p>
    <w:p w14:paraId="72F121AD" w14:textId="77777777" w:rsidR="003C78C5" w:rsidRPr="00A2789C" w:rsidRDefault="003C78C5" w:rsidP="00D552F0">
      <w:pPr>
        <w:pStyle w:val="Heading2"/>
      </w:pPr>
      <w:bookmarkStart w:id="13" w:name="_Toc418920392"/>
      <w:r w:rsidRPr="00A2789C">
        <w:lastRenderedPageBreak/>
        <w:t>Going Concern and Developing Stage</w:t>
      </w:r>
      <w:bookmarkEnd w:id="13"/>
    </w:p>
    <w:p w14:paraId="27A5D79F" w14:textId="77777777" w:rsidR="003C78C5" w:rsidRPr="00A2789C" w:rsidRDefault="003C78C5" w:rsidP="00D552F0">
      <w:pPr>
        <w:pStyle w:val="BodyText"/>
      </w:pPr>
      <w:r w:rsidRPr="00A2789C">
        <w:t>Of the 6,751 reports analyzed, 80% had neither going concern issues nor was a developing stage enterprise.  4% had both going concern issues and were developing stage enterprises:</w:t>
      </w:r>
    </w:p>
    <w:p w14:paraId="204DA649" w14:textId="77777777" w:rsidR="003C78C5" w:rsidRPr="00A2789C" w:rsidRDefault="003C78C5" w:rsidP="00D552F0">
      <w:pPr>
        <w:pStyle w:val="BodyText"/>
      </w:pPr>
      <w:r w:rsidRPr="00A2789C">
        <w:rPr>
          <w:noProof/>
        </w:rPr>
        <w:drawing>
          <wp:inline distT="0" distB="0" distL="0" distR="0" wp14:anchorId="5928336D" wp14:editId="7649D14C">
            <wp:extent cx="3104762" cy="1352381"/>
            <wp:effectExtent l="0" t="0" r="635" b="635"/>
            <wp:docPr id="1073742009" name="Picture 107374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stretch>
                      <a:fillRect/>
                    </a:stretch>
                  </pic:blipFill>
                  <pic:spPr>
                    <a:xfrm>
                      <a:off x="0" y="0"/>
                      <a:ext cx="3104762" cy="1352381"/>
                    </a:xfrm>
                    <a:prstGeom prst="rect">
                      <a:avLst/>
                    </a:prstGeom>
                  </pic:spPr>
                </pic:pic>
              </a:graphicData>
            </a:graphic>
          </wp:inline>
        </w:drawing>
      </w:r>
    </w:p>
    <w:p w14:paraId="5DF108D9" w14:textId="77777777" w:rsidR="003C78C5" w:rsidRPr="00A2789C" w:rsidRDefault="003C78C5" w:rsidP="00D552F0">
      <w:pPr>
        <w:pStyle w:val="BodyText"/>
      </w:pPr>
    </w:p>
    <w:p w14:paraId="02ED4DDE" w14:textId="77777777" w:rsidR="003C78C5" w:rsidRPr="00A2789C" w:rsidRDefault="003C78C5" w:rsidP="00D552F0">
      <w:pPr>
        <w:pStyle w:val="BodyText"/>
      </w:pPr>
      <w:r w:rsidRPr="00A2789C">
        <w:br w:type="page"/>
      </w:r>
    </w:p>
    <w:p w14:paraId="64D0F9BD" w14:textId="77777777" w:rsidR="003C78C5" w:rsidRPr="00A2789C" w:rsidRDefault="003C78C5" w:rsidP="00D552F0">
      <w:pPr>
        <w:pStyle w:val="Heading2"/>
      </w:pPr>
      <w:bookmarkStart w:id="14" w:name="_Toc418920393"/>
      <w:r w:rsidRPr="00A2789C">
        <w:lastRenderedPageBreak/>
        <w:t>Relations between report elements</w:t>
      </w:r>
      <w:bookmarkEnd w:id="14"/>
    </w:p>
    <w:p w14:paraId="4009BB6D" w14:textId="77777777" w:rsidR="003C78C5" w:rsidRPr="00A2789C" w:rsidRDefault="003C78C5" w:rsidP="00D552F0">
      <w:pPr>
        <w:pStyle w:val="BodyText"/>
      </w:pPr>
      <w:r w:rsidRPr="00A2789C">
        <w:t>The 6,751 reports had a total of 6,142,578 relations between report elements which were used to represent the information reported in the XBRL-based financial report.  These report elements could be grouped into the following classes or categories:</w:t>
      </w:r>
    </w:p>
    <w:p w14:paraId="5068276D" w14:textId="77777777" w:rsidR="003C78C5" w:rsidRPr="00A2789C" w:rsidRDefault="003C78C5" w:rsidP="00D552F0">
      <w:pPr>
        <w:pStyle w:val="BodyText"/>
      </w:pPr>
      <w:r w:rsidRPr="00A2789C">
        <w:rPr>
          <w:noProof/>
        </w:rPr>
        <w:drawing>
          <wp:inline distT="0" distB="0" distL="0" distR="0" wp14:anchorId="08EF39F6" wp14:editId="5C8F54D4">
            <wp:extent cx="3495238" cy="2447619"/>
            <wp:effectExtent l="0" t="0" r="0" b="0"/>
            <wp:docPr id="1073742010" name="Picture 107374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stretch>
                      <a:fillRect/>
                    </a:stretch>
                  </pic:blipFill>
                  <pic:spPr>
                    <a:xfrm>
                      <a:off x="0" y="0"/>
                      <a:ext cx="3495238" cy="2447619"/>
                    </a:xfrm>
                    <a:prstGeom prst="rect">
                      <a:avLst/>
                    </a:prstGeom>
                  </pic:spPr>
                </pic:pic>
              </a:graphicData>
            </a:graphic>
          </wp:inline>
        </w:drawing>
      </w:r>
    </w:p>
    <w:p w14:paraId="46BD70D7" w14:textId="77777777" w:rsidR="003C78C5" w:rsidRPr="00A2789C" w:rsidRDefault="003C78C5" w:rsidP="00D552F0">
      <w:pPr>
        <w:pStyle w:val="BodyText"/>
      </w:pPr>
      <w:r w:rsidRPr="00A2789C">
        <w:t>Of the total relations, 99.99% of the relations were unambiguous; .01% were ambiguous. The table below shows parent report elements across the top and child report elements in the rows, and the count of the number of relations between the child class and the parent class within the cells of the table:</w:t>
      </w:r>
    </w:p>
    <w:p w14:paraId="6C9EC5B0" w14:textId="77777777" w:rsidR="003C78C5" w:rsidRPr="00A2789C" w:rsidRDefault="003C78C5" w:rsidP="00D552F0">
      <w:pPr>
        <w:pStyle w:val="BodyText"/>
      </w:pPr>
      <w:r w:rsidRPr="00A2789C">
        <w:rPr>
          <w:noProof/>
        </w:rPr>
        <w:drawing>
          <wp:inline distT="0" distB="0" distL="0" distR="0" wp14:anchorId="01B62748" wp14:editId="440D959A">
            <wp:extent cx="5471770" cy="1992285"/>
            <wp:effectExtent l="0" t="0" r="0" b="8255"/>
            <wp:docPr id="1073742011" name="Picture 107374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5468687" cy="1991162"/>
                    </a:xfrm>
                    <a:prstGeom prst="rect">
                      <a:avLst/>
                    </a:prstGeom>
                  </pic:spPr>
                </pic:pic>
              </a:graphicData>
            </a:graphic>
          </wp:inline>
        </w:drawing>
      </w:r>
    </w:p>
    <w:p w14:paraId="2212EC1F" w14:textId="77777777" w:rsidR="003C78C5" w:rsidRDefault="003C78C5" w:rsidP="00D552F0">
      <w:pPr>
        <w:pStyle w:val="BodyText"/>
      </w:pPr>
      <w:r w:rsidRPr="00A2789C">
        <w:t xml:space="preserve">RED cells indicate relations rules enforced by XBRL technical syntax validation.  Note that all such relations are consistent.  GREEN relations are anticipated and unambiguous relations.  TAN relations are relations which are anticipated to NEVER exist, and they do not exist because the count in the cell is 0; </w:t>
      </w:r>
      <w:proofErr w:type="gramStart"/>
      <w:r w:rsidRPr="00A2789C">
        <w:t>so</w:t>
      </w:r>
      <w:proofErr w:type="gramEnd"/>
      <w:r w:rsidRPr="00A2789C">
        <w:t xml:space="preserve"> these are consistent with expectation.  ORANGE cells indicate unexpected relations and therefore are deemed inconsistent.  Some of these inconsistent relations to not impact interpretation of information.  YELLOW relations are not ambiguous, not generally expected, but don’t seem to cause interpretation issues.</w:t>
      </w:r>
    </w:p>
    <w:p w14:paraId="4AF92C6A" w14:textId="77777777" w:rsidR="003C78C5" w:rsidRPr="00A2789C" w:rsidRDefault="003C78C5" w:rsidP="00D552F0">
      <w:pPr>
        <w:pStyle w:val="Heading2"/>
      </w:pPr>
      <w:bookmarkStart w:id="15" w:name="_Toc418920394"/>
      <w:r>
        <w:lastRenderedPageBreak/>
        <w:t>Comparison of report quality by generator</w:t>
      </w:r>
      <w:bookmarkEnd w:id="15"/>
    </w:p>
    <w:p w14:paraId="5429BF77" w14:textId="77777777" w:rsidR="003C78C5" w:rsidRDefault="003C78C5" w:rsidP="00D552F0">
      <w:pPr>
        <w:pStyle w:val="BodyText"/>
      </w:pPr>
      <w:r>
        <w:t>The quality of public company XBRL-based digital financial reports continues to increase.  There are two significant trends.  First, between 2013 and 2014 overall consistency with all the rules in a set of 21 fundamental accounting concept relationship rules grew to 53.8% from the comparable overall consistency of 25.6% a year ago.</w:t>
      </w:r>
    </w:p>
    <w:p w14:paraId="60A313B7" w14:textId="77777777" w:rsidR="003C78C5" w:rsidRDefault="003C78C5" w:rsidP="00D552F0">
      <w:pPr>
        <w:pStyle w:val="BodyText"/>
      </w:pPr>
      <w:r>
        <w:t>The second trend is that you can see an increasing spread between the quality levels between generators, the software vendors and filing agents which are used to create these XBRL-based digital financial reports.  Here is a summary of the current results (for 2014 10-K filings):</w:t>
      </w:r>
      <w:r>
        <w:rPr>
          <w:rStyle w:val="FootnoteReference"/>
        </w:rPr>
        <w:footnoteReference w:id="17"/>
      </w:r>
    </w:p>
    <w:p w14:paraId="6B384B5D" w14:textId="77777777" w:rsidR="003C78C5" w:rsidRDefault="003C78C5" w:rsidP="00D552F0">
      <w:pPr>
        <w:pStyle w:val="BodyText"/>
      </w:pPr>
      <w:r>
        <w:rPr>
          <w:noProof/>
        </w:rPr>
        <w:drawing>
          <wp:inline distT="0" distB="0" distL="0" distR="0" wp14:anchorId="58310160" wp14:editId="6B0E94D7">
            <wp:extent cx="4657143" cy="5485715"/>
            <wp:effectExtent l="0" t="0" r="0" b="1270"/>
            <wp:docPr id="1073742012" name="Picture 107374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tretch>
                      <a:fillRect/>
                    </a:stretch>
                  </pic:blipFill>
                  <pic:spPr>
                    <a:xfrm>
                      <a:off x="0" y="0"/>
                      <a:ext cx="4657143" cy="5485715"/>
                    </a:xfrm>
                    <a:prstGeom prst="rect">
                      <a:avLst/>
                    </a:prstGeom>
                  </pic:spPr>
                </pic:pic>
              </a:graphicData>
            </a:graphic>
          </wp:inline>
        </w:drawing>
      </w:r>
    </w:p>
    <w:p w14:paraId="69B02099" w14:textId="77777777" w:rsidR="003C78C5" w:rsidRPr="00A2789C" w:rsidRDefault="003C78C5" w:rsidP="00D552F0">
      <w:pPr>
        <w:pStyle w:val="Heading2"/>
      </w:pPr>
      <w:bookmarkStart w:id="16" w:name="_Toc418920395"/>
      <w:r>
        <w:lastRenderedPageBreak/>
        <w:t>Quality gap</w:t>
      </w:r>
      <w:bookmarkEnd w:id="16"/>
    </w:p>
    <w:p w14:paraId="24DF8A7D" w14:textId="77777777" w:rsidR="003C78C5" w:rsidRDefault="003C78C5" w:rsidP="00D552F0">
      <w:pPr>
        <w:pStyle w:val="BodyText"/>
      </w:pPr>
      <w:r>
        <w:t>The table below shows a histogram of issues discovered related to an analysis of the fundamental accounting concepts reported in 2014 to the SEC within XBRL-based financial reports.</w:t>
      </w:r>
    </w:p>
    <w:p w14:paraId="2ED0AF62" w14:textId="77777777" w:rsidR="003C78C5" w:rsidRDefault="003C78C5" w:rsidP="00D552F0">
      <w:pPr>
        <w:pStyle w:val="BodyText"/>
      </w:pPr>
      <w:r>
        <w:t>The histogram shows that 98.77% of public companies are 5 or fewer fundamental accounting concept inconsistencies away from being 100% consistent with this basic set of accounting relations:</w:t>
      </w:r>
    </w:p>
    <w:p w14:paraId="16E51181" w14:textId="77777777" w:rsidR="003C78C5" w:rsidRPr="00A2789C" w:rsidRDefault="003C78C5" w:rsidP="00D552F0">
      <w:pPr>
        <w:pStyle w:val="BodyText"/>
      </w:pPr>
      <w:r>
        <w:rPr>
          <w:noProof/>
        </w:rPr>
        <w:drawing>
          <wp:inline distT="0" distB="0" distL="0" distR="0" wp14:anchorId="2970FB8F" wp14:editId="6E6F75BD">
            <wp:extent cx="2450592" cy="3574484"/>
            <wp:effectExtent l="0" t="0" r="6985" b="6985"/>
            <wp:docPr id="1073742013" name="Picture 107374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
                    <a:stretch>
                      <a:fillRect/>
                    </a:stretch>
                  </pic:blipFill>
                  <pic:spPr>
                    <a:xfrm>
                      <a:off x="0" y="0"/>
                      <a:ext cx="2449313" cy="3572619"/>
                    </a:xfrm>
                    <a:prstGeom prst="rect">
                      <a:avLst/>
                    </a:prstGeom>
                  </pic:spPr>
                </pic:pic>
              </a:graphicData>
            </a:graphic>
          </wp:inline>
        </w:drawing>
      </w:r>
    </w:p>
    <w:p w14:paraId="6CDD3F9A" w14:textId="77777777" w:rsidR="003C78C5" w:rsidRDefault="003C78C5" w:rsidP="00D552F0">
      <w:pPr>
        <w:pStyle w:val="BodyText"/>
        <w:rPr>
          <w:bCs/>
        </w:rPr>
      </w:pPr>
      <w:r w:rsidRPr="00E02158">
        <w:rPr>
          <w:bCs/>
        </w:rPr>
        <w:t>This is the same information shown graphically:</w:t>
      </w:r>
    </w:p>
    <w:p w14:paraId="7EDDEA8E" w14:textId="77777777" w:rsidR="003C78C5" w:rsidRDefault="003C78C5" w:rsidP="00D552F0">
      <w:pPr>
        <w:pStyle w:val="BodyText"/>
        <w:rPr>
          <w:bCs/>
        </w:rPr>
      </w:pPr>
      <w:r>
        <w:rPr>
          <w:noProof/>
        </w:rPr>
        <w:drawing>
          <wp:inline distT="0" distB="0" distL="0" distR="0" wp14:anchorId="4504B6DD" wp14:editId="60E82901">
            <wp:extent cx="4286707" cy="2200601"/>
            <wp:effectExtent l="0" t="0" r="0" b="9525"/>
            <wp:docPr id="1073742014" name="Picture 107374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stretch>
                      <a:fillRect/>
                    </a:stretch>
                  </pic:blipFill>
                  <pic:spPr>
                    <a:xfrm>
                      <a:off x="0" y="0"/>
                      <a:ext cx="4286885" cy="2200692"/>
                    </a:xfrm>
                    <a:prstGeom prst="rect">
                      <a:avLst/>
                    </a:prstGeom>
                  </pic:spPr>
                </pic:pic>
              </a:graphicData>
            </a:graphic>
          </wp:inline>
        </w:drawing>
      </w:r>
    </w:p>
    <w:p w14:paraId="227C5448" w14:textId="77777777" w:rsidR="003C78C5" w:rsidRDefault="003C78C5" w:rsidP="00D552F0">
      <w:pPr>
        <w:pStyle w:val="BodyText"/>
        <w:rPr>
          <w:bCs/>
        </w:rPr>
      </w:pPr>
    </w:p>
    <w:p w14:paraId="4BC60FD8" w14:textId="77777777" w:rsidR="003C78C5" w:rsidRDefault="003C78C5" w:rsidP="00D552F0">
      <w:pPr>
        <w:pStyle w:val="BodyText"/>
        <w:rPr>
          <w:bCs/>
        </w:rPr>
      </w:pPr>
    </w:p>
    <w:sectPr w:rsidR="003C78C5" w:rsidSect="00D5119C">
      <w:headerReference w:type="default" r:id="rId45"/>
      <w:footerReference w:type="default" r:id="rId46"/>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18EAD" w14:textId="77777777" w:rsidR="00216DF2" w:rsidRDefault="00216DF2">
      <w:r>
        <w:separator/>
      </w:r>
    </w:p>
  </w:endnote>
  <w:endnote w:type="continuationSeparator" w:id="0">
    <w:p w14:paraId="64D3C2DA" w14:textId="77777777" w:rsidR="00216DF2" w:rsidRDefault="0021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85A2F" w14:textId="77777777" w:rsidR="00E3449C" w:rsidRDefault="00331041">
    <w:pPr>
      <w:pStyle w:val="Footer"/>
      <w:rPr>
        <w:rFonts w:cs="Lucida Sans Unicode"/>
        <w:sz w:val="16"/>
      </w:rPr>
    </w:pPr>
    <w:r>
      <w:rPr>
        <w:noProof/>
      </w:rPr>
      <w:drawing>
        <wp:inline distT="0" distB="0" distL="0" distR="0" wp14:anchorId="6A4D1004" wp14:editId="296C5B7F">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sz w:val="12"/>
        <w:szCs w:val="16"/>
      </w:rPr>
      <w:t xml:space="preserve"> </w:t>
    </w:r>
    <w:r w:rsidR="00E3449C">
      <w:rPr>
        <w:rFonts w:cs="Lucida Sans Unicode"/>
        <w:sz w:val="16"/>
      </w:rPr>
      <w:tab/>
    </w:r>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15755D">
      <w:rPr>
        <w:rFonts w:cs="Lucida Sans Unicode"/>
        <w:noProof/>
        <w:sz w:val="16"/>
      </w:rPr>
      <w:t>1</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012E05" w14:textId="77777777" w:rsidR="00216DF2" w:rsidRDefault="00216DF2">
      <w:r>
        <w:separator/>
      </w:r>
    </w:p>
  </w:footnote>
  <w:footnote w:type="continuationSeparator" w:id="0">
    <w:p w14:paraId="42685777" w14:textId="77777777" w:rsidR="00216DF2" w:rsidRDefault="00216DF2">
      <w:r>
        <w:continuationSeparator/>
      </w:r>
    </w:p>
  </w:footnote>
  <w:footnote w:id="1">
    <w:p w14:paraId="3CFEDC25" w14:textId="77777777" w:rsidR="003C78C5" w:rsidRDefault="003C78C5" w:rsidP="00D552F0">
      <w:pPr>
        <w:pStyle w:val="FootnoteText"/>
        <w:jc w:val="left"/>
      </w:pPr>
      <w:r>
        <w:rPr>
          <w:rStyle w:val="FootnoteReference"/>
        </w:rPr>
        <w:footnoteRef/>
      </w:r>
      <w:r>
        <w:t xml:space="preserve"> </w:t>
      </w:r>
      <w:r w:rsidRPr="00A2789C">
        <w:rPr>
          <w:sz w:val="16"/>
        </w:rPr>
        <w:t xml:space="preserve">Understanding Public Company XBRL-based Financial Report Quality  </w:t>
      </w:r>
      <w:hyperlink r:id="rId1" w:history="1">
        <w:r w:rsidRPr="00A2789C">
          <w:rPr>
            <w:rStyle w:val="Hyperlink"/>
            <w:sz w:val="16"/>
          </w:rPr>
          <w:t>http://xbrl.squarespace.com/journal/2015/4/7/understanding-public-company-xbrl-based-financial-report-qua.html</w:t>
        </w:r>
      </w:hyperlink>
      <w:r w:rsidRPr="00A2789C">
        <w:rPr>
          <w:sz w:val="16"/>
        </w:rPr>
        <w:t xml:space="preserve"> </w:t>
      </w:r>
    </w:p>
  </w:footnote>
  <w:footnote w:id="2">
    <w:p w14:paraId="18505C73" w14:textId="77777777" w:rsidR="003C78C5" w:rsidRDefault="003C78C5" w:rsidP="00D552F0">
      <w:pPr>
        <w:pStyle w:val="FootnoteText"/>
        <w:jc w:val="left"/>
      </w:pPr>
      <w:r>
        <w:rPr>
          <w:rStyle w:val="FootnoteReference"/>
        </w:rPr>
        <w:footnoteRef/>
      </w:r>
      <w:r>
        <w:t xml:space="preserve"> </w:t>
      </w:r>
      <w:r w:rsidRPr="00A2789C">
        <w:rPr>
          <w:i/>
          <w:sz w:val="16"/>
        </w:rPr>
        <w:t>Understanding the Mechanics of an SEC-type XBRL-based Digital Financial Report</w:t>
      </w:r>
      <w:r w:rsidRPr="00A2789C">
        <w:rPr>
          <w:sz w:val="16"/>
        </w:rPr>
        <w:t xml:space="preserve">, </w:t>
      </w:r>
      <w:hyperlink r:id="rId2" w:history="1">
        <w:r w:rsidRPr="00A2789C">
          <w:rPr>
            <w:rStyle w:val="Hyperlink"/>
            <w:sz w:val="16"/>
          </w:rPr>
          <w:t>http://www.xbrlsite.com/2015/Library/UnderstandingTheMechanicsOfAnSECTypeDigitalFinancialReport.pdf</w:t>
        </w:r>
      </w:hyperlink>
      <w:r w:rsidRPr="00A2789C">
        <w:rPr>
          <w:sz w:val="16"/>
        </w:rPr>
        <w:t xml:space="preserve"> </w:t>
      </w:r>
    </w:p>
  </w:footnote>
  <w:footnote w:id="3">
    <w:p w14:paraId="5DF7558F" w14:textId="77777777" w:rsidR="003C78C5" w:rsidRDefault="003C78C5" w:rsidP="00D552F0">
      <w:pPr>
        <w:pStyle w:val="FootnoteText"/>
        <w:jc w:val="left"/>
      </w:pPr>
      <w:r>
        <w:rPr>
          <w:rStyle w:val="FootnoteReference"/>
        </w:rPr>
        <w:footnoteRef/>
      </w:r>
      <w:r>
        <w:t xml:space="preserve"> </w:t>
      </w:r>
      <w:r w:rsidRPr="00A2789C">
        <w:rPr>
          <w:i/>
          <w:sz w:val="16"/>
        </w:rPr>
        <w:t>Terminology of a Financial Report</w:t>
      </w:r>
      <w:r w:rsidRPr="00A2789C">
        <w:rPr>
          <w:sz w:val="16"/>
        </w:rPr>
        <w:t xml:space="preserve">, </w:t>
      </w:r>
      <w:hyperlink r:id="rId3" w:history="1">
        <w:r w:rsidRPr="00A2789C">
          <w:rPr>
            <w:rStyle w:val="Hyperlink"/>
            <w:sz w:val="16"/>
          </w:rPr>
          <w:t>http://www.xbrlsite.com/2015/Library/TerminologyOfFinancialReport.pdf</w:t>
        </w:r>
      </w:hyperlink>
      <w:r w:rsidRPr="00A2789C">
        <w:rPr>
          <w:sz w:val="16"/>
        </w:rPr>
        <w:t xml:space="preserve"> </w:t>
      </w:r>
    </w:p>
  </w:footnote>
  <w:footnote w:id="4">
    <w:p w14:paraId="749A281C" w14:textId="77777777" w:rsidR="003C78C5" w:rsidRDefault="003C78C5" w:rsidP="00D552F0">
      <w:pPr>
        <w:pStyle w:val="FootnoteText"/>
        <w:jc w:val="left"/>
      </w:pPr>
      <w:r>
        <w:rPr>
          <w:rStyle w:val="FootnoteReference"/>
        </w:rPr>
        <w:footnoteRef/>
      </w:r>
      <w:r>
        <w:t xml:space="preserve"> </w:t>
      </w:r>
      <w:r>
        <w:rPr>
          <w:sz w:val="16"/>
        </w:rPr>
        <w:t xml:space="preserve">See explanation of minimum criteria in </w:t>
      </w:r>
      <w:r>
        <w:rPr>
          <w:i/>
          <w:sz w:val="16"/>
        </w:rPr>
        <w:t xml:space="preserve">Arriving at 2014 </w:t>
      </w:r>
      <w:r w:rsidRPr="00D64177">
        <w:rPr>
          <w:i/>
          <w:sz w:val="16"/>
        </w:rPr>
        <w:t>Digital Financial Reporting All Stars: Summary</w:t>
      </w:r>
      <w:r w:rsidRPr="00D64177">
        <w:rPr>
          <w:sz w:val="16"/>
        </w:rPr>
        <w:t xml:space="preserve">, </w:t>
      </w:r>
      <w:hyperlink r:id="rId4" w:history="1">
        <w:r w:rsidRPr="00E765CD">
          <w:rPr>
            <w:rStyle w:val="Hyperlink"/>
            <w:sz w:val="16"/>
          </w:rPr>
          <w:t>http://www.xbrlsite.com/2015/Library/AnalysisSummary2014_ArrivingAtDigitalFinancialReportingAllStars.pdf</w:t>
        </w:r>
      </w:hyperlink>
      <w:r>
        <w:rPr>
          <w:sz w:val="16"/>
        </w:rPr>
        <w:t xml:space="preserve"> </w:t>
      </w:r>
    </w:p>
  </w:footnote>
  <w:footnote w:id="5">
    <w:p w14:paraId="5901C038" w14:textId="77777777" w:rsidR="003C78C5" w:rsidRDefault="003C78C5" w:rsidP="00D552F0">
      <w:pPr>
        <w:pStyle w:val="FootnoteText"/>
        <w:jc w:val="left"/>
      </w:pPr>
      <w:r>
        <w:rPr>
          <w:rStyle w:val="FootnoteReference"/>
        </w:rPr>
        <w:footnoteRef/>
      </w:r>
      <w:r>
        <w:t xml:space="preserve"> </w:t>
      </w:r>
      <w:r w:rsidRPr="00D64177">
        <w:rPr>
          <w:sz w:val="16"/>
        </w:rPr>
        <w:t>Set is made up of 10-K submissions to the SEC between April 1, 2014 and March 31, 2015.</w:t>
      </w:r>
    </w:p>
  </w:footnote>
  <w:footnote w:id="6">
    <w:p w14:paraId="3337FC89" w14:textId="77777777" w:rsidR="003C78C5" w:rsidRDefault="003C78C5" w:rsidP="00D552F0">
      <w:pPr>
        <w:pStyle w:val="FootnoteText"/>
        <w:jc w:val="left"/>
      </w:pPr>
      <w:r>
        <w:rPr>
          <w:rStyle w:val="FootnoteReference"/>
        </w:rPr>
        <w:footnoteRef/>
      </w:r>
      <w:r>
        <w:t xml:space="preserve"> </w:t>
      </w:r>
      <w:r w:rsidRPr="00D64177">
        <w:rPr>
          <w:sz w:val="16"/>
        </w:rPr>
        <w:t xml:space="preserve">See results of 2013 testing, </w:t>
      </w:r>
      <w:hyperlink r:id="rId5" w:history="1">
        <w:r w:rsidRPr="00D64177">
          <w:rPr>
            <w:rStyle w:val="Hyperlink"/>
            <w:sz w:val="16"/>
          </w:rPr>
          <w:t>http://www.xbrlsite.com/2014/Library/AnalysisSummary_ArrivingAtDigitalFinancialReportingAllStars.pdf</w:t>
        </w:r>
      </w:hyperlink>
      <w:r w:rsidRPr="00D64177">
        <w:rPr>
          <w:sz w:val="16"/>
        </w:rPr>
        <w:t xml:space="preserve"> </w:t>
      </w:r>
    </w:p>
  </w:footnote>
  <w:footnote w:id="7">
    <w:p w14:paraId="05DFE598" w14:textId="77777777" w:rsidR="003C78C5" w:rsidRDefault="003C78C5" w:rsidP="00D552F0">
      <w:pPr>
        <w:pStyle w:val="FootnoteText"/>
        <w:jc w:val="left"/>
      </w:pPr>
      <w:r>
        <w:rPr>
          <w:rStyle w:val="FootnoteReference"/>
        </w:rPr>
        <w:footnoteRef/>
      </w:r>
      <w:r>
        <w:t xml:space="preserve"> </w:t>
      </w:r>
      <w:r w:rsidRPr="00D64177">
        <w:rPr>
          <w:sz w:val="16"/>
        </w:rPr>
        <w:t xml:space="preserve">See results of 2012 testing,  </w:t>
      </w:r>
      <w:hyperlink r:id="rId6" w:history="1">
        <w:r w:rsidRPr="00D64177">
          <w:rPr>
            <w:rStyle w:val="Hyperlink"/>
            <w:sz w:val="16"/>
          </w:rPr>
          <w:t>http://xbrl.squarespace.com/journal/2014/3/13/set-of-915-digital-financial-reporting-all-stars.html</w:t>
        </w:r>
      </w:hyperlink>
      <w:r w:rsidRPr="00D64177">
        <w:rPr>
          <w:sz w:val="16"/>
        </w:rPr>
        <w:t xml:space="preserve"> </w:t>
      </w:r>
    </w:p>
  </w:footnote>
  <w:footnote w:id="8">
    <w:p w14:paraId="7977B92E" w14:textId="77777777" w:rsidR="003C78C5" w:rsidRDefault="003C78C5" w:rsidP="00D552F0">
      <w:pPr>
        <w:pStyle w:val="FootnoteText"/>
        <w:jc w:val="left"/>
      </w:pPr>
      <w:r>
        <w:rPr>
          <w:rStyle w:val="FootnoteReference"/>
        </w:rPr>
        <w:footnoteRef/>
      </w:r>
      <w:r>
        <w:t xml:space="preserve"> </w:t>
      </w:r>
      <w:r w:rsidRPr="00D64177">
        <w:rPr>
          <w:i/>
          <w:sz w:val="16"/>
        </w:rPr>
        <w:t>Summary Information about Conformance with Fundamental Accounting Concept Relations</w:t>
      </w:r>
      <w:r w:rsidRPr="00D64177">
        <w:rPr>
          <w:sz w:val="16"/>
        </w:rPr>
        <w:t xml:space="preserve">, </w:t>
      </w:r>
      <w:hyperlink r:id="rId7" w:history="1">
        <w:r w:rsidRPr="00D64177">
          <w:rPr>
            <w:rStyle w:val="Hyperlink"/>
            <w:sz w:val="16"/>
          </w:rPr>
          <w:t>http://www.xbrlsite.com/2014/Library/SummaryInformationAboutConformanceWithFundamentalAccountingConceptRelations.pdf</w:t>
        </w:r>
      </w:hyperlink>
      <w:r w:rsidRPr="00D64177">
        <w:rPr>
          <w:sz w:val="16"/>
        </w:rPr>
        <w:t xml:space="preserve"> </w:t>
      </w:r>
    </w:p>
  </w:footnote>
  <w:footnote w:id="9">
    <w:p w14:paraId="01080610" w14:textId="77777777" w:rsidR="003C78C5" w:rsidRDefault="003C78C5" w:rsidP="00D552F0">
      <w:pPr>
        <w:pStyle w:val="FootnoteText"/>
        <w:jc w:val="left"/>
      </w:pPr>
      <w:r>
        <w:rPr>
          <w:rStyle w:val="FootnoteReference"/>
        </w:rPr>
        <w:footnoteRef/>
      </w:r>
      <w:r>
        <w:t xml:space="preserve"> </w:t>
      </w:r>
      <w:r w:rsidRPr="00A2789C">
        <w:rPr>
          <w:sz w:val="16"/>
        </w:rPr>
        <w:t xml:space="preserve">List of reports analyzed, </w:t>
      </w:r>
      <w:hyperlink r:id="rId8" w:history="1">
        <w:r w:rsidRPr="00A2789C">
          <w:rPr>
            <w:rStyle w:val="Hyperlink"/>
            <w:sz w:val="16"/>
          </w:rPr>
          <w:t>http://www.xbrlsite.com/2015/Analysis/Analysis_Reports6751.zip</w:t>
        </w:r>
      </w:hyperlink>
      <w:r w:rsidRPr="00A2789C">
        <w:rPr>
          <w:sz w:val="16"/>
        </w:rPr>
        <w:t xml:space="preserve"> </w:t>
      </w:r>
    </w:p>
  </w:footnote>
  <w:footnote w:id="10">
    <w:p w14:paraId="2BDD3A1A" w14:textId="77777777" w:rsidR="003C78C5" w:rsidRDefault="003C78C5" w:rsidP="00D552F0">
      <w:pPr>
        <w:pStyle w:val="FootnoteText"/>
        <w:jc w:val="left"/>
      </w:pPr>
      <w:r>
        <w:rPr>
          <w:rStyle w:val="FootnoteReference"/>
        </w:rPr>
        <w:footnoteRef/>
      </w:r>
      <w:r>
        <w:t xml:space="preserve"> </w:t>
      </w:r>
      <w:r w:rsidRPr="00F42D86">
        <w:rPr>
          <w:sz w:val="16"/>
        </w:rPr>
        <w:t xml:space="preserve">See ISO 4217 currency codes, </w:t>
      </w:r>
      <w:hyperlink r:id="rId9" w:history="1">
        <w:r w:rsidRPr="00F42D86">
          <w:rPr>
            <w:rStyle w:val="Hyperlink"/>
            <w:sz w:val="16"/>
          </w:rPr>
          <w:t>http://en.wikipedia.org/wiki/ISO_4217</w:t>
        </w:r>
      </w:hyperlink>
      <w:r>
        <w:t xml:space="preserve"> </w:t>
      </w:r>
    </w:p>
  </w:footnote>
  <w:footnote w:id="11">
    <w:p w14:paraId="610ACA51" w14:textId="77777777" w:rsidR="003C78C5" w:rsidRDefault="003C78C5" w:rsidP="00D552F0">
      <w:pPr>
        <w:pStyle w:val="FootnoteText"/>
      </w:pPr>
      <w:r>
        <w:rPr>
          <w:rStyle w:val="FootnoteReference"/>
        </w:rPr>
        <w:footnoteRef/>
      </w:r>
      <w:r>
        <w:t xml:space="preserve"> </w:t>
      </w:r>
      <w:r w:rsidRPr="00A2789C">
        <w:rPr>
          <w:sz w:val="16"/>
        </w:rPr>
        <w:t xml:space="preserve">Reported facts are not “free floating” in space, they exist within some Network.  EFM rule 6.12.3 states: “An element used in an instance must participate in at least one effective presentation relationship in the DTS of that instance.”  </w:t>
      </w:r>
      <w:proofErr w:type="gramStart"/>
      <w:r w:rsidRPr="00A2789C">
        <w:rPr>
          <w:sz w:val="16"/>
        </w:rPr>
        <w:t>So</w:t>
      </w:r>
      <w:proofErr w:type="gramEnd"/>
      <w:r w:rsidRPr="00A2789C">
        <w:rPr>
          <w:sz w:val="16"/>
        </w:rPr>
        <w:t xml:space="preserve"> by definition, every fact participates within at least one network; therefore, it can be implied that networks group facts and that no facts are “free floating”.</w:t>
      </w:r>
    </w:p>
  </w:footnote>
  <w:footnote w:id="12">
    <w:p w14:paraId="760066B8" w14:textId="77777777" w:rsidR="003C78C5" w:rsidRDefault="003C78C5" w:rsidP="00D552F0">
      <w:pPr>
        <w:pStyle w:val="FootnoteText"/>
      </w:pPr>
      <w:r>
        <w:rPr>
          <w:rStyle w:val="FootnoteReference"/>
        </w:rPr>
        <w:footnoteRef/>
      </w:r>
      <w:r>
        <w:t xml:space="preserve"> </w:t>
      </w:r>
      <w:r w:rsidRPr="00A2789C">
        <w:rPr>
          <w:sz w:val="16"/>
        </w:rPr>
        <w:t>Per EFM 6.7.12, “The {Type} must be one of the words ‘Disclosure’, ‘Document’, ‘Schedule’ or ‘Statement’.</w:t>
      </w:r>
    </w:p>
  </w:footnote>
  <w:footnote w:id="13">
    <w:p w14:paraId="0871888C" w14:textId="77777777" w:rsidR="003C78C5" w:rsidRDefault="003C78C5" w:rsidP="00D552F0">
      <w:pPr>
        <w:pStyle w:val="FootnoteText"/>
      </w:pPr>
      <w:r>
        <w:rPr>
          <w:rStyle w:val="FootnoteReference"/>
        </w:rPr>
        <w:footnoteRef/>
      </w:r>
      <w:r>
        <w:t xml:space="preserve"> </w:t>
      </w:r>
      <w:r w:rsidRPr="00A2789C">
        <w:rPr>
          <w:sz w:val="16"/>
        </w:rPr>
        <w:t>Per EFM 6.6.16, 6.6.17, 6.6.19, 6.6.20, 6.6.22, defines each of the levels</w:t>
      </w:r>
    </w:p>
  </w:footnote>
  <w:footnote w:id="14">
    <w:p w14:paraId="06902553" w14:textId="77777777" w:rsidR="003C78C5" w:rsidRDefault="003C78C5" w:rsidP="00D552F0">
      <w:pPr>
        <w:pStyle w:val="FootnoteText"/>
        <w:jc w:val="left"/>
      </w:pPr>
      <w:r>
        <w:rPr>
          <w:rStyle w:val="FootnoteReference"/>
        </w:rPr>
        <w:footnoteRef/>
      </w:r>
      <w:r>
        <w:t xml:space="preserve"> </w:t>
      </w:r>
      <w:r w:rsidRPr="00D64177">
        <w:rPr>
          <w:sz w:val="16"/>
        </w:rPr>
        <w:t xml:space="preserve">See pages 11 and 12 of </w:t>
      </w:r>
      <w:r w:rsidRPr="00D64177">
        <w:rPr>
          <w:i/>
          <w:sz w:val="16"/>
        </w:rPr>
        <w:t>Understanding the Mechanics of an SEC-type XBRL-based Digital Financial Report</w:t>
      </w:r>
      <w:r w:rsidRPr="00D64177">
        <w:rPr>
          <w:sz w:val="16"/>
        </w:rPr>
        <w:t xml:space="preserve">, </w:t>
      </w:r>
      <w:hyperlink r:id="rId10" w:anchor="page=11" w:history="1">
        <w:r w:rsidRPr="00D64177">
          <w:rPr>
            <w:rStyle w:val="Hyperlink"/>
            <w:sz w:val="16"/>
          </w:rPr>
          <w:t>http://www.xbrlsite.com/2015/Library/UnderstandingTheMechanicsOfAnSECTypeDigitalFinancialReport.pdf#page=11</w:t>
        </w:r>
      </w:hyperlink>
      <w:r w:rsidRPr="00D64177">
        <w:rPr>
          <w:sz w:val="16"/>
        </w:rPr>
        <w:t xml:space="preserve"> </w:t>
      </w:r>
    </w:p>
  </w:footnote>
  <w:footnote w:id="15">
    <w:p w14:paraId="62F4990C" w14:textId="77777777" w:rsidR="003C78C5" w:rsidRDefault="003C78C5" w:rsidP="00D552F0">
      <w:pPr>
        <w:pStyle w:val="FootnoteText"/>
      </w:pPr>
      <w:r>
        <w:rPr>
          <w:rStyle w:val="FootnoteReference"/>
        </w:rPr>
        <w:footnoteRef/>
      </w:r>
      <w:r>
        <w:t xml:space="preserve"> See page 33 of </w:t>
      </w:r>
      <w:r w:rsidRPr="00D56B16">
        <w:rPr>
          <w:i/>
        </w:rPr>
        <w:t>Understanding the Mechanics of an SEC-type XBRL-based Digital Financial Report</w:t>
      </w:r>
      <w:r>
        <w:t xml:space="preserve">, </w:t>
      </w:r>
      <w:hyperlink r:id="rId11" w:anchor="page=33" w:history="1">
        <w:r w:rsidRPr="00277F96">
          <w:rPr>
            <w:rStyle w:val="Hyperlink"/>
          </w:rPr>
          <w:t>http://www.xbrlsite.com/2015/Library/UnderstandingTheMechanicsOfAnSECTypeDigitalFinancialReport.pdf#page=33</w:t>
        </w:r>
      </w:hyperlink>
      <w:r>
        <w:t xml:space="preserve"> </w:t>
      </w:r>
    </w:p>
  </w:footnote>
  <w:footnote w:id="16">
    <w:p w14:paraId="5CA04E87" w14:textId="77777777" w:rsidR="003C78C5" w:rsidRDefault="003C78C5" w:rsidP="00D552F0">
      <w:pPr>
        <w:pStyle w:val="FootnoteText"/>
      </w:pPr>
      <w:r>
        <w:rPr>
          <w:rStyle w:val="FootnoteReference"/>
        </w:rPr>
        <w:footnoteRef/>
      </w:r>
      <w:r>
        <w:t xml:space="preserve"> See fundamental accounting concept relations per report frame, </w:t>
      </w:r>
      <w:hyperlink r:id="rId12" w:history="1">
        <w:r w:rsidRPr="00277F96">
          <w:rPr>
            <w:rStyle w:val="Hyperlink"/>
          </w:rPr>
          <w:t>http://www.xbrlsite.com/2015/fro/us-gaap/html/reportFrames/</w:t>
        </w:r>
      </w:hyperlink>
      <w:r>
        <w:t xml:space="preserve"> </w:t>
      </w:r>
    </w:p>
  </w:footnote>
  <w:footnote w:id="17">
    <w:p w14:paraId="0CF183D6" w14:textId="77777777" w:rsidR="003C78C5" w:rsidRDefault="003C78C5" w:rsidP="00D552F0">
      <w:pPr>
        <w:pStyle w:val="FootnoteText"/>
        <w:jc w:val="left"/>
      </w:pPr>
      <w:r>
        <w:rPr>
          <w:rStyle w:val="FootnoteReference"/>
        </w:rPr>
        <w:footnoteRef/>
      </w:r>
      <w:r>
        <w:t xml:space="preserve"> </w:t>
      </w:r>
      <w:r w:rsidRPr="006129EF">
        <w:rPr>
          <w:sz w:val="16"/>
        </w:rPr>
        <w:t>Public Company XBRL Quality Increases Significantly</w:t>
      </w:r>
      <w:r>
        <w:rPr>
          <w:sz w:val="16"/>
        </w:rPr>
        <w:t xml:space="preserve">, </w:t>
      </w:r>
      <w:hyperlink r:id="rId13" w:history="1">
        <w:r w:rsidRPr="006129EF">
          <w:rPr>
            <w:rStyle w:val="Hyperlink"/>
            <w:sz w:val="16"/>
          </w:rPr>
          <w:t>http://xbrl.squarespace.com/journal/2015/4/2/public-company-xbrl-quality-increases-significantly.html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00BCD" w14:textId="43607FD0" w:rsidR="00E3449C" w:rsidRPr="00CB7195" w:rsidRDefault="009F55DB" w:rsidP="00EF2D29">
    <w:pPr>
      <w:pStyle w:val="Header"/>
      <w:jc w:val="center"/>
      <w:rPr>
        <w:sz w:val="18"/>
        <w:szCs w:val="18"/>
      </w:rPr>
    </w:pPr>
    <w:r>
      <w:rPr>
        <w:smallCaps/>
        <w:sz w:val="16"/>
        <w:szCs w:val="18"/>
      </w:rPr>
      <w:t xml:space="preserve">Mastering XBRL-based </w:t>
    </w:r>
    <w:r w:rsidR="00EF2D29" w:rsidRPr="00CB7195">
      <w:rPr>
        <w:smallCaps/>
        <w:sz w:val="16"/>
        <w:szCs w:val="18"/>
      </w:rPr>
      <w:t>Digital Financial Reporting – Part 5: Technical Details – Analysis of 6,751 XBRL-based Public Company 10-Ks Submitted to SEC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70F89"/>
    <w:multiLevelType w:val="hybridMultilevel"/>
    <w:tmpl w:val="51348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52D55"/>
    <w:multiLevelType w:val="hybridMultilevel"/>
    <w:tmpl w:val="9BEC1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7E0322"/>
    <w:multiLevelType w:val="multilevel"/>
    <w:tmpl w:val="B3CAD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0F5248"/>
    <w:multiLevelType w:val="hybridMultilevel"/>
    <w:tmpl w:val="BDD29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234A2C"/>
    <w:multiLevelType w:val="hybridMultilevel"/>
    <w:tmpl w:val="275E8EC0"/>
    <w:lvl w:ilvl="0" w:tplc="A67A13E8">
      <w:numFmt w:val="bullet"/>
      <w:lvlText w:val=""/>
      <w:lvlJc w:val="left"/>
      <w:pPr>
        <w:ind w:left="780" w:hanging="420"/>
      </w:pPr>
      <w:rPr>
        <w:rFonts w:ascii="Symbol" w:eastAsia="Times New Roman" w:hAnsi="Symbol" w:cs="Arial" w:hint="default"/>
        <w:color w:val="1F497D"/>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3D004C"/>
    <w:multiLevelType w:val="hybridMultilevel"/>
    <w:tmpl w:val="3A925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C72900"/>
    <w:multiLevelType w:val="hybridMultilevel"/>
    <w:tmpl w:val="5564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2D67120"/>
    <w:multiLevelType w:val="hybridMultilevel"/>
    <w:tmpl w:val="17CA1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A20867"/>
    <w:multiLevelType w:val="hybridMultilevel"/>
    <w:tmpl w:val="206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3F106E"/>
    <w:multiLevelType w:val="hybridMultilevel"/>
    <w:tmpl w:val="0F86F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736416"/>
    <w:multiLevelType w:val="hybridMultilevel"/>
    <w:tmpl w:val="FABA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950771"/>
    <w:multiLevelType w:val="hybridMultilevel"/>
    <w:tmpl w:val="5B86B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201264"/>
    <w:multiLevelType w:val="hybridMultilevel"/>
    <w:tmpl w:val="56A4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D4C87"/>
    <w:multiLevelType w:val="hybridMultilevel"/>
    <w:tmpl w:val="5DA0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810E0E"/>
    <w:multiLevelType w:val="hybridMultilevel"/>
    <w:tmpl w:val="EA3E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9B78C7"/>
    <w:multiLevelType w:val="hybridMultilevel"/>
    <w:tmpl w:val="64545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CB3025"/>
    <w:multiLevelType w:val="hybridMultilevel"/>
    <w:tmpl w:val="9410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344A3F"/>
    <w:multiLevelType w:val="hybridMultilevel"/>
    <w:tmpl w:val="4A30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6222BA"/>
    <w:multiLevelType w:val="hybridMultilevel"/>
    <w:tmpl w:val="C40CB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18752E"/>
    <w:multiLevelType w:val="hybridMultilevel"/>
    <w:tmpl w:val="825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875352"/>
    <w:multiLevelType w:val="hybridMultilevel"/>
    <w:tmpl w:val="582C0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BE1695"/>
    <w:multiLevelType w:val="hybridMultilevel"/>
    <w:tmpl w:val="FB860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CE4373C"/>
    <w:multiLevelType w:val="hybridMultilevel"/>
    <w:tmpl w:val="94D2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E21515"/>
    <w:multiLevelType w:val="hybridMultilevel"/>
    <w:tmpl w:val="FFD0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B6D34"/>
    <w:multiLevelType w:val="hybridMultilevel"/>
    <w:tmpl w:val="76C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EB6949"/>
    <w:multiLevelType w:val="multilevel"/>
    <w:tmpl w:val="E160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14C43AC"/>
    <w:multiLevelType w:val="hybridMultilevel"/>
    <w:tmpl w:val="C4CAF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8A0D29"/>
    <w:multiLevelType w:val="hybridMultilevel"/>
    <w:tmpl w:val="0F8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B02E6D"/>
    <w:multiLevelType w:val="hybridMultilevel"/>
    <w:tmpl w:val="AE76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F61E70"/>
    <w:multiLevelType w:val="hybridMultilevel"/>
    <w:tmpl w:val="CE063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3670E5C"/>
    <w:multiLevelType w:val="hybridMultilevel"/>
    <w:tmpl w:val="24F6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39B4CF0"/>
    <w:multiLevelType w:val="hybridMultilevel"/>
    <w:tmpl w:val="C7E64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4343D7D"/>
    <w:multiLevelType w:val="hybridMultilevel"/>
    <w:tmpl w:val="3E2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4774F32"/>
    <w:multiLevelType w:val="hybridMultilevel"/>
    <w:tmpl w:val="E604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52B4BA1"/>
    <w:multiLevelType w:val="hybridMultilevel"/>
    <w:tmpl w:val="483815A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572619D"/>
    <w:multiLevelType w:val="hybridMultilevel"/>
    <w:tmpl w:val="1BDAF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5E52847"/>
    <w:multiLevelType w:val="hybridMultilevel"/>
    <w:tmpl w:val="BD02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72A5540"/>
    <w:multiLevelType w:val="hybridMultilevel"/>
    <w:tmpl w:val="7F40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83B4BFB"/>
    <w:multiLevelType w:val="hybridMultilevel"/>
    <w:tmpl w:val="34CE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85E00D7"/>
    <w:multiLevelType w:val="hybridMultilevel"/>
    <w:tmpl w:val="DC5E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8BF0F89"/>
    <w:multiLevelType w:val="hybridMultilevel"/>
    <w:tmpl w:val="5A40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8C44644"/>
    <w:multiLevelType w:val="hybridMultilevel"/>
    <w:tmpl w:val="B1489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8FA5A31"/>
    <w:multiLevelType w:val="hybridMultilevel"/>
    <w:tmpl w:val="B69E7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851B28"/>
    <w:multiLevelType w:val="hybridMultilevel"/>
    <w:tmpl w:val="E2CE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967FC3"/>
    <w:multiLevelType w:val="hybridMultilevel"/>
    <w:tmpl w:val="6BBE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24477B"/>
    <w:multiLevelType w:val="hybridMultilevel"/>
    <w:tmpl w:val="E4B82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C8B4497"/>
    <w:multiLevelType w:val="hybridMultilevel"/>
    <w:tmpl w:val="20BAE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CCA3244"/>
    <w:multiLevelType w:val="hybridMultilevel"/>
    <w:tmpl w:val="26B44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14E5"/>
    <w:multiLevelType w:val="hybridMultilevel"/>
    <w:tmpl w:val="828C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DF03E73"/>
    <w:multiLevelType w:val="hybridMultilevel"/>
    <w:tmpl w:val="ED1E5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ED17295"/>
    <w:multiLevelType w:val="hybridMultilevel"/>
    <w:tmpl w:val="18D40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F790B7E"/>
    <w:multiLevelType w:val="hybridMultilevel"/>
    <w:tmpl w:val="0818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F35661"/>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0A4775F"/>
    <w:multiLevelType w:val="hybridMultilevel"/>
    <w:tmpl w:val="AC664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962812"/>
    <w:multiLevelType w:val="hybridMultilevel"/>
    <w:tmpl w:val="032A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1FE33E0"/>
    <w:multiLevelType w:val="hybridMultilevel"/>
    <w:tmpl w:val="9B3E3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2414C14"/>
    <w:multiLevelType w:val="hybridMultilevel"/>
    <w:tmpl w:val="B686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2D4488C"/>
    <w:multiLevelType w:val="hybridMultilevel"/>
    <w:tmpl w:val="BA72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3680797"/>
    <w:multiLevelType w:val="hybridMultilevel"/>
    <w:tmpl w:val="DC38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0D3AFA"/>
    <w:multiLevelType w:val="hybridMultilevel"/>
    <w:tmpl w:val="AB8A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96584F"/>
    <w:multiLevelType w:val="hybridMultilevel"/>
    <w:tmpl w:val="3FE6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5A0266B"/>
    <w:multiLevelType w:val="hybridMultilevel"/>
    <w:tmpl w:val="1056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601261D"/>
    <w:multiLevelType w:val="hybridMultilevel"/>
    <w:tmpl w:val="9E965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6DD1DEE"/>
    <w:multiLevelType w:val="hybridMultilevel"/>
    <w:tmpl w:val="F2E4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77735E1"/>
    <w:multiLevelType w:val="hybridMultilevel"/>
    <w:tmpl w:val="588C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8F75193"/>
    <w:multiLevelType w:val="hybridMultilevel"/>
    <w:tmpl w:val="82624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9C06209"/>
    <w:multiLevelType w:val="hybridMultilevel"/>
    <w:tmpl w:val="7CD2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9E0356B"/>
    <w:multiLevelType w:val="hybridMultilevel"/>
    <w:tmpl w:val="0B983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A314F2C"/>
    <w:multiLevelType w:val="hybridMultilevel"/>
    <w:tmpl w:val="27DC8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C493A44"/>
    <w:multiLevelType w:val="hybridMultilevel"/>
    <w:tmpl w:val="0A8A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D0B446C"/>
    <w:multiLevelType w:val="hybridMultilevel"/>
    <w:tmpl w:val="359CF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DA30E69"/>
    <w:multiLevelType w:val="hybridMultilevel"/>
    <w:tmpl w:val="26E8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E8141A4"/>
    <w:multiLevelType w:val="hybridMultilevel"/>
    <w:tmpl w:val="CAC6A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FAB68FE"/>
    <w:multiLevelType w:val="hybridMultilevel"/>
    <w:tmpl w:val="6682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08649EC"/>
    <w:multiLevelType w:val="hybridMultilevel"/>
    <w:tmpl w:val="621C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2FA6485"/>
    <w:multiLevelType w:val="hybridMultilevel"/>
    <w:tmpl w:val="2C946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37431DF"/>
    <w:multiLevelType w:val="hybridMultilevel"/>
    <w:tmpl w:val="CDAA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394722B"/>
    <w:multiLevelType w:val="hybridMultilevel"/>
    <w:tmpl w:val="33C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9B08AA"/>
    <w:multiLevelType w:val="hybridMultilevel"/>
    <w:tmpl w:val="1A8CC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3E75243"/>
    <w:multiLevelType w:val="hybridMultilevel"/>
    <w:tmpl w:val="4C8C2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42951A2"/>
    <w:multiLevelType w:val="hybridMultilevel"/>
    <w:tmpl w:val="F5FC5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54434B6"/>
    <w:multiLevelType w:val="hybridMultilevel"/>
    <w:tmpl w:val="AB7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5466F3A"/>
    <w:multiLevelType w:val="hybridMultilevel"/>
    <w:tmpl w:val="88049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56D59D2"/>
    <w:multiLevelType w:val="hybridMultilevel"/>
    <w:tmpl w:val="4F7C9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272274"/>
    <w:multiLevelType w:val="hybridMultilevel"/>
    <w:tmpl w:val="EFA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6435848"/>
    <w:multiLevelType w:val="hybridMultilevel"/>
    <w:tmpl w:val="FF0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B63145"/>
    <w:multiLevelType w:val="hybridMultilevel"/>
    <w:tmpl w:val="C568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6F04BCC"/>
    <w:multiLevelType w:val="hybridMultilevel"/>
    <w:tmpl w:val="1BCE0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6FE74C5"/>
    <w:multiLevelType w:val="hybridMultilevel"/>
    <w:tmpl w:val="077A1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8001B94"/>
    <w:multiLevelType w:val="hybridMultilevel"/>
    <w:tmpl w:val="54A8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8722DAC"/>
    <w:multiLevelType w:val="hybridMultilevel"/>
    <w:tmpl w:val="DCC63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8C527A0"/>
    <w:multiLevelType w:val="hybridMultilevel"/>
    <w:tmpl w:val="BF5C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9F76FAD"/>
    <w:multiLevelType w:val="hybridMultilevel"/>
    <w:tmpl w:val="31F86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A0C249D"/>
    <w:multiLevelType w:val="hybridMultilevel"/>
    <w:tmpl w:val="CA46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A551438"/>
    <w:multiLevelType w:val="hybridMultilevel"/>
    <w:tmpl w:val="FC26CE76"/>
    <w:lvl w:ilvl="0" w:tplc="15DE437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AB316C5"/>
    <w:multiLevelType w:val="hybridMultilevel"/>
    <w:tmpl w:val="799C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AD40711"/>
    <w:multiLevelType w:val="hybridMultilevel"/>
    <w:tmpl w:val="823A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AEF3500"/>
    <w:multiLevelType w:val="hybridMultilevel"/>
    <w:tmpl w:val="F4B2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B31184A"/>
    <w:multiLevelType w:val="hybridMultilevel"/>
    <w:tmpl w:val="FAA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B823006"/>
    <w:multiLevelType w:val="hybridMultilevel"/>
    <w:tmpl w:val="40708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C555546"/>
    <w:multiLevelType w:val="hybridMultilevel"/>
    <w:tmpl w:val="3AE28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DEF4273"/>
    <w:multiLevelType w:val="hybridMultilevel"/>
    <w:tmpl w:val="D46E2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E3A0876"/>
    <w:multiLevelType w:val="hybridMultilevel"/>
    <w:tmpl w:val="A58A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E4D445E"/>
    <w:multiLevelType w:val="hybridMultilevel"/>
    <w:tmpl w:val="F4201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F555DFB"/>
    <w:multiLevelType w:val="hybridMultilevel"/>
    <w:tmpl w:val="48DA3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F7819C8"/>
    <w:multiLevelType w:val="hybridMultilevel"/>
    <w:tmpl w:val="9A1CC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F793CD9"/>
    <w:multiLevelType w:val="hybridMultilevel"/>
    <w:tmpl w:val="BE729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0624356"/>
    <w:multiLevelType w:val="multilevel"/>
    <w:tmpl w:val="03227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0B65605"/>
    <w:multiLevelType w:val="hybridMultilevel"/>
    <w:tmpl w:val="8452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3537D25"/>
    <w:multiLevelType w:val="hybridMultilevel"/>
    <w:tmpl w:val="7EB69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3567E1B"/>
    <w:multiLevelType w:val="hybridMultilevel"/>
    <w:tmpl w:val="6D500F6E"/>
    <w:lvl w:ilvl="0" w:tplc="04090001">
      <w:start w:val="1"/>
      <w:numFmt w:val="bullet"/>
      <w:lvlText w:val=""/>
      <w:lvlJc w:val="left"/>
      <w:pPr>
        <w:ind w:left="720" w:hanging="360"/>
      </w:pPr>
      <w:rPr>
        <w:rFonts w:ascii="Symbol" w:hAnsi="Symbol" w:hint="default"/>
      </w:rPr>
    </w:lvl>
    <w:lvl w:ilvl="1" w:tplc="658C0F6C">
      <w:numFmt w:val="bullet"/>
      <w:lvlText w:val="•"/>
      <w:lvlJc w:val="left"/>
      <w:pPr>
        <w:ind w:left="1800" w:hanging="720"/>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0548C7"/>
    <w:multiLevelType w:val="hybridMultilevel"/>
    <w:tmpl w:val="91527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41F2BC4"/>
    <w:multiLevelType w:val="hybridMultilevel"/>
    <w:tmpl w:val="88DA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5113BB"/>
    <w:multiLevelType w:val="multilevel"/>
    <w:tmpl w:val="526AF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5516D9C"/>
    <w:multiLevelType w:val="hybridMultilevel"/>
    <w:tmpl w:val="B5A0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5951640"/>
    <w:multiLevelType w:val="hybridMultilevel"/>
    <w:tmpl w:val="7966E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684058A"/>
    <w:multiLevelType w:val="hybridMultilevel"/>
    <w:tmpl w:val="42AE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6DB096E"/>
    <w:multiLevelType w:val="hybridMultilevel"/>
    <w:tmpl w:val="F92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7293A5C"/>
    <w:multiLevelType w:val="hybridMultilevel"/>
    <w:tmpl w:val="16E81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73863DB"/>
    <w:multiLevelType w:val="hybridMultilevel"/>
    <w:tmpl w:val="35F69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7944BF8"/>
    <w:multiLevelType w:val="hybridMultilevel"/>
    <w:tmpl w:val="48D2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90D2C58"/>
    <w:multiLevelType w:val="hybridMultilevel"/>
    <w:tmpl w:val="AB28A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9B97CE5"/>
    <w:multiLevelType w:val="hybridMultilevel"/>
    <w:tmpl w:val="78BE7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A7C3A75"/>
    <w:multiLevelType w:val="hybridMultilevel"/>
    <w:tmpl w:val="C8EC9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B8169E9"/>
    <w:multiLevelType w:val="hybridMultilevel"/>
    <w:tmpl w:val="DA686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C047170"/>
    <w:multiLevelType w:val="hybridMultilevel"/>
    <w:tmpl w:val="695C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C047ED1"/>
    <w:multiLevelType w:val="hybridMultilevel"/>
    <w:tmpl w:val="C016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C505E7F"/>
    <w:multiLevelType w:val="hybridMultilevel"/>
    <w:tmpl w:val="07FA5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D795E70"/>
    <w:multiLevelType w:val="hybridMultilevel"/>
    <w:tmpl w:val="7FA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E165F83"/>
    <w:multiLevelType w:val="hybridMultilevel"/>
    <w:tmpl w:val="F90E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ED45ED9"/>
    <w:multiLevelType w:val="hybridMultilevel"/>
    <w:tmpl w:val="E2D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F2A3EAC"/>
    <w:multiLevelType w:val="multilevel"/>
    <w:tmpl w:val="FA46F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0A8106B"/>
    <w:multiLevelType w:val="hybridMultilevel"/>
    <w:tmpl w:val="F362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14E54EF"/>
    <w:multiLevelType w:val="hybridMultilevel"/>
    <w:tmpl w:val="13A06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1DB08C3"/>
    <w:multiLevelType w:val="hybridMultilevel"/>
    <w:tmpl w:val="9964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3B215A6"/>
    <w:multiLevelType w:val="hybridMultilevel"/>
    <w:tmpl w:val="066E219A"/>
    <w:lvl w:ilvl="0" w:tplc="04090001">
      <w:start w:val="1"/>
      <w:numFmt w:val="bullet"/>
      <w:lvlText w:val=""/>
      <w:lvlJc w:val="left"/>
      <w:pPr>
        <w:ind w:left="720" w:hanging="360"/>
      </w:pPr>
      <w:rPr>
        <w:rFonts w:ascii="Symbol" w:hAnsi="Symbol" w:hint="default"/>
      </w:rPr>
    </w:lvl>
    <w:lvl w:ilvl="1" w:tplc="7D76922C">
      <w:numFmt w:val="bullet"/>
      <w:lvlText w:val="•"/>
      <w:lvlJc w:val="left"/>
      <w:pPr>
        <w:ind w:left="1800" w:hanging="72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4877ED4"/>
    <w:multiLevelType w:val="hybridMultilevel"/>
    <w:tmpl w:val="B95A5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4A34642"/>
    <w:multiLevelType w:val="hybridMultilevel"/>
    <w:tmpl w:val="31B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5100C64"/>
    <w:multiLevelType w:val="hybridMultilevel"/>
    <w:tmpl w:val="212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5625A3F"/>
    <w:multiLevelType w:val="hybridMultilevel"/>
    <w:tmpl w:val="ECE24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56269D7"/>
    <w:multiLevelType w:val="hybridMultilevel"/>
    <w:tmpl w:val="6C62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59455A3"/>
    <w:multiLevelType w:val="hybridMultilevel"/>
    <w:tmpl w:val="121AD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6012322"/>
    <w:multiLevelType w:val="hybridMultilevel"/>
    <w:tmpl w:val="07B06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61D5226"/>
    <w:multiLevelType w:val="hybridMultilevel"/>
    <w:tmpl w:val="6BCE1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6A83BF7"/>
    <w:multiLevelType w:val="hybridMultilevel"/>
    <w:tmpl w:val="5CFC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80C7B4E"/>
    <w:multiLevelType w:val="hybridMultilevel"/>
    <w:tmpl w:val="502E6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8E91D6D"/>
    <w:multiLevelType w:val="hybridMultilevel"/>
    <w:tmpl w:val="3664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9845B1C"/>
    <w:multiLevelType w:val="hybridMultilevel"/>
    <w:tmpl w:val="2D962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A955280"/>
    <w:multiLevelType w:val="hybridMultilevel"/>
    <w:tmpl w:val="6AA4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B575B67"/>
    <w:multiLevelType w:val="hybridMultilevel"/>
    <w:tmpl w:val="B25A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C1A0C73"/>
    <w:multiLevelType w:val="hybridMultilevel"/>
    <w:tmpl w:val="9F0C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C527CAF"/>
    <w:multiLevelType w:val="hybridMultilevel"/>
    <w:tmpl w:val="46E42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CCC5A4F"/>
    <w:multiLevelType w:val="hybridMultilevel"/>
    <w:tmpl w:val="BB4E2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DD0455F"/>
    <w:multiLevelType w:val="hybridMultilevel"/>
    <w:tmpl w:val="433EE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E5E0CC1"/>
    <w:multiLevelType w:val="hybridMultilevel"/>
    <w:tmpl w:val="76925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E6F06D9"/>
    <w:multiLevelType w:val="hybridMultilevel"/>
    <w:tmpl w:val="A5B47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F7E1E92"/>
    <w:multiLevelType w:val="hybridMultilevel"/>
    <w:tmpl w:val="FE62A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FAD2991"/>
    <w:multiLevelType w:val="hybridMultilevel"/>
    <w:tmpl w:val="B420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FDC3A88"/>
    <w:multiLevelType w:val="hybridMultilevel"/>
    <w:tmpl w:val="50E0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0197CF5"/>
    <w:multiLevelType w:val="hybridMultilevel"/>
    <w:tmpl w:val="083A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13F6DAB"/>
    <w:multiLevelType w:val="hybridMultilevel"/>
    <w:tmpl w:val="136E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62424DBF"/>
    <w:multiLevelType w:val="hybridMultilevel"/>
    <w:tmpl w:val="AFA85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2774BF2"/>
    <w:multiLevelType w:val="hybridMultilevel"/>
    <w:tmpl w:val="A394F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35203D3"/>
    <w:multiLevelType w:val="hybridMultilevel"/>
    <w:tmpl w:val="ADE2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63F50571"/>
    <w:multiLevelType w:val="hybridMultilevel"/>
    <w:tmpl w:val="462C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647C3E22"/>
    <w:multiLevelType w:val="hybridMultilevel"/>
    <w:tmpl w:val="DF3E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57930A6"/>
    <w:multiLevelType w:val="hybridMultilevel"/>
    <w:tmpl w:val="1732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57D42CF"/>
    <w:multiLevelType w:val="hybridMultilevel"/>
    <w:tmpl w:val="8DEE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57F798D"/>
    <w:multiLevelType w:val="hybridMultilevel"/>
    <w:tmpl w:val="AD5A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64659A1"/>
    <w:multiLevelType w:val="multilevel"/>
    <w:tmpl w:val="62C6C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667579C"/>
    <w:multiLevelType w:val="hybridMultilevel"/>
    <w:tmpl w:val="7C52E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69A6B13"/>
    <w:multiLevelType w:val="hybridMultilevel"/>
    <w:tmpl w:val="18C4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7515932"/>
    <w:multiLevelType w:val="hybridMultilevel"/>
    <w:tmpl w:val="2F2C2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7784032"/>
    <w:multiLevelType w:val="hybridMultilevel"/>
    <w:tmpl w:val="FC1C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7DA7039"/>
    <w:multiLevelType w:val="hybridMultilevel"/>
    <w:tmpl w:val="32E04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81A67F7"/>
    <w:multiLevelType w:val="hybridMultilevel"/>
    <w:tmpl w:val="7CA8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97C78BD"/>
    <w:multiLevelType w:val="hybridMultilevel"/>
    <w:tmpl w:val="8118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A5E670B"/>
    <w:multiLevelType w:val="hybridMultilevel"/>
    <w:tmpl w:val="CADCE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A672FF2"/>
    <w:multiLevelType w:val="hybridMultilevel"/>
    <w:tmpl w:val="0ADA9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B090CD6"/>
    <w:multiLevelType w:val="hybridMultilevel"/>
    <w:tmpl w:val="3886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B241B63"/>
    <w:multiLevelType w:val="hybridMultilevel"/>
    <w:tmpl w:val="A5009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B322563"/>
    <w:multiLevelType w:val="multilevel"/>
    <w:tmpl w:val="F07E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BB83B2C"/>
    <w:multiLevelType w:val="hybridMultilevel"/>
    <w:tmpl w:val="87CC4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BD76125"/>
    <w:multiLevelType w:val="hybridMultilevel"/>
    <w:tmpl w:val="247CFC64"/>
    <w:lvl w:ilvl="0" w:tplc="1DEEB4E4">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D7B673D"/>
    <w:multiLevelType w:val="hybridMultilevel"/>
    <w:tmpl w:val="A1FC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EC12CAF"/>
    <w:multiLevelType w:val="hybridMultilevel"/>
    <w:tmpl w:val="C57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0A001EC"/>
    <w:multiLevelType w:val="multilevel"/>
    <w:tmpl w:val="D586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88" w15:restartNumberingAfterBreak="0">
    <w:nsid w:val="70D7320C"/>
    <w:multiLevelType w:val="hybridMultilevel"/>
    <w:tmpl w:val="7604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170297B"/>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4292BA8"/>
    <w:multiLevelType w:val="hybridMultilevel"/>
    <w:tmpl w:val="14BA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45E1DE0"/>
    <w:multiLevelType w:val="hybridMultilevel"/>
    <w:tmpl w:val="AC442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48D0EC9"/>
    <w:multiLevelType w:val="hybridMultilevel"/>
    <w:tmpl w:val="B5ECC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75051318"/>
    <w:multiLevelType w:val="hybridMultilevel"/>
    <w:tmpl w:val="6FC20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75087622"/>
    <w:multiLevelType w:val="hybridMultilevel"/>
    <w:tmpl w:val="AA864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51C01D6"/>
    <w:multiLevelType w:val="multilevel"/>
    <w:tmpl w:val="34668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75482382"/>
    <w:multiLevelType w:val="hybridMultilevel"/>
    <w:tmpl w:val="B096F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5632436"/>
    <w:multiLevelType w:val="hybridMultilevel"/>
    <w:tmpl w:val="AEA8F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6822CDA"/>
    <w:multiLevelType w:val="multilevel"/>
    <w:tmpl w:val="D9F8B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73E4B8F"/>
    <w:multiLevelType w:val="hybridMultilevel"/>
    <w:tmpl w:val="E6BA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9B14364"/>
    <w:multiLevelType w:val="hybridMultilevel"/>
    <w:tmpl w:val="221E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79B151E4"/>
    <w:multiLevelType w:val="hybridMultilevel"/>
    <w:tmpl w:val="D0DAC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9FA32DD"/>
    <w:multiLevelType w:val="hybridMultilevel"/>
    <w:tmpl w:val="314E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A3059AE"/>
    <w:multiLevelType w:val="hybridMultilevel"/>
    <w:tmpl w:val="60AC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A5B52B9"/>
    <w:multiLevelType w:val="hybridMultilevel"/>
    <w:tmpl w:val="AC860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A600E29"/>
    <w:multiLevelType w:val="hybridMultilevel"/>
    <w:tmpl w:val="B7A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A8D42AD"/>
    <w:multiLevelType w:val="hybridMultilevel"/>
    <w:tmpl w:val="51FCB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92738B"/>
    <w:multiLevelType w:val="hybridMultilevel"/>
    <w:tmpl w:val="B6BC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B1E6F28"/>
    <w:multiLevelType w:val="hybridMultilevel"/>
    <w:tmpl w:val="326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B7620D8"/>
    <w:multiLevelType w:val="hybridMultilevel"/>
    <w:tmpl w:val="82F8D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13279B"/>
    <w:multiLevelType w:val="hybridMultilevel"/>
    <w:tmpl w:val="1952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DA278C3"/>
    <w:multiLevelType w:val="hybridMultilevel"/>
    <w:tmpl w:val="23724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7"/>
  </w:num>
  <w:num w:numId="2">
    <w:abstractNumId w:val="163"/>
  </w:num>
  <w:num w:numId="3">
    <w:abstractNumId w:val="76"/>
  </w:num>
  <w:num w:numId="4">
    <w:abstractNumId w:val="47"/>
  </w:num>
  <w:num w:numId="5">
    <w:abstractNumId w:val="146"/>
  </w:num>
  <w:num w:numId="6">
    <w:abstractNumId w:val="206"/>
  </w:num>
  <w:num w:numId="7">
    <w:abstractNumId w:val="43"/>
  </w:num>
  <w:num w:numId="8">
    <w:abstractNumId w:val="138"/>
  </w:num>
  <w:num w:numId="9">
    <w:abstractNumId w:val="182"/>
  </w:num>
  <w:num w:numId="10">
    <w:abstractNumId w:val="71"/>
  </w:num>
  <w:num w:numId="11">
    <w:abstractNumId w:val="127"/>
  </w:num>
  <w:num w:numId="12">
    <w:abstractNumId w:val="134"/>
  </w:num>
  <w:num w:numId="13">
    <w:abstractNumId w:val="185"/>
  </w:num>
  <w:num w:numId="14">
    <w:abstractNumId w:val="63"/>
  </w:num>
  <w:num w:numId="15">
    <w:abstractNumId w:val="154"/>
  </w:num>
  <w:num w:numId="16">
    <w:abstractNumId w:val="21"/>
  </w:num>
  <w:num w:numId="17">
    <w:abstractNumId w:val="14"/>
  </w:num>
  <w:num w:numId="18">
    <w:abstractNumId w:val="95"/>
  </w:num>
  <w:num w:numId="19">
    <w:abstractNumId w:val="68"/>
  </w:num>
  <w:num w:numId="20">
    <w:abstractNumId w:val="19"/>
  </w:num>
  <w:num w:numId="21">
    <w:abstractNumId w:val="105"/>
  </w:num>
  <w:num w:numId="22">
    <w:abstractNumId w:val="34"/>
  </w:num>
  <w:num w:numId="23">
    <w:abstractNumId w:val="72"/>
  </w:num>
  <w:num w:numId="24">
    <w:abstractNumId w:val="11"/>
  </w:num>
  <w:num w:numId="25">
    <w:abstractNumId w:val="171"/>
  </w:num>
  <w:num w:numId="26">
    <w:abstractNumId w:val="64"/>
  </w:num>
  <w:num w:numId="27">
    <w:abstractNumId w:val="141"/>
  </w:num>
  <w:num w:numId="28">
    <w:abstractNumId w:val="60"/>
  </w:num>
  <w:num w:numId="29">
    <w:abstractNumId w:val="157"/>
  </w:num>
  <w:num w:numId="30">
    <w:abstractNumId w:val="142"/>
  </w:num>
  <w:num w:numId="31">
    <w:abstractNumId w:val="32"/>
  </w:num>
  <w:num w:numId="32">
    <w:abstractNumId w:val="8"/>
  </w:num>
  <w:num w:numId="33">
    <w:abstractNumId w:val="35"/>
  </w:num>
  <w:num w:numId="34">
    <w:abstractNumId w:val="110"/>
  </w:num>
  <w:num w:numId="35">
    <w:abstractNumId w:val="207"/>
  </w:num>
  <w:num w:numId="36">
    <w:abstractNumId w:val="192"/>
  </w:num>
  <w:num w:numId="37">
    <w:abstractNumId w:val="169"/>
  </w:num>
  <w:num w:numId="38">
    <w:abstractNumId w:val="139"/>
  </w:num>
  <w:num w:numId="39">
    <w:abstractNumId w:val="137"/>
  </w:num>
  <w:num w:numId="40">
    <w:abstractNumId w:val="94"/>
  </w:num>
  <w:num w:numId="41">
    <w:abstractNumId w:val="40"/>
  </w:num>
  <w:num w:numId="42">
    <w:abstractNumId w:val="211"/>
  </w:num>
  <w:num w:numId="43">
    <w:abstractNumId w:val="33"/>
  </w:num>
  <w:num w:numId="44">
    <w:abstractNumId w:val="12"/>
  </w:num>
  <w:num w:numId="45">
    <w:abstractNumId w:val="69"/>
  </w:num>
  <w:num w:numId="46">
    <w:abstractNumId w:val="158"/>
  </w:num>
  <w:num w:numId="47">
    <w:abstractNumId w:val="27"/>
  </w:num>
  <w:num w:numId="48">
    <w:abstractNumId w:val="201"/>
  </w:num>
  <w:num w:numId="49">
    <w:abstractNumId w:val="209"/>
  </w:num>
  <w:num w:numId="50">
    <w:abstractNumId w:val="180"/>
  </w:num>
  <w:num w:numId="51">
    <w:abstractNumId w:val="55"/>
  </w:num>
  <w:num w:numId="52">
    <w:abstractNumId w:val="54"/>
  </w:num>
  <w:num w:numId="53">
    <w:abstractNumId w:val="193"/>
  </w:num>
  <w:num w:numId="54">
    <w:abstractNumId w:val="67"/>
  </w:num>
  <w:num w:numId="55">
    <w:abstractNumId w:val="120"/>
  </w:num>
  <w:num w:numId="56">
    <w:abstractNumId w:val="145"/>
  </w:num>
  <w:num w:numId="57">
    <w:abstractNumId w:val="104"/>
  </w:num>
  <w:num w:numId="58">
    <w:abstractNumId w:val="197"/>
  </w:num>
  <w:num w:numId="59">
    <w:abstractNumId w:val="51"/>
  </w:num>
  <w:num w:numId="60">
    <w:abstractNumId w:val="45"/>
  </w:num>
  <w:num w:numId="61">
    <w:abstractNumId w:val="203"/>
  </w:num>
  <w:num w:numId="62">
    <w:abstractNumId w:val="1"/>
  </w:num>
  <w:num w:numId="63">
    <w:abstractNumId w:val="20"/>
  </w:num>
  <w:num w:numId="64">
    <w:abstractNumId w:val="59"/>
  </w:num>
  <w:num w:numId="65">
    <w:abstractNumId w:val="136"/>
  </w:num>
  <w:num w:numId="66">
    <w:abstractNumId w:val="79"/>
  </w:num>
  <w:num w:numId="67">
    <w:abstractNumId w:val="170"/>
  </w:num>
  <w:num w:numId="68">
    <w:abstractNumId w:val="143"/>
  </w:num>
  <w:num w:numId="69">
    <w:abstractNumId w:val="151"/>
  </w:num>
  <w:num w:numId="70">
    <w:abstractNumId w:val="112"/>
  </w:num>
  <w:num w:numId="71">
    <w:abstractNumId w:val="73"/>
  </w:num>
  <w:num w:numId="72">
    <w:abstractNumId w:val="96"/>
  </w:num>
  <w:num w:numId="73">
    <w:abstractNumId w:val="30"/>
  </w:num>
  <w:num w:numId="74">
    <w:abstractNumId w:val="172"/>
  </w:num>
  <w:num w:numId="75">
    <w:abstractNumId w:val="83"/>
  </w:num>
  <w:num w:numId="76">
    <w:abstractNumId w:val="202"/>
  </w:num>
  <w:num w:numId="77">
    <w:abstractNumId w:val="86"/>
  </w:num>
  <w:num w:numId="78">
    <w:abstractNumId w:val="124"/>
  </w:num>
  <w:num w:numId="79">
    <w:abstractNumId w:val="144"/>
  </w:num>
  <w:num w:numId="80">
    <w:abstractNumId w:val="91"/>
  </w:num>
  <w:num w:numId="81">
    <w:abstractNumId w:val="90"/>
  </w:num>
  <w:num w:numId="82">
    <w:abstractNumId w:val="36"/>
  </w:num>
  <w:num w:numId="83">
    <w:abstractNumId w:val="114"/>
  </w:num>
  <w:num w:numId="84">
    <w:abstractNumId w:val="121"/>
  </w:num>
  <w:num w:numId="85">
    <w:abstractNumId w:val="102"/>
  </w:num>
  <w:num w:numId="86">
    <w:abstractNumId w:val="168"/>
  </w:num>
  <w:num w:numId="87">
    <w:abstractNumId w:val="10"/>
  </w:num>
  <w:num w:numId="88">
    <w:abstractNumId w:val="175"/>
  </w:num>
  <w:num w:numId="89">
    <w:abstractNumId w:val="200"/>
  </w:num>
  <w:num w:numId="90">
    <w:abstractNumId w:val="16"/>
  </w:num>
  <w:num w:numId="91">
    <w:abstractNumId w:val="23"/>
  </w:num>
  <w:num w:numId="92">
    <w:abstractNumId w:val="149"/>
  </w:num>
  <w:num w:numId="93">
    <w:abstractNumId w:val="164"/>
  </w:num>
  <w:num w:numId="94">
    <w:abstractNumId w:val="210"/>
  </w:num>
  <w:num w:numId="95">
    <w:abstractNumId w:val="82"/>
  </w:num>
  <w:num w:numId="96">
    <w:abstractNumId w:val="39"/>
  </w:num>
  <w:num w:numId="97">
    <w:abstractNumId w:val="125"/>
  </w:num>
  <w:num w:numId="98">
    <w:abstractNumId w:val="109"/>
  </w:num>
  <w:num w:numId="99">
    <w:abstractNumId w:val="17"/>
  </w:num>
  <w:num w:numId="100">
    <w:abstractNumId w:val="87"/>
  </w:num>
  <w:num w:numId="101">
    <w:abstractNumId w:val="159"/>
  </w:num>
  <w:num w:numId="102">
    <w:abstractNumId w:val="97"/>
  </w:num>
  <w:num w:numId="103">
    <w:abstractNumId w:val="93"/>
  </w:num>
  <w:num w:numId="104">
    <w:abstractNumId w:val="148"/>
  </w:num>
  <w:num w:numId="105">
    <w:abstractNumId w:val="38"/>
  </w:num>
  <w:num w:numId="106">
    <w:abstractNumId w:val="65"/>
  </w:num>
  <w:num w:numId="107">
    <w:abstractNumId w:val="176"/>
  </w:num>
  <w:num w:numId="108">
    <w:abstractNumId w:val="78"/>
  </w:num>
  <w:num w:numId="109">
    <w:abstractNumId w:val="92"/>
  </w:num>
  <w:num w:numId="110">
    <w:abstractNumId w:val="48"/>
  </w:num>
  <w:num w:numId="111">
    <w:abstractNumId w:val="117"/>
  </w:num>
  <w:num w:numId="112">
    <w:abstractNumId w:val="135"/>
  </w:num>
  <w:num w:numId="113">
    <w:abstractNumId w:val="128"/>
  </w:num>
  <w:num w:numId="114">
    <w:abstractNumId w:val="50"/>
  </w:num>
  <w:num w:numId="115">
    <w:abstractNumId w:val="122"/>
  </w:num>
  <w:num w:numId="116">
    <w:abstractNumId w:val="153"/>
  </w:num>
  <w:num w:numId="117">
    <w:abstractNumId w:val="56"/>
  </w:num>
  <w:num w:numId="118">
    <w:abstractNumId w:val="196"/>
  </w:num>
  <w:num w:numId="119">
    <w:abstractNumId w:val="77"/>
  </w:num>
  <w:num w:numId="120">
    <w:abstractNumId w:val="191"/>
  </w:num>
  <w:num w:numId="121">
    <w:abstractNumId w:val="152"/>
  </w:num>
  <w:num w:numId="122">
    <w:abstractNumId w:val="4"/>
  </w:num>
  <w:num w:numId="123">
    <w:abstractNumId w:val="123"/>
  </w:num>
  <w:num w:numId="124">
    <w:abstractNumId w:val="205"/>
  </w:num>
  <w:num w:numId="125">
    <w:abstractNumId w:val="126"/>
  </w:num>
  <w:num w:numId="126">
    <w:abstractNumId w:val="85"/>
  </w:num>
  <w:num w:numId="127">
    <w:abstractNumId w:val="167"/>
  </w:num>
  <w:num w:numId="128">
    <w:abstractNumId w:val="28"/>
  </w:num>
  <w:num w:numId="129">
    <w:abstractNumId w:val="74"/>
  </w:num>
  <w:num w:numId="130">
    <w:abstractNumId w:val="150"/>
  </w:num>
  <w:num w:numId="131">
    <w:abstractNumId w:val="24"/>
  </w:num>
  <w:num w:numId="132">
    <w:abstractNumId w:val="99"/>
  </w:num>
  <w:num w:numId="133">
    <w:abstractNumId w:val="140"/>
  </w:num>
  <w:num w:numId="134">
    <w:abstractNumId w:val="173"/>
  </w:num>
  <w:num w:numId="135">
    <w:abstractNumId w:val="101"/>
  </w:num>
  <w:num w:numId="136">
    <w:abstractNumId w:val="183"/>
  </w:num>
  <w:num w:numId="137">
    <w:abstractNumId w:val="13"/>
  </w:num>
  <w:num w:numId="138">
    <w:abstractNumId w:val="26"/>
  </w:num>
  <w:num w:numId="139">
    <w:abstractNumId w:val="7"/>
  </w:num>
  <w:num w:numId="140">
    <w:abstractNumId w:val="88"/>
  </w:num>
  <w:num w:numId="141">
    <w:abstractNumId w:val="115"/>
  </w:num>
  <w:num w:numId="142">
    <w:abstractNumId w:val="57"/>
  </w:num>
  <w:num w:numId="143">
    <w:abstractNumId w:val="177"/>
  </w:num>
  <w:num w:numId="144">
    <w:abstractNumId w:val="188"/>
  </w:num>
  <w:num w:numId="145">
    <w:abstractNumId w:val="194"/>
  </w:num>
  <w:num w:numId="146">
    <w:abstractNumId w:val="15"/>
  </w:num>
  <w:num w:numId="147">
    <w:abstractNumId w:val="5"/>
  </w:num>
  <w:num w:numId="148">
    <w:abstractNumId w:val="174"/>
  </w:num>
  <w:num w:numId="149">
    <w:abstractNumId w:val="162"/>
  </w:num>
  <w:num w:numId="150">
    <w:abstractNumId w:val="75"/>
  </w:num>
  <w:num w:numId="151">
    <w:abstractNumId w:val="18"/>
  </w:num>
  <w:num w:numId="152">
    <w:abstractNumId w:val="58"/>
  </w:num>
  <w:num w:numId="153">
    <w:abstractNumId w:val="80"/>
  </w:num>
  <w:num w:numId="154">
    <w:abstractNumId w:val="189"/>
  </w:num>
  <w:num w:numId="155">
    <w:abstractNumId w:val="198"/>
  </w:num>
  <w:num w:numId="156">
    <w:abstractNumId w:val="2"/>
  </w:num>
  <w:num w:numId="157">
    <w:abstractNumId w:val="41"/>
  </w:num>
  <w:num w:numId="158">
    <w:abstractNumId w:val="155"/>
  </w:num>
  <w:num w:numId="159">
    <w:abstractNumId w:val="89"/>
  </w:num>
  <w:num w:numId="160">
    <w:abstractNumId w:val="106"/>
  </w:num>
  <w:num w:numId="161">
    <w:abstractNumId w:val="37"/>
  </w:num>
  <w:num w:numId="162">
    <w:abstractNumId w:val="208"/>
  </w:num>
  <w:num w:numId="163">
    <w:abstractNumId w:val="61"/>
  </w:num>
  <w:num w:numId="164">
    <w:abstractNumId w:val="204"/>
  </w:num>
  <w:num w:numId="165">
    <w:abstractNumId w:val="190"/>
  </w:num>
  <w:num w:numId="166">
    <w:abstractNumId w:val="132"/>
  </w:num>
  <w:num w:numId="167">
    <w:abstractNumId w:val="133"/>
  </w:num>
  <w:num w:numId="168">
    <w:abstractNumId w:val="29"/>
  </w:num>
  <w:num w:numId="169">
    <w:abstractNumId w:val="178"/>
  </w:num>
  <w:num w:numId="170">
    <w:abstractNumId w:val="62"/>
  </w:num>
  <w:num w:numId="171">
    <w:abstractNumId w:val="100"/>
  </w:num>
  <w:num w:numId="172">
    <w:abstractNumId w:val="119"/>
  </w:num>
  <w:num w:numId="173">
    <w:abstractNumId w:val="156"/>
  </w:num>
  <w:num w:numId="174">
    <w:abstractNumId w:val="53"/>
  </w:num>
  <w:num w:numId="175">
    <w:abstractNumId w:val="199"/>
  </w:num>
  <w:num w:numId="176">
    <w:abstractNumId w:val="129"/>
  </w:num>
  <w:num w:numId="177">
    <w:abstractNumId w:val="6"/>
  </w:num>
  <w:num w:numId="178">
    <w:abstractNumId w:val="44"/>
  </w:num>
  <w:num w:numId="179">
    <w:abstractNumId w:val="184"/>
  </w:num>
  <w:num w:numId="180">
    <w:abstractNumId w:val="81"/>
  </w:num>
  <w:num w:numId="181">
    <w:abstractNumId w:val="111"/>
  </w:num>
  <w:num w:numId="182">
    <w:abstractNumId w:val="46"/>
  </w:num>
  <w:num w:numId="183">
    <w:abstractNumId w:val="98"/>
  </w:num>
  <w:num w:numId="184">
    <w:abstractNumId w:val="166"/>
  </w:num>
  <w:num w:numId="185">
    <w:abstractNumId w:val="108"/>
  </w:num>
  <w:num w:numId="186">
    <w:abstractNumId w:val="31"/>
  </w:num>
  <w:num w:numId="187">
    <w:abstractNumId w:val="84"/>
  </w:num>
  <w:num w:numId="188">
    <w:abstractNumId w:val="147"/>
  </w:num>
  <w:num w:numId="189">
    <w:abstractNumId w:val="70"/>
  </w:num>
  <w:num w:numId="190">
    <w:abstractNumId w:val="0"/>
  </w:num>
  <w:num w:numId="191">
    <w:abstractNumId w:val="160"/>
  </w:num>
  <w:num w:numId="192">
    <w:abstractNumId w:val="103"/>
  </w:num>
  <w:num w:numId="193">
    <w:abstractNumId w:val="165"/>
  </w:num>
  <w:num w:numId="194">
    <w:abstractNumId w:val="25"/>
  </w:num>
  <w:num w:numId="195">
    <w:abstractNumId w:val="42"/>
  </w:num>
  <w:num w:numId="196">
    <w:abstractNumId w:val="186"/>
  </w:num>
  <w:num w:numId="197">
    <w:abstractNumId w:val="22"/>
  </w:num>
  <w:num w:numId="198">
    <w:abstractNumId w:val="66"/>
  </w:num>
  <w:num w:numId="199">
    <w:abstractNumId w:val="107"/>
  </w:num>
  <w:num w:numId="200">
    <w:abstractNumId w:val="195"/>
  </w:num>
  <w:num w:numId="201">
    <w:abstractNumId w:val="113"/>
  </w:num>
  <w:num w:numId="202">
    <w:abstractNumId w:val="181"/>
  </w:num>
  <w:num w:numId="203">
    <w:abstractNumId w:val="131"/>
  </w:num>
  <w:num w:numId="204">
    <w:abstractNumId w:val="52"/>
  </w:num>
  <w:num w:numId="205">
    <w:abstractNumId w:val="187"/>
  </w:num>
  <w:num w:numId="206">
    <w:abstractNumId w:val="116"/>
  </w:num>
  <w:num w:numId="207">
    <w:abstractNumId w:val="118"/>
  </w:num>
  <w:num w:numId="208">
    <w:abstractNumId w:val="3"/>
  </w:num>
  <w:num w:numId="209">
    <w:abstractNumId w:val="130"/>
  </w:num>
  <w:num w:numId="210">
    <w:abstractNumId w:val="161"/>
  </w:num>
  <w:num w:numId="211">
    <w:abstractNumId w:val="179"/>
  </w:num>
  <w:num w:numId="212">
    <w:abstractNumId w:val="49"/>
  </w:num>
  <w:num w:numId="213">
    <w:abstractNumId w:val="187"/>
  </w:num>
  <w:num w:numId="214">
    <w:abstractNumId w:val="9"/>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A7F97"/>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1E5D"/>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53E"/>
    <w:rsid w:val="00153F7E"/>
    <w:rsid w:val="001541E4"/>
    <w:rsid w:val="00155C8F"/>
    <w:rsid w:val="0015755D"/>
    <w:rsid w:val="00157842"/>
    <w:rsid w:val="00160098"/>
    <w:rsid w:val="00160642"/>
    <w:rsid w:val="00160CB6"/>
    <w:rsid w:val="001613DC"/>
    <w:rsid w:val="001617B5"/>
    <w:rsid w:val="0016208B"/>
    <w:rsid w:val="00163368"/>
    <w:rsid w:val="0016397B"/>
    <w:rsid w:val="001646D3"/>
    <w:rsid w:val="00165318"/>
    <w:rsid w:val="0016531B"/>
    <w:rsid w:val="00165D8D"/>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5BDF"/>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6DF2"/>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495B"/>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041"/>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C78C5"/>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4B2"/>
    <w:rsid w:val="003E3BE0"/>
    <w:rsid w:val="003E4110"/>
    <w:rsid w:val="003E4C31"/>
    <w:rsid w:val="003E6B4D"/>
    <w:rsid w:val="003E6D92"/>
    <w:rsid w:val="003E7AAF"/>
    <w:rsid w:val="003E7AF9"/>
    <w:rsid w:val="003E7D16"/>
    <w:rsid w:val="003F0138"/>
    <w:rsid w:val="003F27C5"/>
    <w:rsid w:val="003F2908"/>
    <w:rsid w:val="003F33C9"/>
    <w:rsid w:val="003F499C"/>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6EF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0DFB"/>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462A"/>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0A12"/>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8E6"/>
    <w:rsid w:val="00626A84"/>
    <w:rsid w:val="0062792A"/>
    <w:rsid w:val="0063048D"/>
    <w:rsid w:val="00632687"/>
    <w:rsid w:val="0063274A"/>
    <w:rsid w:val="00632824"/>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778BE"/>
    <w:rsid w:val="00781549"/>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5F11"/>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284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E30"/>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3B6"/>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5DB"/>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3E95"/>
    <w:rsid w:val="00A7518D"/>
    <w:rsid w:val="00A752DF"/>
    <w:rsid w:val="00A76A16"/>
    <w:rsid w:val="00A76ACE"/>
    <w:rsid w:val="00A776BA"/>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A6CFB"/>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3B7"/>
    <w:rsid w:val="00AE4DD2"/>
    <w:rsid w:val="00AE5878"/>
    <w:rsid w:val="00AE5F18"/>
    <w:rsid w:val="00AE6212"/>
    <w:rsid w:val="00AE6A9A"/>
    <w:rsid w:val="00AE6CCE"/>
    <w:rsid w:val="00AF1F5A"/>
    <w:rsid w:val="00AF264A"/>
    <w:rsid w:val="00AF30B5"/>
    <w:rsid w:val="00AF48BC"/>
    <w:rsid w:val="00AF5498"/>
    <w:rsid w:val="00AF6B56"/>
    <w:rsid w:val="00AF78DC"/>
    <w:rsid w:val="00AF79E0"/>
    <w:rsid w:val="00AF7B13"/>
    <w:rsid w:val="00B00CC3"/>
    <w:rsid w:val="00B01E9E"/>
    <w:rsid w:val="00B031CC"/>
    <w:rsid w:val="00B0407D"/>
    <w:rsid w:val="00B04AC3"/>
    <w:rsid w:val="00B054D0"/>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309"/>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343"/>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0FE0"/>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A7F9D"/>
    <w:rsid w:val="00CB1060"/>
    <w:rsid w:val="00CB1364"/>
    <w:rsid w:val="00CB3455"/>
    <w:rsid w:val="00CB3C61"/>
    <w:rsid w:val="00CB4AC9"/>
    <w:rsid w:val="00CB4F76"/>
    <w:rsid w:val="00CB6A98"/>
    <w:rsid w:val="00CB6E29"/>
    <w:rsid w:val="00CB7195"/>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2F0"/>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27D1"/>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2D29"/>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BAB"/>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3447"/>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591"/>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EF3589"/>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482118478">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38.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xbrlsite.com/2015/Analysis/Analysis_Reports6751.zip" TargetMode="External"/><Relationship Id="rId13" Type="http://schemas.openxmlformats.org/officeDocument/2006/relationships/hyperlink" Target="http://xbrl.squarespace.com/journal/2015/4/2/public-company-xbrl-quality-increases-significantly.html" TargetMode="External"/><Relationship Id="rId3" Type="http://schemas.openxmlformats.org/officeDocument/2006/relationships/hyperlink" Target="http://www.xbrlsite.com/2015/Library/TerminologyOfFinancialReport.pdf" TargetMode="External"/><Relationship Id="rId7" Type="http://schemas.openxmlformats.org/officeDocument/2006/relationships/hyperlink" Target="http://www.xbrlsite.com/2014/Library/SummaryInformationAboutConformanceWithFundamentalAccountingConceptRelations.pdf" TargetMode="External"/><Relationship Id="rId12" Type="http://schemas.openxmlformats.org/officeDocument/2006/relationships/hyperlink" Target="http://www.xbrlsite.com/2015/fro/us-gaap/html/reportFrames/" TargetMode="External"/><Relationship Id="rId2" Type="http://schemas.openxmlformats.org/officeDocument/2006/relationships/hyperlink" Target="http://www.xbrlsite.com/2015/Library/UnderstandingTheMechanicsOfAnSECTypeDigitalFinancialReport.pdf" TargetMode="External"/><Relationship Id="rId1" Type="http://schemas.openxmlformats.org/officeDocument/2006/relationships/hyperlink" Target="http://xbrl.squarespace.com/journal/2015/4/7/understanding-public-company-xbrl-based-financial-report-qua.html" TargetMode="External"/><Relationship Id="rId6" Type="http://schemas.openxmlformats.org/officeDocument/2006/relationships/hyperlink" Target="http://xbrl.squarespace.com/journal/2014/3/13/set-of-915-digital-financial-reporting-all-stars.html" TargetMode="External"/><Relationship Id="rId11" Type="http://schemas.openxmlformats.org/officeDocument/2006/relationships/hyperlink" Target="http://www.xbrlsite.com/2015/Library/UnderstandingTheMechanicsOfAnSECTypeDigitalFinancialReport.pdf" TargetMode="External"/><Relationship Id="rId5" Type="http://schemas.openxmlformats.org/officeDocument/2006/relationships/hyperlink" Target="http://www.xbrlsite.com/2014/Library/AnalysisSummary_ArrivingAtDigitalFinancialReportingAllStars.pdf" TargetMode="External"/><Relationship Id="rId10" Type="http://schemas.openxmlformats.org/officeDocument/2006/relationships/hyperlink" Target="http://www.xbrlsite.com/2015/Library/UnderstandingTheMechanicsOfAnSECTypeDigitalFinancialReport.pdf" TargetMode="External"/><Relationship Id="rId4" Type="http://schemas.openxmlformats.org/officeDocument/2006/relationships/hyperlink" Target="http://www.xbrlsite.com/2015/Library/AnalysisSummary2014_ArrivingAtDigitalFinancialReportingAllStars.pdf" TargetMode="External"/><Relationship Id="rId9" Type="http://schemas.openxmlformats.org/officeDocument/2006/relationships/hyperlink" Target="http://en.wikipedia.org/wiki/ISO_42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F5ECC-D1DD-40AD-9545-EFC1BC299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9</TotalTime>
  <Pages>25</Pages>
  <Words>2566</Words>
  <Characters>14629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17161</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12</cp:revision>
  <cp:lastPrinted>2017-01-10T16:27:00Z</cp:lastPrinted>
  <dcterms:created xsi:type="dcterms:W3CDTF">2016-12-18T21:39:00Z</dcterms:created>
  <dcterms:modified xsi:type="dcterms:W3CDTF">2020-07-02T21:34:00Z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