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08BEB" w14:textId="77777777" w:rsidR="00993C2D" w:rsidRDefault="00993C2D">
      <w:r>
        <w:t xml:space="preserve">The following is a summary of questions raised as part of trying to pull a project together to create a representation of the fundamental accounting concepts and relations between those concepts for US GAAP and IFRS in machine-readable XBRL and then instantiating that information in the form of an NFT (nonfungible token).  </w:t>
      </w:r>
    </w:p>
    <w:p w14:paraId="3F4766BA" w14:textId="5E59A314" w:rsidR="00CA3CE2" w:rsidRDefault="00993C2D">
      <w:r>
        <w:t xml:space="preserve">This is the location of that human and </w:t>
      </w:r>
      <w:proofErr w:type="gramStart"/>
      <w:r>
        <w:t>machine readable</w:t>
      </w:r>
      <w:proofErr w:type="gramEnd"/>
      <w:r>
        <w:t xml:space="preserve"> information that will be converted to NFTs:</w:t>
      </w:r>
    </w:p>
    <w:p w14:paraId="71E32BB8" w14:textId="735EDE19" w:rsidR="00993C2D" w:rsidRDefault="005B1CD1">
      <w:hyperlink r:id="rId8" w:history="1">
        <w:r w:rsidR="00993C2D" w:rsidRPr="009F4F4A">
          <w:rPr>
            <w:rStyle w:val="Hyperlink"/>
          </w:rPr>
          <w:t>http://accounting.auditchain.finance/fac/Index.html</w:t>
        </w:r>
      </w:hyperlink>
      <w:r w:rsidR="00993C2D">
        <w:t xml:space="preserve"> </w:t>
      </w:r>
    </w:p>
    <w:p w14:paraId="197B4E49" w14:textId="63F57777" w:rsidR="00993C2D" w:rsidRDefault="00993C2D">
      <w:r>
        <w:t>The people interested in this project are:</w:t>
      </w:r>
    </w:p>
    <w:p w14:paraId="5AF4F455" w14:textId="6A0F5841" w:rsidR="00993C2D" w:rsidRDefault="00993C2D" w:rsidP="00993C2D">
      <w:pPr>
        <w:pStyle w:val="ListParagraph"/>
        <w:numPr>
          <w:ilvl w:val="0"/>
          <w:numId w:val="3"/>
        </w:numPr>
      </w:pPr>
      <w:bookmarkStart w:id="0" w:name="_Hlk79850389"/>
      <w:r>
        <w:t>Charles Hoffman, CPA (</w:t>
      </w:r>
      <w:hyperlink r:id="rId9" w:history="1">
        <w:r w:rsidRPr="009F4F4A">
          <w:rPr>
            <w:rStyle w:val="Hyperlink"/>
          </w:rPr>
          <w:t>Charles.Hoffman@me.com</w:t>
        </w:r>
      </w:hyperlink>
      <w:r w:rsidR="00842EB6">
        <w:t xml:space="preserve">, </w:t>
      </w:r>
      <w:hyperlink r:id="rId10" w:history="1">
        <w:r w:rsidR="00842EB6" w:rsidRPr="009F4F4A">
          <w:rPr>
            <w:rStyle w:val="Hyperlink"/>
          </w:rPr>
          <w:t>https://www.linkedin.com/in/charleshoffmancpa/</w:t>
        </w:r>
      </w:hyperlink>
      <w:r w:rsidR="00842EB6">
        <w:t>)</w:t>
      </w:r>
    </w:p>
    <w:p w14:paraId="522580C9" w14:textId="791DE430" w:rsidR="00993C2D" w:rsidRDefault="00993C2D" w:rsidP="00993C2D">
      <w:pPr>
        <w:pStyle w:val="ListParagraph"/>
        <w:numPr>
          <w:ilvl w:val="0"/>
          <w:numId w:val="3"/>
        </w:numPr>
      </w:pPr>
      <w:r>
        <w:t>Thomas Egan, CPA (</w:t>
      </w:r>
      <w:hyperlink r:id="rId11" w:history="1">
        <w:r w:rsidRPr="009F4F4A">
          <w:rPr>
            <w:rStyle w:val="Hyperlink"/>
          </w:rPr>
          <w:t>thomas.egan.sg@gmail.com</w:t>
        </w:r>
      </w:hyperlink>
      <w:r w:rsidR="00842EB6">
        <w:t xml:space="preserve">; </w:t>
      </w:r>
      <w:hyperlink r:id="rId12" w:history="1">
        <w:r w:rsidR="00842EB6" w:rsidRPr="009F4F4A">
          <w:rPr>
            <w:rStyle w:val="Hyperlink"/>
          </w:rPr>
          <w:t>https://www.linkedin.com/in/thomas-egan-281846a9/</w:t>
        </w:r>
      </w:hyperlink>
      <w:r>
        <w:t xml:space="preserve">) </w:t>
      </w:r>
    </w:p>
    <w:p w14:paraId="0907278C" w14:textId="776EBF4E" w:rsidR="00993C2D" w:rsidRDefault="00993C2D" w:rsidP="00993C2D">
      <w:pPr>
        <w:pStyle w:val="ListParagraph"/>
        <w:numPr>
          <w:ilvl w:val="0"/>
          <w:numId w:val="3"/>
        </w:numPr>
      </w:pPr>
      <w:r>
        <w:t>Dudley Gould, ACA (</w:t>
      </w:r>
      <w:hyperlink r:id="rId13" w:history="1">
        <w:r w:rsidRPr="009F4F4A">
          <w:rPr>
            <w:rStyle w:val="Hyperlink"/>
          </w:rPr>
          <w:t>dudley.gould@googlemail.com</w:t>
        </w:r>
      </w:hyperlink>
      <w:r w:rsidR="00842EB6">
        <w:t xml:space="preserve">; </w:t>
      </w:r>
      <w:hyperlink r:id="rId14" w:history="1">
        <w:r w:rsidR="00842EB6" w:rsidRPr="009F4F4A">
          <w:rPr>
            <w:rStyle w:val="Hyperlink"/>
          </w:rPr>
          <w:t>https://www.linkedin.com/in/dudley-gould/</w:t>
        </w:r>
      </w:hyperlink>
      <w:r>
        <w:t xml:space="preserve">) </w:t>
      </w:r>
    </w:p>
    <w:p w14:paraId="6D2B0E91" w14:textId="59BA9A3A" w:rsidR="00993C2D" w:rsidRDefault="00993C2D" w:rsidP="00993C2D">
      <w:pPr>
        <w:pStyle w:val="ListParagraph"/>
        <w:numPr>
          <w:ilvl w:val="0"/>
          <w:numId w:val="3"/>
        </w:numPr>
      </w:pPr>
      <w:r>
        <w:t>Thomas McKinney, CPA (</w:t>
      </w:r>
      <w:hyperlink r:id="rId15" w:history="1">
        <w:r w:rsidRPr="009F4F4A">
          <w:rPr>
            <w:rStyle w:val="Hyperlink"/>
          </w:rPr>
          <w:t>thomas.mckinney.cpa@outlook.com</w:t>
        </w:r>
      </w:hyperlink>
      <w:r w:rsidR="00842EB6">
        <w:t>;</w:t>
      </w:r>
      <w:r w:rsidR="00842EB6" w:rsidRPr="00842EB6">
        <w:t xml:space="preserve"> </w:t>
      </w:r>
      <w:hyperlink r:id="rId16" w:history="1">
        <w:r w:rsidR="00842EB6" w:rsidRPr="009F4F4A">
          <w:rPr>
            <w:rStyle w:val="Hyperlink"/>
          </w:rPr>
          <w:t>https://www.linkedin.com/in/thomas-m-526984b7/</w:t>
        </w:r>
      </w:hyperlink>
      <w:r>
        <w:t xml:space="preserve">) </w:t>
      </w:r>
    </w:p>
    <w:p w14:paraId="0FBD22CD" w14:textId="49B387DC" w:rsidR="00993C2D" w:rsidRDefault="00993C2D" w:rsidP="00993C2D">
      <w:pPr>
        <w:pStyle w:val="ListParagraph"/>
        <w:numPr>
          <w:ilvl w:val="0"/>
          <w:numId w:val="3"/>
        </w:numPr>
      </w:pPr>
      <w:r>
        <w:t>Andrew Noble, FIPA (</w:t>
      </w:r>
      <w:hyperlink r:id="rId17" w:history="1">
        <w:r w:rsidRPr="009F4F4A">
          <w:rPr>
            <w:rStyle w:val="Hyperlink"/>
          </w:rPr>
          <w:t>andrew@nobleaccounting.com.au</w:t>
        </w:r>
      </w:hyperlink>
      <w:r w:rsidR="00842EB6">
        <w:t xml:space="preserve">; </w:t>
      </w:r>
      <w:hyperlink r:id="rId18" w:history="1">
        <w:r w:rsidR="00842EB6" w:rsidRPr="009F4F4A">
          <w:rPr>
            <w:rStyle w:val="Hyperlink"/>
          </w:rPr>
          <w:t>https://www.linkedin.com/in/futurewa/</w:t>
        </w:r>
      </w:hyperlink>
      <w:r>
        <w:t>)</w:t>
      </w:r>
      <w:r w:rsidR="00842EB6">
        <w:t xml:space="preserve"> </w:t>
      </w:r>
    </w:p>
    <w:bookmarkEnd w:id="0"/>
    <w:p w14:paraId="1B42AABB" w14:textId="67DD9B3E" w:rsidR="00993C2D" w:rsidRDefault="00993C2D" w:rsidP="00993C2D">
      <w:pPr>
        <w:pStyle w:val="ListParagraph"/>
        <w:numPr>
          <w:ilvl w:val="0"/>
          <w:numId w:val="3"/>
        </w:numPr>
      </w:pPr>
      <w:r>
        <w:t>Pierre Hamon (</w:t>
      </w:r>
      <w:hyperlink r:id="rId19" w:history="1">
        <w:r w:rsidRPr="009F4F4A">
          <w:rPr>
            <w:rStyle w:val="Hyperlink"/>
          </w:rPr>
          <w:t>hamon.pierre@etxetera.com</w:t>
        </w:r>
      </w:hyperlink>
      <w:r w:rsidR="00842EB6">
        <w:t xml:space="preserve">; </w:t>
      </w:r>
      <w:hyperlink r:id="rId20" w:history="1">
        <w:r w:rsidR="00842EB6" w:rsidRPr="009F4F4A">
          <w:rPr>
            <w:rStyle w:val="Hyperlink"/>
          </w:rPr>
          <w:t>https://www.linkedin.com/in/pierrehamon/</w:t>
        </w:r>
      </w:hyperlink>
      <w:r>
        <w:t xml:space="preserve">) </w:t>
      </w:r>
    </w:p>
    <w:p w14:paraId="1C4E1769" w14:textId="14347B19" w:rsidR="00106D69" w:rsidRDefault="00106D69" w:rsidP="00993C2D">
      <w:pPr>
        <w:pStyle w:val="ListParagraph"/>
        <w:numPr>
          <w:ilvl w:val="0"/>
          <w:numId w:val="3"/>
        </w:numPr>
      </w:pPr>
      <w:r>
        <w:t>Bonnie and Ference Feher (</w:t>
      </w:r>
      <w:hyperlink r:id="rId21" w:history="1">
        <w:r w:rsidRPr="009F4F4A">
          <w:rPr>
            <w:rStyle w:val="Hyperlink"/>
          </w:rPr>
          <w:t>BkFeher@comcast.net</w:t>
        </w:r>
      </w:hyperlink>
      <w:r>
        <w:t xml:space="preserve">; </w:t>
      </w:r>
      <w:hyperlink r:id="rId22" w:history="1">
        <w:r w:rsidR="00842EB6" w:rsidRPr="009F4F4A">
          <w:rPr>
            <w:rStyle w:val="Hyperlink"/>
          </w:rPr>
          <w:t>fxfeher@gmail.com</w:t>
        </w:r>
      </w:hyperlink>
      <w:r w:rsidR="00842EB6">
        <w:t xml:space="preserve"> ; </w:t>
      </w:r>
      <w:hyperlink r:id="rId23" w:history="1">
        <w:r w:rsidR="00842EB6" w:rsidRPr="009F4F4A">
          <w:rPr>
            <w:rStyle w:val="Hyperlink"/>
          </w:rPr>
          <w:t>https://www.linkedin.com/in/bonnie-feher/</w:t>
        </w:r>
      </w:hyperlink>
      <w:r w:rsidR="00842EB6">
        <w:t xml:space="preserve">; </w:t>
      </w:r>
      <w:hyperlink r:id="rId24" w:history="1">
        <w:r w:rsidR="00842EB6" w:rsidRPr="009F4F4A">
          <w:rPr>
            <w:rStyle w:val="Hyperlink"/>
          </w:rPr>
          <w:t>https://www.linkedin.com/in/ferenc-feher-14733148/</w:t>
        </w:r>
      </w:hyperlink>
      <w:r w:rsidR="00842EB6">
        <w:t xml:space="preserve">) </w:t>
      </w:r>
    </w:p>
    <w:p w14:paraId="1B4E8E87" w14:textId="77777777" w:rsidR="009A4490" w:rsidRDefault="009A4490"/>
    <w:p w14:paraId="281FB4B9" w14:textId="326DE5F6" w:rsidR="00993C2D" w:rsidRDefault="009A4490">
      <w:r>
        <w:t xml:space="preserve">The idea is to get a group of about 10 accountants together who are either knowledgeable about XBRL or who want to learn about XBRL, approach Jason Meyers at Auditchain, and per his article that was published in </w:t>
      </w:r>
      <w:proofErr w:type="spellStart"/>
      <w:r>
        <w:t>Coinspeaker</w:t>
      </w:r>
      <w:proofErr w:type="spellEnd"/>
      <w:r>
        <w:t xml:space="preserve">, </w:t>
      </w:r>
      <w:r w:rsidRPr="009A4490">
        <w:rPr>
          <w:b/>
          <w:bCs/>
          <w:i/>
          <w:iCs/>
        </w:rPr>
        <w:t>Auditchain to Use NFTs for Accounting and Disclosure Controls</w:t>
      </w:r>
      <w:r>
        <w:rPr>
          <w:rStyle w:val="FootnoteReference"/>
        </w:rPr>
        <w:footnoteReference w:id="1"/>
      </w:r>
      <w:r>
        <w:t>, create machine readable rules represented in both human-readable form and machine-readable form (</w:t>
      </w:r>
      <w:proofErr w:type="gramStart"/>
      <w:r>
        <w:t>i.e.</w:t>
      </w:r>
      <w:proofErr w:type="gramEnd"/>
      <w:r>
        <w:t xml:space="preserve"> XBRL based rules) for the high-level financial concepts and relations between those concepts.  These rules will be based on the XBRL-based rules that Charlie has been using for about seven years to verify XBRL-based financial reports submitted by public companies to the Securities and Exchange Commission</w:t>
      </w:r>
      <w:r>
        <w:rPr>
          <w:rStyle w:val="FootnoteReference"/>
        </w:rPr>
        <w:footnoteReference w:id="2"/>
      </w:r>
      <w:r>
        <w:t>.</w:t>
      </w:r>
      <w:r w:rsidR="00842EB6">
        <w:t xml:space="preserve"> Note that Auditchain has created a software application that can already process these rules called Pacioli</w:t>
      </w:r>
      <w:r w:rsidR="00842EB6">
        <w:rPr>
          <w:rStyle w:val="FootnoteReference"/>
        </w:rPr>
        <w:footnoteReference w:id="3"/>
      </w:r>
      <w:r w:rsidR="00842EB6">
        <w:t>.</w:t>
      </w:r>
      <w:r w:rsidR="00B92C01">
        <w:t xml:space="preserve">  Pacioli is still a work in progress but can effectively process all rules that currently exist in the current instantiation of the FAC rules</w:t>
      </w:r>
      <w:r w:rsidR="00B92C01">
        <w:rPr>
          <w:rStyle w:val="FootnoteReference"/>
        </w:rPr>
        <w:footnoteReference w:id="4"/>
      </w:r>
      <w:r w:rsidR="00B92C01">
        <w:t>.  Pacioli is based on a theory, framework, principles, and method created by Charlie</w:t>
      </w:r>
      <w:r w:rsidR="00B92C01">
        <w:rPr>
          <w:rStyle w:val="FootnoteReference"/>
        </w:rPr>
        <w:footnoteReference w:id="5"/>
      </w:r>
      <w:r w:rsidR="00B92C01">
        <w:t>.</w:t>
      </w:r>
    </w:p>
    <w:p w14:paraId="3D1BED60" w14:textId="23CB603E" w:rsidR="0001656F" w:rsidRDefault="0001656F">
      <w:r>
        <w:lastRenderedPageBreak/>
        <w:t>Currently, only Pierre Hamon has not yet explicitly confirmed his interest in this project.  Invitations have been set to an additional five persons who are still thinking about their participation in this project and have not yet responded.</w:t>
      </w:r>
    </w:p>
    <w:p w14:paraId="4C37E232" w14:textId="77777777" w:rsidR="0001656F" w:rsidRDefault="0001656F"/>
    <w:p w14:paraId="33338143" w14:textId="445F898B" w:rsidR="00E51DBF" w:rsidRDefault="009A4490">
      <w:r>
        <w:t xml:space="preserve">We are proposing that each participating accountant would receive </w:t>
      </w:r>
      <w:r w:rsidR="00E51DBF">
        <w:t>100,000 AUDT coins</w:t>
      </w:r>
      <w:r w:rsidR="00E51DBF">
        <w:rPr>
          <w:rStyle w:val="FootnoteReference"/>
        </w:rPr>
        <w:footnoteReference w:id="6"/>
      </w:r>
      <w:r w:rsidR="00E51DBF">
        <w:t xml:space="preserve"> or a total of 1,000,000 AUDT coins split 10 ways. Jason Meyers might possibly counter offer some different amount.  The only market value for the AUDT coins is the three private sales.</w:t>
      </w:r>
      <w:r w:rsidR="0001656F">
        <w:t xml:space="preserve">  Other details need to be hammered out and agreed to.  Timing of this project is anticipated to be over the next six to eight months.</w:t>
      </w:r>
    </w:p>
    <w:p w14:paraId="199E924A" w14:textId="06487F2C" w:rsidR="00993C2D" w:rsidRDefault="009A4490">
      <w:pPr>
        <w:rPr>
          <w:sz w:val="36"/>
          <w:szCs w:val="36"/>
        </w:rPr>
      </w:pPr>
      <w:r>
        <w:t>What follows are questions that have been raised by these participants and where answers have been provided, those answers.</w:t>
      </w:r>
    </w:p>
    <w:p w14:paraId="264360D3" w14:textId="31EEC63C" w:rsidR="00495F6E" w:rsidRPr="00495F6E" w:rsidRDefault="00495F6E">
      <w:pPr>
        <w:rPr>
          <w:b/>
          <w:bCs/>
          <w:sz w:val="32"/>
          <w:szCs w:val="32"/>
        </w:rPr>
      </w:pPr>
      <w:r w:rsidRPr="00495F6E">
        <w:rPr>
          <w:b/>
          <w:bCs/>
          <w:sz w:val="32"/>
          <w:szCs w:val="32"/>
        </w:rPr>
        <w:t>Summary of Process for Submitting a “control” or rule to Auditchain.</w:t>
      </w:r>
    </w:p>
    <w:p w14:paraId="06AD05E8" w14:textId="3037C0FE" w:rsidR="00495F6E" w:rsidRDefault="00495F6E" w:rsidP="00495F6E">
      <w:r>
        <w:t xml:space="preserve">Submission will be by way of a Web3 UI that requires </w:t>
      </w:r>
      <w:proofErr w:type="spellStart"/>
      <w:r>
        <w:t>Metamask</w:t>
      </w:r>
      <w:proofErr w:type="spellEnd"/>
      <w:r>
        <w:t xml:space="preserve"> and a balance of AUDT. Prior to submission, all developers/curators of controls will need to bind a minimum of three ISAE auditors on the Protocol who will externally validate the compliance with functional objectives prior to converting them to NFTs. Please note that the community of AUDT holders will determine the minimum number of ISAE auditors required to be a part of a cohort. We are launching with a minimum requirement of three. </w:t>
      </w:r>
    </w:p>
    <w:p w14:paraId="3D512400" w14:textId="65F397E7" w:rsidR="00495F6E" w:rsidRDefault="00495F6E" w:rsidP="00495F6E">
      <w:r>
        <w:t xml:space="preserve">In addition, we are deliberating the level of cost to validate each control. We will be launching with a cost paid by the developer/curator but that will also be subject to governance. As far as royalties per use, that again will be subject to governance. </w:t>
      </w:r>
    </w:p>
    <w:p w14:paraId="409BF42A" w14:textId="16890337" w:rsidR="00495F6E" w:rsidRDefault="00495F6E" w:rsidP="00495F6E">
      <w:r>
        <w:t>As a project, there must be consideration of the current cost to use a control set vs the new model proposed which incurs a cost per audited control when used. We must also consider the gas cost. The best way to do this is to let the community propose the initial cost which requires a wallet to be delegated a minimum of 1% of the AUDT in circulation in order for a proposal to be put forth. This may sound like red tape but the function of the EVC contracts allows the change to be automatically invoked upon an affirmative vote.</w:t>
      </w:r>
    </w:p>
    <w:p w14:paraId="39F2C367" w14:textId="1A52B030" w:rsidR="00495F6E" w:rsidRDefault="00495F6E" w:rsidP="00495F6E">
      <w:r>
        <w:t xml:space="preserve">The governance and settlement features are described in more detail on page 6 and 7 in the most recent version of the whitepaper here </w:t>
      </w:r>
      <w:hyperlink r:id="rId25" w:history="1">
        <w:r w:rsidRPr="009F4F4A">
          <w:rPr>
            <w:rStyle w:val="Hyperlink"/>
          </w:rPr>
          <w:t>https://auditchain.finance/whitepaper-v1.pdf</w:t>
        </w:r>
      </w:hyperlink>
    </w:p>
    <w:p w14:paraId="713DED30" w14:textId="65D696D4" w:rsidR="00495F6E" w:rsidRDefault="00495F6E" w:rsidP="00495F6E">
      <w:r>
        <w:t>[CSH: Question about this.  What is the AUDT payment to the accountants that actually created the control/rule that is ultimately verified by the ISAE auditors?  What is the royalty amount of AUDT paid to the creator of the controls/</w:t>
      </w:r>
      <w:proofErr w:type="gramStart"/>
      <w:r>
        <w:t>rules.</w:t>
      </w:r>
      <w:proofErr w:type="gramEnd"/>
      <w:r>
        <w:t>]</w:t>
      </w:r>
    </w:p>
    <w:p w14:paraId="6239F0F4" w14:textId="77777777" w:rsidR="00495F6E" w:rsidRPr="00E51DBF" w:rsidRDefault="00495F6E"/>
    <w:p w14:paraId="7B4E1D6B" w14:textId="77777777" w:rsidR="00495F6E" w:rsidRDefault="00495F6E">
      <w:pPr>
        <w:rPr>
          <w:sz w:val="36"/>
          <w:szCs w:val="36"/>
        </w:rPr>
      </w:pPr>
      <w:r>
        <w:rPr>
          <w:sz w:val="36"/>
          <w:szCs w:val="36"/>
        </w:rPr>
        <w:br w:type="page"/>
      </w:r>
    </w:p>
    <w:p w14:paraId="343AD66A" w14:textId="01E64E15" w:rsidR="00993C2D" w:rsidRPr="00993C2D" w:rsidRDefault="00993C2D">
      <w:pPr>
        <w:rPr>
          <w:sz w:val="36"/>
          <w:szCs w:val="36"/>
        </w:rPr>
      </w:pPr>
      <w:r w:rsidRPr="00993C2D">
        <w:rPr>
          <w:sz w:val="36"/>
          <w:szCs w:val="36"/>
        </w:rPr>
        <w:lastRenderedPageBreak/>
        <w:t>Tom Egan’s questions</w:t>
      </w:r>
      <w:r w:rsidR="00E51DBF">
        <w:rPr>
          <w:sz w:val="36"/>
          <w:szCs w:val="36"/>
        </w:rPr>
        <w:t xml:space="preserve"> and Charlie’s answers to those questions</w:t>
      </w:r>
      <w:r w:rsidRPr="00993C2D">
        <w:rPr>
          <w:sz w:val="36"/>
          <w:szCs w:val="36"/>
        </w:rPr>
        <w:t>:</w:t>
      </w:r>
    </w:p>
    <w:p w14:paraId="189D82F1" w14:textId="77777777" w:rsidR="00993C2D" w:rsidRDefault="00993C2D" w:rsidP="00993C2D">
      <w:pPr>
        <w:pStyle w:val="ListParagraph"/>
        <w:numPr>
          <w:ilvl w:val="0"/>
          <w:numId w:val="1"/>
        </w:numPr>
        <w:rPr>
          <w:rFonts w:eastAsia="Times New Roman"/>
        </w:rPr>
      </w:pPr>
      <w:r>
        <w:rPr>
          <w:rFonts w:eastAsia="Times New Roman"/>
          <w:b/>
          <w:bCs/>
          <w:sz w:val="24"/>
          <w:szCs w:val="24"/>
        </w:rPr>
        <w:t>What problem are we solving</w:t>
      </w:r>
      <w:r>
        <w:rPr>
          <w:rFonts w:eastAsia="Times New Roman"/>
        </w:rPr>
        <w:t xml:space="preserve">?  The problem we are solving is that of XBRL-based financial report QUALITY.  Let me turn this around; If you were creating an XBRL-based financial report, how exactly would you KNOW that the report has been created CORRECTLY???  What exactly have you, or other accountants creating such reports, done to PROVE first to themselves, PROVE to their auditors, or PROVE to anyone else that the financial report (a) conveys the intended MEANING which they wanted to convey and (b) was a provably properly functioning financial report?  Have you seen these errors that I have pointed out in the XBRL-based financial reports that have been submitted to the SEC? See, </w:t>
      </w:r>
      <w:hyperlink r:id="rId26" w:history="1">
        <w:r>
          <w:rPr>
            <w:rStyle w:val="Hyperlink"/>
            <w:rFonts w:eastAsia="Times New Roman"/>
          </w:rPr>
          <w:t>http://xbrl.squarespace.com/journal/2019/3/29/quarterly-xbrl-based-public-company-financial-report-quality.html</w:t>
        </w:r>
      </w:hyperlink>
      <w:r>
        <w:rPr>
          <w:rFonts w:eastAsia="Times New Roman"/>
        </w:rPr>
        <w:t xml:space="preserve"> </w:t>
      </w:r>
    </w:p>
    <w:p w14:paraId="6DB51AD5" w14:textId="77777777" w:rsidR="00993C2D" w:rsidRDefault="00993C2D" w:rsidP="00993C2D">
      <w:pPr>
        <w:pStyle w:val="ListParagraph"/>
        <w:numPr>
          <w:ilvl w:val="0"/>
          <w:numId w:val="1"/>
        </w:numPr>
        <w:rPr>
          <w:rFonts w:eastAsia="Times New Roman"/>
        </w:rPr>
      </w:pPr>
      <w:r>
        <w:rPr>
          <w:rFonts w:eastAsia="Times New Roman"/>
          <w:b/>
          <w:bCs/>
          <w:sz w:val="24"/>
          <w:szCs w:val="24"/>
        </w:rPr>
        <w:t>What value are we creating</w:t>
      </w:r>
      <w:r>
        <w:rPr>
          <w:rFonts w:eastAsia="Times New Roman"/>
        </w:rPr>
        <w:t xml:space="preserve">?  The value being created is the possibility to create a high-quality XBRL-based financial report that is actually usable by automated processes such as the </w:t>
      </w:r>
      <w:proofErr w:type="spellStart"/>
      <w:r>
        <w:rPr>
          <w:rFonts w:eastAsia="Times New Roman"/>
        </w:rPr>
        <w:t>down stream</w:t>
      </w:r>
      <w:proofErr w:type="spellEnd"/>
      <w:r>
        <w:rPr>
          <w:rFonts w:eastAsia="Times New Roman"/>
        </w:rPr>
        <w:t xml:space="preserve"> financial analysis performed by investors, financial analysts, regulators, etc.  You cannot have downstream automation if the upstream information is not high quality.  What is the appropriate quality?  Is it that information is </w:t>
      </w:r>
      <w:proofErr w:type="gramStart"/>
      <w:r>
        <w:rPr>
          <w:rFonts w:eastAsia="Times New Roman"/>
        </w:rPr>
        <w:t>90%</w:t>
      </w:r>
      <w:proofErr w:type="gramEnd"/>
      <w:r>
        <w:rPr>
          <w:rFonts w:eastAsia="Times New Roman"/>
        </w:rPr>
        <w:t xml:space="preserve"> correct?  That is not even close to being good enough.  Is it </w:t>
      </w:r>
      <w:proofErr w:type="gramStart"/>
      <w:r>
        <w:rPr>
          <w:rFonts w:eastAsia="Times New Roman"/>
        </w:rPr>
        <w:t>95%</w:t>
      </w:r>
      <w:proofErr w:type="gramEnd"/>
      <w:r>
        <w:rPr>
          <w:rFonts w:eastAsia="Times New Roman"/>
        </w:rPr>
        <w:t xml:space="preserve"> correct?  That is not good enough either.  The quality level needs to be SIX SIGMA which is 99.99966% correct. (</w:t>
      </w:r>
      <w:proofErr w:type="gramStart"/>
      <w:r>
        <w:rPr>
          <w:rFonts w:eastAsia="Times New Roman"/>
        </w:rPr>
        <w:t>see</w:t>
      </w:r>
      <w:proofErr w:type="gramEnd"/>
      <w:r>
        <w:rPr>
          <w:rFonts w:eastAsia="Times New Roman"/>
        </w:rPr>
        <w:t xml:space="preserve"> </w:t>
      </w:r>
      <w:hyperlink r:id="rId27" w:anchor="Sigma_levels" w:history="1">
        <w:r>
          <w:rPr>
            <w:rStyle w:val="Hyperlink"/>
            <w:rFonts w:eastAsia="Times New Roman"/>
          </w:rPr>
          <w:t>https://en.wikipedia.org/wiki/Six_Sigma#Sigma_levels</w:t>
        </w:r>
      </w:hyperlink>
      <w:r>
        <w:rPr>
          <w:rFonts w:eastAsia="Times New Roman"/>
        </w:rPr>
        <w:t xml:space="preserve">) </w:t>
      </w:r>
    </w:p>
    <w:p w14:paraId="57D361ED" w14:textId="77777777" w:rsidR="00993C2D" w:rsidRDefault="00993C2D" w:rsidP="00993C2D">
      <w:pPr>
        <w:pStyle w:val="ListParagraph"/>
        <w:numPr>
          <w:ilvl w:val="0"/>
          <w:numId w:val="1"/>
        </w:numPr>
        <w:rPr>
          <w:rFonts w:eastAsia="Times New Roman"/>
        </w:rPr>
      </w:pPr>
      <w:r>
        <w:rPr>
          <w:rFonts w:eastAsia="Times New Roman"/>
          <w:b/>
          <w:bCs/>
          <w:sz w:val="24"/>
          <w:szCs w:val="24"/>
        </w:rPr>
        <w:t>Who are we creating that value for</w:t>
      </w:r>
      <w:r>
        <w:rPr>
          <w:rFonts w:eastAsia="Times New Roman"/>
        </w:rPr>
        <w:t xml:space="preserve">?  The value is being created for (a) accountants that are creating XBRL-based financial reports, we enable them to create high-quality reports and (b) those endeavoring to extract information from the XBRL-based financial reports for </w:t>
      </w:r>
      <w:proofErr w:type="spellStart"/>
      <w:r>
        <w:rPr>
          <w:rFonts w:eastAsia="Times New Roman"/>
        </w:rPr>
        <w:t>down stream</w:t>
      </w:r>
      <w:proofErr w:type="spellEnd"/>
      <w:r>
        <w:rPr>
          <w:rFonts w:eastAsia="Times New Roman"/>
        </w:rPr>
        <w:t xml:space="preserve"> analysis.</w:t>
      </w:r>
    </w:p>
    <w:p w14:paraId="6360A75F" w14:textId="77777777" w:rsidR="00993C2D" w:rsidRDefault="00993C2D" w:rsidP="00993C2D"/>
    <w:p w14:paraId="0E01E565" w14:textId="77777777" w:rsidR="00993C2D" w:rsidRDefault="00993C2D" w:rsidP="00993C2D">
      <w:r>
        <w:t xml:space="preserve">The “nuts and bolts vision” is the following: </w:t>
      </w:r>
    </w:p>
    <w:p w14:paraId="79CA0D29" w14:textId="77777777" w:rsidR="00993C2D" w:rsidRDefault="00993C2D" w:rsidP="00993C2D">
      <w:pPr>
        <w:pStyle w:val="Heading1"/>
        <w:rPr>
          <w:rFonts w:eastAsia="Times New Roman"/>
          <w:sz w:val="36"/>
          <w:szCs w:val="36"/>
        </w:rPr>
      </w:pPr>
      <w:r>
        <w:rPr>
          <w:rFonts w:eastAsia="Times New Roman"/>
          <w:sz w:val="36"/>
          <w:szCs w:val="36"/>
        </w:rPr>
        <w:t>Control + Rules = Effective Automation (High Quality)</w:t>
      </w:r>
    </w:p>
    <w:p w14:paraId="42D5040A" w14:textId="2ED2ED3F" w:rsidR="00993C2D" w:rsidRDefault="00993C2D" w:rsidP="00993C2D">
      <w:pPr>
        <w:rPr>
          <w:sz w:val="24"/>
          <w:szCs w:val="24"/>
        </w:rPr>
      </w:pPr>
      <w:r>
        <w:rPr>
          <w:sz w:val="24"/>
          <w:szCs w:val="24"/>
        </w:rPr>
        <w:t>If a process cannot be controlled then the process simply cannot repeatedly and reliably output high-quality.  If process output is not high-quality, automation cannot possibly be effective.</w:t>
      </w:r>
    </w:p>
    <w:p w14:paraId="48D6971B" w14:textId="0650D108" w:rsidR="00993C2D" w:rsidRDefault="00993C2D" w:rsidP="00993C2D">
      <w:pPr>
        <w:rPr>
          <w:sz w:val="24"/>
          <w:szCs w:val="24"/>
        </w:rPr>
      </w:pPr>
      <w:r>
        <w:rPr>
          <w:sz w:val="24"/>
          <w:szCs w:val="24"/>
        </w:rPr>
        <w:t>So, control of a process is necessary in order for the process to be effective.  How do you control a process?  You control a process using rules.  Manual processes are controlled by rules that are read by humans.  Automated processes are controlled by rules that are readable by both machines (i.e., to execute the process) and humans (i.e., to make sure the rules are right).</w:t>
      </w:r>
    </w:p>
    <w:p w14:paraId="2FA364CF" w14:textId="1048AE74" w:rsidR="00993C2D" w:rsidRDefault="00993C2D" w:rsidP="00993C2D">
      <w:pPr>
        <w:rPr>
          <w:sz w:val="24"/>
          <w:szCs w:val="24"/>
        </w:rPr>
      </w:pPr>
      <w:r>
        <w:rPr>
          <w:sz w:val="24"/>
          <w:szCs w:val="24"/>
        </w:rPr>
        <w:t xml:space="preserve">Who creates these machine-readable rules that are used to control processes that yield effective automation?  Accountants must create these rules because the rules tend to be accounting oriented.  Technical rules tend to relate to syntax and such technical rules can be hidden from business professionals.  What is left is the business logic and accounting rules that are used to control information and control process workflow.  As such, the creation of machine-readable rules must be “self-service”.  Business professionals must be empowered to create, adjust, maintain, and otherwise manage the rules that are used to control and therefor </w:t>
      </w:r>
      <w:r>
        <w:rPr>
          <w:sz w:val="24"/>
          <w:szCs w:val="24"/>
        </w:rPr>
        <w:lastRenderedPageBreak/>
        <w:t>effectively automate processes.  Once you have the machine-readable rules, you need software that can process the rules; this is sometimes called a rules engine or reasoning engine or a semantic reasoner.</w:t>
      </w:r>
    </w:p>
    <w:p w14:paraId="2A5F27E0" w14:textId="77777777" w:rsidR="00993C2D" w:rsidRDefault="00993C2D" w:rsidP="00993C2D">
      <w:pPr>
        <w:rPr>
          <w:sz w:val="24"/>
          <w:szCs w:val="24"/>
        </w:rPr>
      </w:pPr>
      <w:r>
        <w:rPr>
          <w:sz w:val="24"/>
          <w:szCs w:val="24"/>
        </w:rPr>
        <w:t xml:space="preserve">Fundamentally, say you created three facts and you put those three facts into a report: Assets of $1,000; Liabilities of $500; and Equity of $500.  How, exactly, do you KNOW that the values for those facts are correct?  Here we have three facts.  You can simply LOOK at the three facts and SEE that they are correct.  But, the Microsoft 10-K has </w:t>
      </w:r>
      <w:r>
        <w:rPr>
          <w:b/>
          <w:bCs/>
          <w:i/>
          <w:iCs/>
          <w:sz w:val="24"/>
          <w:szCs w:val="24"/>
        </w:rPr>
        <w:t>exactly</w:t>
      </w:r>
      <w:r>
        <w:rPr>
          <w:sz w:val="24"/>
          <w:szCs w:val="24"/>
        </w:rPr>
        <w:t xml:space="preserve"> 2,235 facts.  Those facts are organized into 128 Networks, 128 Hypercubes, and 194 of what I call information blocks.  How, exactly, do you know that there are no errors in those facts and information blocks?  That is a LOT of detail to get right.  Do you think that a human can get all these details right consistently?</w:t>
      </w:r>
    </w:p>
    <w:p w14:paraId="7ABC6003" w14:textId="4F59514F" w:rsidR="00993C2D" w:rsidRDefault="00993C2D" w:rsidP="00993C2D">
      <w:pPr>
        <w:rPr>
          <w:sz w:val="24"/>
          <w:szCs w:val="24"/>
        </w:rPr>
      </w:pPr>
      <w:r>
        <w:rPr>
          <w:sz w:val="24"/>
          <w:szCs w:val="24"/>
        </w:rPr>
        <w:br/>
        <w:t xml:space="preserve">Do you ever use a calculator to make sure the mathematics of a financial report are correct?  </w:t>
      </w:r>
      <w:proofErr w:type="gramStart"/>
      <w:r>
        <w:rPr>
          <w:sz w:val="24"/>
          <w:szCs w:val="24"/>
        </w:rPr>
        <w:t>Of course</w:t>
      </w:r>
      <w:proofErr w:type="gramEnd"/>
      <w:r>
        <w:rPr>
          <w:sz w:val="24"/>
          <w:szCs w:val="24"/>
        </w:rPr>
        <w:t xml:space="preserve"> you do.  A calculator augments your capabilities to do mathematics.  If you could use a computer to augment your capabilities to get other things correct; would you find those capabilities valuable?  I suspect that you would.  It is likewise true that others might find these capabilities useful.</w:t>
      </w:r>
    </w:p>
    <w:p w14:paraId="27BC5C96" w14:textId="77777777" w:rsidR="00993C2D" w:rsidRDefault="00993C2D" w:rsidP="00993C2D">
      <w:pPr>
        <w:rPr>
          <w:sz w:val="24"/>
          <w:szCs w:val="24"/>
        </w:rPr>
      </w:pPr>
      <w:r>
        <w:rPr>
          <w:sz w:val="24"/>
          <w:szCs w:val="24"/>
        </w:rPr>
        <w:t>What is currently going on is summarized in the graphic and explanation below.  #1 basically says that if you provide facts and no context; you cannot really understand a report.  That is why an XBRL based report has both a REPORT MODEL (the taxonomy) and the REPORT (the instance).  #2 points out that you can have the REPORT MODEL and the REPORT itself; but if you have no RULES, you don’t know if the report is properly functioning; the system is incomplete, it is missing the RULES. #3 is what the SEC and ESMA are doing today; if you provide the REPORT MODEL plus the REPORT plus SOME RULES; then you can prove that SOME of the report is correct.  #4 brings all this together by stating the obvious really; you need the REPORT MODEL plus the REPORT plus ALL OF THE RULES to prove that the system is operating effectively; that there are no contradictions, no inconsistencies, that the system is COMPLETE.</w:t>
      </w:r>
    </w:p>
    <w:p w14:paraId="0038A5F6" w14:textId="77777777" w:rsidR="00993C2D" w:rsidRDefault="00993C2D" w:rsidP="00993C2D">
      <w:pPr>
        <w:rPr>
          <w:sz w:val="24"/>
          <w:szCs w:val="24"/>
        </w:rPr>
      </w:pPr>
    </w:p>
    <w:p w14:paraId="18437C14" w14:textId="39D7641C" w:rsidR="00993C2D" w:rsidRDefault="00993C2D" w:rsidP="00993C2D">
      <w:pPr>
        <w:rPr>
          <w:sz w:val="24"/>
          <w:szCs w:val="24"/>
        </w:rPr>
      </w:pPr>
      <w:r>
        <w:rPr>
          <w:noProof/>
          <w:sz w:val="24"/>
          <w:szCs w:val="24"/>
        </w:rPr>
        <w:lastRenderedPageBreak/>
        <w:drawing>
          <wp:inline distT="0" distB="0" distL="0" distR="0" wp14:anchorId="5D1EAB45" wp14:editId="126B4F8C">
            <wp:extent cx="5943600" cy="33693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5943600" cy="3369310"/>
                    </a:xfrm>
                    <a:prstGeom prst="rect">
                      <a:avLst/>
                    </a:prstGeom>
                    <a:noFill/>
                    <a:ln>
                      <a:noFill/>
                    </a:ln>
                  </pic:spPr>
                </pic:pic>
              </a:graphicData>
            </a:graphic>
          </wp:inline>
        </w:drawing>
      </w:r>
    </w:p>
    <w:p w14:paraId="26AC2C42" w14:textId="77777777" w:rsidR="00993C2D" w:rsidRDefault="00993C2D" w:rsidP="00993C2D">
      <w:pPr>
        <w:rPr>
          <w:sz w:val="24"/>
          <w:szCs w:val="24"/>
        </w:rPr>
      </w:pPr>
      <w:r>
        <w:rPr>
          <w:sz w:val="24"/>
          <w:szCs w:val="24"/>
        </w:rPr>
        <w:t xml:space="preserve">The longer answer to this is in the book </w:t>
      </w:r>
      <w:r>
        <w:rPr>
          <w:b/>
          <w:bCs/>
          <w:i/>
          <w:iCs/>
          <w:sz w:val="24"/>
          <w:szCs w:val="24"/>
        </w:rPr>
        <w:t>The Knowledge Graph Cookbook: Recipes That Work</w:t>
      </w:r>
      <w:r>
        <w:rPr>
          <w:sz w:val="24"/>
          <w:szCs w:val="24"/>
        </w:rPr>
        <w:t>:</w:t>
      </w:r>
    </w:p>
    <w:p w14:paraId="1A8FD901" w14:textId="77777777" w:rsidR="00993C2D" w:rsidRDefault="005B1CD1" w:rsidP="00993C2D">
      <w:pPr>
        <w:rPr>
          <w:sz w:val="24"/>
          <w:szCs w:val="24"/>
        </w:rPr>
      </w:pPr>
      <w:hyperlink r:id="rId30" w:history="1">
        <w:r w:rsidR="00993C2D">
          <w:rPr>
            <w:rStyle w:val="Hyperlink"/>
            <w:sz w:val="24"/>
            <w:szCs w:val="24"/>
          </w:rPr>
          <w:t>https://www.poolparty.biz/wp-content/uploads/2020/04/the-knowledge-graph-cookbook.pdf</w:t>
        </w:r>
      </w:hyperlink>
    </w:p>
    <w:p w14:paraId="4EFD1FB4" w14:textId="77777777" w:rsidR="00993C2D" w:rsidRDefault="00993C2D" w:rsidP="00993C2D">
      <w:pPr>
        <w:rPr>
          <w:sz w:val="24"/>
          <w:szCs w:val="24"/>
        </w:rPr>
      </w:pPr>
      <w:r>
        <w:rPr>
          <w:sz w:val="24"/>
          <w:szCs w:val="24"/>
        </w:rPr>
        <w:t>You can see all this APPLIED here with this Microsoft 10-K where I have added many, many machine-readable rules and I feel that I am at about 94% of what is required to PROVE that the 10-K is properly functioning.</w:t>
      </w:r>
    </w:p>
    <w:p w14:paraId="697F5015" w14:textId="77777777" w:rsidR="00993C2D" w:rsidRDefault="005B1CD1" w:rsidP="00993C2D">
      <w:pPr>
        <w:rPr>
          <w:sz w:val="24"/>
          <w:szCs w:val="24"/>
        </w:rPr>
      </w:pPr>
      <w:hyperlink r:id="rId31" w:history="1">
        <w:r w:rsidR="00993C2D">
          <w:rPr>
            <w:rStyle w:val="Hyperlink"/>
            <w:sz w:val="24"/>
            <w:szCs w:val="24"/>
          </w:rPr>
          <w:t>http://xbrl.squarespace.com/journal/2021/7/12/knowledge-graph-of-microsoft-10-k-financial-report.html</w:t>
        </w:r>
      </w:hyperlink>
      <w:r w:rsidR="00993C2D">
        <w:rPr>
          <w:sz w:val="24"/>
          <w:szCs w:val="24"/>
        </w:rPr>
        <w:t xml:space="preserve"> </w:t>
      </w:r>
    </w:p>
    <w:p w14:paraId="57CA86D8" w14:textId="3091343E" w:rsidR="00993C2D" w:rsidRDefault="00993C2D" w:rsidP="00993C2D">
      <w:proofErr w:type="gramStart"/>
      <w:r>
        <w:t>So</w:t>
      </w:r>
      <w:proofErr w:type="gramEnd"/>
      <w:r>
        <w:t xml:space="preserve"> tell me how I am doing.  Your questions are valid and there are answers to those questions.  I am not 100% certain how all this NFT stuff will work, but that is why I am endeavoring to do this; to figure out exactly HOW all this works.  Effectively, what we are doing is providing a means for other accountants to TRUST our rules.  This is pretty basic stuff.  “Assets = Liabilities + Equity”.  Would you dispute that?  We are simply codifying, in machine readable XBRL, fundamental accounting rules that the FASB and IFRS Foundation codified in books (that are not readable by machines).  We are comparing OUR RULES to 6,000 public company financial reports prepared using US GAAP and 400 provided using IFRS.  We look for patterns and then document those patterns in the form or RULES.</w:t>
      </w:r>
    </w:p>
    <w:p w14:paraId="4D8E019E" w14:textId="5BE0F518" w:rsidR="00993C2D" w:rsidRDefault="00993C2D" w:rsidP="00993C2D"/>
    <w:p w14:paraId="51CA094B" w14:textId="77777777" w:rsidR="00E51DBF" w:rsidRDefault="00E51DBF">
      <w:pPr>
        <w:rPr>
          <w:b/>
          <w:bCs/>
          <w:sz w:val="36"/>
          <w:szCs w:val="36"/>
        </w:rPr>
      </w:pPr>
      <w:r>
        <w:rPr>
          <w:b/>
          <w:bCs/>
          <w:sz w:val="36"/>
          <w:szCs w:val="36"/>
        </w:rPr>
        <w:br w:type="page"/>
      </w:r>
    </w:p>
    <w:p w14:paraId="22AC3706" w14:textId="59F2C706" w:rsidR="00993C2D" w:rsidRPr="00993C2D" w:rsidRDefault="00993C2D">
      <w:pPr>
        <w:rPr>
          <w:b/>
          <w:bCs/>
          <w:sz w:val="36"/>
          <w:szCs w:val="36"/>
        </w:rPr>
      </w:pPr>
      <w:r w:rsidRPr="00993C2D">
        <w:rPr>
          <w:b/>
          <w:bCs/>
          <w:sz w:val="36"/>
          <w:szCs w:val="36"/>
        </w:rPr>
        <w:lastRenderedPageBreak/>
        <w:t>Tom McKinney’s Question:</w:t>
      </w:r>
    </w:p>
    <w:p w14:paraId="2BC19654" w14:textId="1CB06B56" w:rsidR="00993C2D" w:rsidRDefault="00993C2D" w:rsidP="00993C2D">
      <w:r>
        <w:t>It was brought to my attention that if you do a query of AUDT in Coinbase, you get a pointer to the AUDT coin, which is the Australian Dollar:</w:t>
      </w:r>
    </w:p>
    <w:p w14:paraId="24D131BB" w14:textId="5B5A5895" w:rsidR="00993C2D" w:rsidRDefault="005B1CD1" w:rsidP="00993C2D">
      <w:hyperlink r:id="rId32" w:history="1">
        <w:r w:rsidR="00993C2D">
          <w:rPr>
            <w:rStyle w:val="Hyperlink"/>
          </w:rPr>
          <w:t>https://www.coinbase.com/price?query=AUDT</w:t>
        </w:r>
      </w:hyperlink>
      <w:r w:rsidR="00993C2D">
        <w:t xml:space="preserve"> </w:t>
      </w:r>
    </w:p>
    <w:p w14:paraId="086D8DE8" w14:textId="050BEA14" w:rsidR="00993C2D" w:rsidRDefault="00993C2D" w:rsidP="00993C2D">
      <w:r>
        <w:rPr>
          <w:noProof/>
        </w:rPr>
        <w:drawing>
          <wp:inline distT="0" distB="0" distL="0" distR="0" wp14:anchorId="795F5F90" wp14:editId="65F86372">
            <wp:extent cx="5943600" cy="1108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5943600" cy="1108075"/>
                    </a:xfrm>
                    <a:prstGeom prst="rect">
                      <a:avLst/>
                    </a:prstGeom>
                    <a:noFill/>
                    <a:ln>
                      <a:noFill/>
                    </a:ln>
                  </pic:spPr>
                </pic:pic>
              </a:graphicData>
            </a:graphic>
          </wp:inline>
        </w:drawing>
      </w:r>
    </w:p>
    <w:p w14:paraId="38E6F762" w14:textId="77777777" w:rsidR="00993C2D" w:rsidRDefault="00993C2D" w:rsidP="00993C2D">
      <w:r>
        <w:t>What exactly are the ramifications of trying to get the Auditchain AUDT coin onto a market like Coinbase?  At a minimum this seems potentially very confusing.</w:t>
      </w:r>
    </w:p>
    <w:p w14:paraId="034A4A32" w14:textId="3740BBFE" w:rsidR="00993C2D" w:rsidRDefault="00993C2D" w:rsidP="00993C2D">
      <w:r>
        <w:t>What’s the deal?</w:t>
      </w:r>
    </w:p>
    <w:p w14:paraId="4978C961" w14:textId="4C7E15EF" w:rsidR="00560BC0" w:rsidRDefault="00560BC0" w:rsidP="00993C2D">
      <w:r>
        <w:t>ANSWER:</w:t>
      </w:r>
    </w:p>
    <w:p w14:paraId="0D3E0FF8" w14:textId="03C093BF" w:rsidR="00560BC0" w:rsidRDefault="00560BC0" w:rsidP="00560BC0">
      <w:r>
        <w:t>Hi Charlie,</w:t>
      </w:r>
      <w:r>
        <w:br/>
      </w:r>
      <w:r>
        <w:br/>
        <w:t>There is no system which allows for ticker/symbol reservations for tokens contracts. </w:t>
      </w:r>
      <w:r>
        <w:br/>
        <w:t>The token which prevails will be more recognizable. </w:t>
      </w:r>
      <w:r>
        <w:br/>
        <w:t>Tokens are differentiated by addresses. </w:t>
      </w:r>
      <w:r>
        <w:br/>
      </w:r>
      <w:proofErr w:type="gramStart"/>
      <w:r>
        <w:t>Also</w:t>
      </w:r>
      <w:proofErr w:type="gramEnd"/>
      <w:r>
        <w:t xml:space="preserve"> the token has a description field which will make it more clear which is which.</w:t>
      </w:r>
      <w:r>
        <w:br/>
        <w:t>In the case of the above it is the Australian Dollar Token. </w:t>
      </w:r>
    </w:p>
    <w:p w14:paraId="4956B42B" w14:textId="0DF0AF3A" w:rsidR="00560BC0" w:rsidRDefault="00560BC0" w:rsidP="00560BC0">
      <w:r>
        <w:t>We have been in the Lukka data reference library as AUDT for over 2 years. THAT is what matters. There are many tokens that have different symbols on different exchanges. The Lukka data reference library is what normalizes this condition. At some point, exchanges will recognize this and only those symbols in the reference library that belongs to the project will get to keep their symbol on the exchange.</w:t>
      </w:r>
    </w:p>
    <w:p w14:paraId="350B9314" w14:textId="657EF752" w:rsidR="00560BC0" w:rsidRDefault="00560BC0" w:rsidP="00560BC0">
      <w:r>
        <w:t xml:space="preserve">That Australian stable coin is controlled by one person and that same person owns </w:t>
      </w:r>
      <w:proofErr w:type="spellStart"/>
      <w:r>
        <w:t>TimeX</w:t>
      </w:r>
      <w:proofErr w:type="spellEnd"/>
      <w:r>
        <w:t>, the one and only exchange it trades on. The volume is not real. He plays ping pong all day long with the token to make it look like there’s volume. I understand he’s Russian, not even Australian.</w:t>
      </w:r>
    </w:p>
    <w:p w14:paraId="28CB7BCD" w14:textId="03AF833A" w:rsidR="00560BC0" w:rsidRDefault="005B1CD1" w:rsidP="00560BC0">
      <w:hyperlink r:id="rId35" w:history="1">
        <w:r w:rsidR="00560BC0">
          <w:rPr>
            <w:rStyle w:val="Hyperlink"/>
          </w:rPr>
          <w:t>https://coinmarketcap.com/currencies/australian-dollar-token/markets/</w:t>
        </w:r>
      </w:hyperlink>
      <w:r w:rsidR="00560BC0">
        <w:t xml:space="preserve"> </w:t>
      </w:r>
    </w:p>
    <w:p w14:paraId="19F7D743" w14:textId="0A272DFD" w:rsidR="00993C2D" w:rsidRDefault="00560BC0">
      <w:pPr>
        <w:rPr>
          <w:b/>
          <w:bCs/>
          <w:sz w:val="36"/>
          <w:szCs w:val="36"/>
        </w:rPr>
      </w:pPr>
      <w:r>
        <w:rPr>
          <w:noProof/>
        </w:rPr>
        <w:drawing>
          <wp:inline distT="0" distB="0" distL="0" distR="0" wp14:anchorId="24AFF45B" wp14:editId="5F38981D">
            <wp:extent cx="3755763" cy="1381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3775044" cy="1388215"/>
                    </a:xfrm>
                    <a:prstGeom prst="rect">
                      <a:avLst/>
                    </a:prstGeom>
                    <a:noFill/>
                    <a:ln>
                      <a:noFill/>
                    </a:ln>
                  </pic:spPr>
                </pic:pic>
              </a:graphicData>
            </a:graphic>
          </wp:inline>
        </w:drawing>
      </w:r>
      <w:r w:rsidR="00993C2D">
        <w:rPr>
          <w:b/>
          <w:bCs/>
          <w:sz w:val="36"/>
          <w:szCs w:val="36"/>
        </w:rPr>
        <w:br w:type="page"/>
      </w:r>
    </w:p>
    <w:p w14:paraId="1C1C00CE" w14:textId="7A78E5B9" w:rsidR="003C4965" w:rsidRPr="003C4965" w:rsidRDefault="003C4965">
      <w:pPr>
        <w:rPr>
          <w:rFonts w:eastAsia="Times New Roman"/>
        </w:rPr>
      </w:pPr>
      <w:r w:rsidRPr="003C4965">
        <w:rPr>
          <w:rFonts w:eastAsia="Times New Roman"/>
        </w:rPr>
        <w:lastRenderedPageBreak/>
        <w:t xml:space="preserve">Perhaps, and perhaps not. Lukka is a data aggregator, whereas the exchanges are, well exchanges. Similar to stock exchanges, they make the rules about what and how things happen on their platform, and they are not likely to take orders from the Yahoo Finance of the crypto world about the trading symbols listed on their exchange. Additionally, in the non-crypto world there is a concept of “first to market” whereby the first commercial user of intellectual property, such as a product/service mark like AUDT, has the exclusive and enforceable right to use that IP, whether or not it is legally/officially trademarked (or listed in some data reference library by a startup data aggregator). There may be no existing case or statutory law to reference here since the situation is pretty unique, but hey, that’s what IP infringement lawsuits are for (or visits from Bratva goons). I guess time will tell, but to me it just doesn’t make good business sense to set yourself up for potential conflict right out of the box over something relatively inconsequential such as a trading symbol (that’s already in use). Instead of cool kid abbreviations like AUDT, why not just use ‘AUDITCHAIN?” it would serve a dual purpose as the trading symbol for the audit tokens and as free marketing/publicity for the </w:t>
      </w:r>
      <w:proofErr w:type="spellStart"/>
      <w:r w:rsidRPr="003C4965">
        <w:rPr>
          <w:rFonts w:eastAsia="Times New Roman"/>
        </w:rPr>
        <w:t>AuditChain</w:t>
      </w:r>
      <w:proofErr w:type="spellEnd"/>
      <w:r w:rsidRPr="003C4965">
        <w:rPr>
          <w:rFonts w:eastAsia="Times New Roman"/>
        </w:rPr>
        <w:t xml:space="preserve"> brand/company.</w:t>
      </w:r>
    </w:p>
    <w:p w14:paraId="12FCDFEC" w14:textId="77777777" w:rsidR="003C4965" w:rsidRDefault="003C4965">
      <w:pPr>
        <w:rPr>
          <w:b/>
          <w:bCs/>
          <w:sz w:val="36"/>
          <w:szCs w:val="36"/>
        </w:rPr>
      </w:pPr>
    </w:p>
    <w:p w14:paraId="39CB8494" w14:textId="1C5C3F5F" w:rsidR="00993C2D" w:rsidRPr="00993C2D" w:rsidRDefault="00993C2D">
      <w:pPr>
        <w:rPr>
          <w:b/>
          <w:bCs/>
          <w:sz w:val="36"/>
          <w:szCs w:val="36"/>
        </w:rPr>
      </w:pPr>
      <w:r w:rsidRPr="00993C2D">
        <w:rPr>
          <w:b/>
          <w:bCs/>
          <w:sz w:val="36"/>
          <w:szCs w:val="36"/>
        </w:rPr>
        <w:t>Dudley Gould’s Questions:</w:t>
      </w:r>
    </w:p>
    <w:p w14:paraId="02FC70DA" w14:textId="1C318CA1" w:rsidR="00993C2D" w:rsidRDefault="00993C2D" w:rsidP="00993C2D">
      <w:pPr>
        <w:rPr>
          <w:rFonts w:eastAsia="Times New Roman"/>
        </w:rPr>
      </w:pPr>
      <w:r>
        <w:rPr>
          <w:rFonts w:eastAsia="Times New Roman"/>
        </w:rPr>
        <w:t>I’m also very interested and keen to get involved but not clear on some things.</w:t>
      </w:r>
    </w:p>
    <w:p w14:paraId="7C405C40" w14:textId="33ECAB78" w:rsidR="00993C2D" w:rsidRDefault="00993C2D" w:rsidP="00993C2D">
      <w:pPr>
        <w:rPr>
          <w:rFonts w:eastAsia="Times New Roman"/>
        </w:rPr>
      </w:pPr>
      <w:r>
        <w:rPr>
          <w:rFonts w:eastAsia="Times New Roman"/>
        </w:rPr>
        <w:t>From what I can tell:</w:t>
      </w:r>
    </w:p>
    <w:p w14:paraId="4C200ED7" w14:textId="77777777" w:rsidR="00993C2D" w:rsidRDefault="00993C2D" w:rsidP="00993C2D">
      <w:pPr>
        <w:rPr>
          <w:rFonts w:eastAsia="Times New Roman"/>
        </w:rPr>
      </w:pPr>
      <w:r>
        <w:rPr>
          <w:rFonts w:eastAsia="Times New Roman"/>
        </w:rPr>
        <w:t>- Phase 1 of the private sale lists 1 AUDT = $0.10 so you are asking Jason for $10,000 per person in AUDT.</w:t>
      </w:r>
    </w:p>
    <w:p w14:paraId="04E6373C" w14:textId="77777777" w:rsidR="00993C2D" w:rsidRDefault="00993C2D" w:rsidP="00993C2D">
      <w:pPr>
        <w:rPr>
          <w:rFonts w:eastAsia="Times New Roman"/>
        </w:rPr>
      </w:pPr>
      <w:r>
        <w:rPr>
          <w:rFonts w:eastAsia="Times New Roman"/>
        </w:rPr>
        <w:t>- We can use these tokens to run what was Pacioli on a set of accounts. (In future this may move down the chain to bookkeeping data).</w:t>
      </w:r>
    </w:p>
    <w:p w14:paraId="0EE1A635" w14:textId="77777777" w:rsidR="00993C2D" w:rsidRDefault="00993C2D" w:rsidP="00993C2D">
      <w:pPr>
        <w:rPr>
          <w:rFonts w:eastAsia="Times New Roman"/>
        </w:rPr>
      </w:pPr>
      <w:r>
        <w:rPr>
          <w:rFonts w:eastAsia="Times New Roman"/>
        </w:rPr>
        <w:t xml:space="preserve">- Charlie is the curator of the rules/NFTs produced so far, others in this group would be the Validators of the NFT. Both get paid out in royalties in AUDT when the NFT is triggered. (Are taxonomy elements also NFTs? Or is it only rules including Consistency Rules, Derivation Rules, Mappings </w:t>
      </w:r>
      <w:proofErr w:type="spellStart"/>
      <w:r>
        <w:rPr>
          <w:rFonts w:eastAsia="Times New Roman"/>
        </w:rPr>
        <w:t>etc</w:t>
      </w:r>
      <w:proofErr w:type="spellEnd"/>
      <w:r>
        <w:rPr>
          <w:rFonts w:eastAsia="Times New Roman"/>
        </w:rPr>
        <w:t>?</w:t>
      </w:r>
    </w:p>
    <w:p w14:paraId="2326FCB1" w14:textId="77777777" w:rsidR="00993C2D" w:rsidRDefault="00993C2D" w:rsidP="00993C2D">
      <w:pPr>
        <w:rPr>
          <w:rFonts w:eastAsia="Times New Roman"/>
        </w:rPr>
      </w:pPr>
      <w:r>
        <w:rPr>
          <w:rFonts w:eastAsia="Times New Roman"/>
        </w:rPr>
        <w:t>Questions:</w:t>
      </w:r>
    </w:p>
    <w:p w14:paraId="35BE0FF6" w14:textId="77777777" w:rsidR="00993C2D" w:rsidRDefault="00993C2D" w:rsidP="00993C2D">
      <w:pPr>
        <w:rPr>
          <w:rFonts w:eastAsia="Times New Roman"/>
        </w:rPr>
      </w:pPr>
      <w:r>
        <w:rPr>
          <w:rFonts w:eastAsia="Times New Roman"/>
        </w:rPr>
        <w:t>- How do I create an NFT. If I create an NFT, how much AUDT do I receive in return? What about a validator?</w:t>
      </w:r>
    </w:p>
    <w:p w14:paraId="577726AF" w14:textId="77777777" w:rsidR="00993C2D" w:rsidRDefault="00993C2D" w:rsidP="00993C2D">
      <w:pPr>
        <w:rPr>
          <w:rFonts w:eastAsia="Times New Roman"/>
        </w:rPr>
      </w:pPr>
      <w:r>
        <w:rPr>
          <w:rFonts w:eastAsia="Times New Roman"/>
        </w:rPr>
        <w:t>- What exactly is the 1m AUDT for? Existing rules you have created or new ones? If new, how many would we be expected to create?</w:t>
      </w:r>
    </w:p>
    <w:p w14:paraId="1113EB02" w14:textId="77777777" w:rsidR="00993C2D" w:rsidRDefault="00993C2D" w:rsidP="00993C2D">
      <w:pPr>
        <w:rPr>
          <w:rFonts w:eastAsia="Times New Roman"/>
        </w:rPr>
      </w:pPr>
      <w:r>
        <w:rPr>
          <w:rFonts w:eastAsia="Times New Roman"/>
        </w:rPr>
        <w:t>- How does this affect the current supply of AUDT? On the website the total supply is 250m AUDT. I’m also still trying to get my head around staking… Is it related?</w:t>
      </w:r>
    </w:p>
    <w:p w14:paraId="442B60A0" w14:textId="106EE1E7" w:rsidR="00993C2D" w:rsidRDefault="00993C2D" w:rsidP="00993C2D">
      <w:pPr>
        <w:rPr>
          <w:rFonts w:eastAsia="Times New Roman"/>
        </w:rPr>
      </w:pPr>
    </w:p>
    <w:p w14:paraId="08DD21F4" w14:textId="266C489C" w:rsidR="008802B8" w:rsidRDefault="008802B8" w:rsidP="00993C2D">
      <w:pPr>
        <w:rPr>
          <w:rFonts w:eastAsia="Times New Roman"/>
        </w:rPr>
      </w:pPr>
    </w:p>
    <w:p w14:paraId="232A60A4" w14:textId="2BCA307F" w:rsidR="008802B8" w:rsidRDefault="008802B8" w:rsidP="00993C2D">
      <w:pPr>
        <w:rPr>
          <w:rFonts w:eastAsia="Times New Roman"/>
        </w:rPr>
      </w:pPr>
    </w:p>
    <w:p w14:paraId="06B34577" w14:textId="77777777" w:rsidR="008802B8" w:rsidRDefault="008802B8" w:rsidP="00993C2D">
      <w:pPr>
        <w:rPr>
          <w:rFonts w:eastAsia="Times New Roman"/>
        </w:rPr>
      </w:pPr>
    </w:p>
    <w:p w14:paraId="3E66E0F4" w14:textId="7067EDF3" w:rsidR="00993C2D" w:rsidRPr="008802B8" w:rsidRDefault="008802B8">
      <w:pPr>
        <w:rPr>
          <w:b/>
          <w:bCs/>
          <w:sz w:val="36"/>
          <w:szCs w:val="36"/>
        </w:rPr>
      </w:pPr>
      <w:r w:rsidRPr="008802B8">
        <w:rPr>
          <w:b/>
          <w:bCs/>
          <w:sz w:val="36"/>
          <w:szCs w:val="36"/>
        </w:rPr>
        <w:lastRenderedPageBreak/>
        <w:t>Charles Hoffman Questions</w:t>
      </w:r>
    </w:p>
    <w:p w14:paraId="66FEC607" w14:textId="086EB458" w:rsidR="008802B8" w:rsidRDefault="008802B8" w:rsidP="008802B8">
      <w:pPr>
        <w:pStyle w:val="ListParagraph"/>
        <w:numPr>
          <w:ilvl w:val="0"/>
          <w:numId w:val="4"/>
        </w:numPr>
        <w:rPr>
          <w:rFonts w:asciiTheme="minorHAnsi" w:hAnsiTheme="minorHAnsi" w:cstheme="minorBidi"/>
        </w:rPr>
      </w:pPr>
      <w:r>
        <w:rPr>
          <w:rFonts w:asciiTheme="minorHAnsi" w:hAnsiTheme="minorHAnsi" w:cstheme="minorBidi"/>
        </w:rPr>
        <w:t>When will AUDT be listed on Coinbase</w:t>
      </w:r>
      <w:r w:rsidR="0035205F">
        <w:rPr>
          <w:rFonts w:asciiTheme="minorHAnsi" w:hAnsiTheme="minorHAnsi" w:cstheme="minorBidi"/>
        </w:rPr>
        <w:t xml:space="preserve"> or some other exchange</w:t>
      </w:r>
      <w:r>
        <w:rPr>
          <w:rFonts w:asciiTheme="minorHAnsi" w:hAnsiTheme="minorHAnsi" w:cstheme="minorBidi"/>
        </w:rPr>
        <w:t>?</w:t>
      </w:r>
    </w:p>
    <w:p w14:paraId="33E65778" w14:textId="3C93E2C1" w:rsidR="008802B8" w:rsidRPr="008802B8" w:rsidRDefault="008802B8" w:rsidP="008802B8">
      <w:pPr>
        <w:pStyle w:val="ListParagraph"/>
        <w:numPr>
          <w:ilvl w:val="0"/>
          <w:numId w:val="4"/>
        </w:numPr>
        <w:rPr>
          <w:rFonts w:asciiTheme="minorHAnsi" w:hAnsiTheme="minorHAnsi" w:cstheme="minorBidi"/>
        </w:rPr>
      </w:pPr>
      <w:r>
        <w:rPr>
          <w:rFonts w:asciiTheme="minorHAnsi" w:hAnsiTheme="minorHAnsi" w:cstheme="minorBidi"/>
        </w:rPr>
        <w:t>When will you be able to exchange AUDT for a marketable cryptocurrency like BITCOIN?</w:t>
      </w:r>
    </w:p>
    <w:p w14:paraId="4E0B093C" w14:textId="77777777" w:rsidR="008802B8" w:rsidRDefault="008802B8"/>
    <w:sectPr w:rsidR="008802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BBD4" w14:textId="77777777" w:rsidR="005B1CD1" w:rsidRDefault="005B1CD1" w:rsidP="009A4490">
      <w:pPr>
        <w:spacing w:after="0" w:line="240" w:lineRule="auto"/>
      </w:pPr>
      <w:r>
        <w:separator/>
      </w:r>
    </w:p>
  </w:endnote>
  <w:endnote w:type="continuationSeparator" w:id="0">
    <w:p w14:paraId="00B4322A" w14:textId="77777777" w:rsidR="005B1CD1" w:rsidRDefault="005B1CD1" w:rsidP="009A4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FD387" w14:textId="77777777" w:rsidR="005B1CD1" w:rsidRDefault="005B1CD1" w:rsidP="009A4490">
      <w:pPr>
        <w:spacing w:after="0" w:line="240" w:lineRule="auto"/>
      </w:pPr>
      <w:r>
        <w:separator/>
      </w:r>
    </w:p>
  </w:footnote>
  <w:footnote w:type="continuationSeparator" w:id="0">
    <w:p w14:paraId="46DA5A52" w14:textId="77777777" w:rsidR="005B1CD1" w:rsidRDefault="005B1CD1" w:rsidP="009A4490">
      <w:pPr>
        <w:spacing w:after="0" w:line="240" w:lineRule="auto"/>
      </w:pPr>
      <w:r>
        <w:continuationSeparator/>
      </w:r>
    </w:p>
  </w:footnote>
  <w:footnote w:id="1">
    <w:p w14:paraId="0ACDB6F6" w14:textId="4997C420" w:rsidR="009A4490" w:rsidRDefault="009A4490">
      <w:pPr>
        <w:pStyle w:val="FootnoteText"/>
      </w:pPr>
      <w:r>
        <w:rPr>
          <w:rStyle w:val="FootnoteReference"/>
        </w:rPr>
        <w:footnoteRef/>
      </w:r>
      <w:r>
        <w:t xml:space="preserve"> </w:t>
      </w:r>
      <w:proofErr w:type="spellStart"/>
      <w:r>
        <w:t>Coinspeaker</w:t>
      </w:r>
      <w:proofErr w:type="spellEnd"/>
      <w:r>
        <w:t xml:space="preserve">, </w:t>
      </w:r>
      <w:r w:rsidRPr="009A4490">
        <w:rPr>
          <w:i/>
          <w:iCs/>
        </w:rPr>
        <w:t>Auditchain to Use NFTs for Accounting and Disclosure Controls</w:t>
      </w:r>
      <w:r>
        <w:t xml:space="preserve">, </w:t>
      </w:r>
      <w:hyperlink r:id="rId1" w:history="1">
        <w:r w:rsidRPr="009F4F4A">
          <w:rPr>
            <w:rStyle w:val="Hyperlink"/>
          </w:rPr>
          <w:t>https://www.coinspeaker.com/auditchain-to-use-nfts-for-accounting-and-disclosure-controls/</w:t>
        </w:r>
      </w:hyperlink>
      <w:r>
        <w:t xml:space="preserve"> </w:t>
      </w:r>
    </w:p>
  </w:footnote>
  <w:footnote w:id="2">
    <w:p w14:paraId="561078F2" w14:textId="195839A8" w:rsidR="009A4490" w:rsidRDefault="009A4490">
      <w:pPr>
        <w:pStyle w:val="FootnoteText"/>
      </w:pPr>
      <w:r>
        <w:rPr>
          <w:rStyle w:val="FootnoteReference"/>
        </w:rPr>
        <w:footnoteRef/>
      </w:r>
      <w:r>
        <w:t xml:space="preserve"> Charles Hoffman, </w:t>
      </w:r>
      <w:r w:rsidRPr="009A4490">
        <w:rPr>
          <w:i/>
          <w:iCs/>
        </w:rPr>
        <w:t>Quarterly XBRL-based Public Company Financial Report Quality Measurement (March 2019)</w:t>
      </w:r>
      <w:r>
        <w:t xml:space="preserve">, </w:t>
      </w:r>
      <w:hyperlink r:id="rId2" w:history="1">
        <w:r w:rsidRPr="009F4F4A">
          <w:rPr>
            <w:rStyle w:val="Hyperlink"/>
          </w:rPr>
          <w:t>http://xbrl.squarespace.com/journal/2019/3/29/quarterly-xbrl-based-public-company-financial-report-quality.html</w:t>
        </w:r>
      </w:hyperlink>
      <w:r>
        <w:t xml:space="preserve"> </w:t>
      </w:r>
    </w:p>
  </w:footnote>
  <w:footnote w:id="3">
    <w:p w14:paraId="05D7D500" w14:textId="4D9F3C1D" w:rsidR="00842EB6" w:rsidRDefault="00842EB6">
      <w:pPr>
        <w:pStyle w:val="FootnoteText"/>
      </w:pPr>
      <w:r>
        <w:rPr>
          <w:rStyle w:val="FootnoteReference"/>
        </w:rPr>
        <w:footnoteRef/>
      </w:r>
      <w:r>
        <w:t xml:space="preserve"> </w:t>
      </w:r>
      <w:r w:rsidR="00B92C01">
        <w:t xml:space="preserve">Pacioli Power User Tool, </w:t>
      </w:r>
      <w:hyperlink r:id="rId3" w:history="1">
        <w:r w:rsidR="00B92C01" w:rsidRPr="009F4F4A">
          <w:rPr>
            <w:rStyle w:val="Hyperlink"/>
          </w:rPr>
          <w:t>https://pacioli.auditchain.finance/tools/PowerUserTool.swinb</w:t>
        </w:r>
      </w:hyperlink>
      <w:r w:rsidR="00B92C01">
        <w:t xml:space="preserve"> </w:t>
      </w:r>
    </w:p>
  </w:footnote>
  <w:footnote w:id="4">
    <w:p w14:paraId="581B2826" w14:textId="20681B8F" w:rsidR="00B92C01" w:rsidRDefault="00B92C01">
      <w:pPr>
        <w:pStyle w:val="FootnoteText"/>
      </w:pPr>
      <w:r>
        <w:rPr>
          <w:rStyle w:val="FootnoteReference"/>
        </w:rPr>
        <w:footnoteRef/>
      </w:r>
      <w:r>
        <w:t xml:space="preserve"> Fundamental Accounting Concepts, </w:t>
      </w:r>
      <w:hyperlink r:id="rId4" w:history="1">
        <w:r w:rsidRPr="009F4F4A">
          <w:rPr>
            <w:rStyle w:val="Hyperlink"/>
          </w:rPr>
          <w:t>http://accounting.auditchain.finance/fac/Index.html</w:t>
        </w:r>
      </w:hyperlink>
      <w:r>
        <w:t xml:space="preserve"> </w:t>
      </w:r>
    </w:p>
  </w:footnote>
  <w:footnote w:id="5">
    <w:p w14:paraId="47DC2924" w14:textId="3F3BE388" w:rsidR="00B92C01" w:rsidRDefault="00B92C01">
      <w:pPr>
        <w:pStyle w:val="FootnoteText"/>
      </w:pPr>
      <w:r>
        <w:rPr>
          <w:rStyle w:val="FootnoteReference"/>
        </w:rPr>
        <w:footnoteRef/>
      </w:r>
      <w:r>
        <w:t xml:space="preserve"> Theory, Framework, Method, Principles, </w:t>
      </w:r>
      <w:hyperlink r:id="rId5" w:history="1">
        <w:r w:rsidRPr="009F4F4A">
          <w:rPr>
            <w:rStyle w:val="Hyperlink"/>
          </w:rPr>
          <w:t>http://accounting.auditchain.finance/index.html</w:t>
        </w:r>
      </w:hyperlink>
      <w:r>
        <w:t xml:space="preserve"> </w:t>
      </w:r>
    </w:p>
  </w:footnote>
  <w:footnote w:id="6">
    <w:p w14:paraId="299103BA" w14:textId="23B47FD4" w:rsidR="00E51DBF" w:rsidRDefault="00E51DBF">
      <w:pPr>
        <w:pStyle w:val="FootnoteText"/>
      </w:pPr>
      <w:r>
        <w:rPr>
          <w:rStyle w:val="FootnoteReference"/>
        </w:rPr>
        <w:footnoteRef/>
      </w:r>
      <w:r>
        <w:t xml:space="preserve"> Auditchain, Private sale, </w:t>
      </w:r>
      <w:hyperlink r:id="rId6" w:history="1">
        <w:r w:rsidRPr="009F4F4A">
          <w:rPr>
            <w:rStyle w:val="Hyperlink"/>
          </w:rPr>
          <w:t>https://auditchain.finance/private-sale</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A03AD3"/>
    <w:multiLevelType w:val="hybridMultilevel"/>
    <w:tmpl w:val="25E4F9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6E57EB2"/>
    <w:multiLevelType w:val="hybridMultilevel"/>
    <w:tmpl w:val="7040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FC1710"/>
    <w:multiLevelType w:val="hybridMultilevel"/>
    <w:tmpl w:val="6FBAA0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1BE"/>
    <w:rsid w:val="0001656F"/>
    <w:rsid w:val="00106D69"/>
    <w:rsid w:val="0035205F"/>
    <w:rsid w:val="003C01BE"/>
    <w:rsid w:val="003C4965"/>
    <w:rsid w:val="00495F6E"/>
    <w:rsid w:val="005551BB"/>
    <w:rsid w:val="00560BC0"/>
    <w:rsid w:val="005B1CD1"/>
    <w:rsid w:val="00725027"/>
    <w:rsid w:val="00842EB6"/>
    <w:rsid w:val="008802B8"/>
    <w:rsid w:val="00993C2D"/>
    <w:rsid w:val="009A4490"/>
    <w:rsid w:val="00A3162D"/>
    <w:rsid w:val="00B71805"/>
    <w:rsid w:val="00B92C01"/>
    <w:rsid w:val="00C80A49"/>
    <w:rsid w:val="00CA3CE2"/>
    <w:rsid w:val="00E5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9EF9B"/>
  <w15:chartTrackingRefBased/>
  <w15:docId w15:val="{A665D229-7070-4BA3-ADF0-E6718DB9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93C2D"/>
    <w:pPr>
      <w:keepNext/>
      <w:spacing w:before="480" w:after="0" w:line="276" w:lineRule="auto"/>
      <w:outlineLvl w:val="0"/>
    </w:pPr>
    <w:rPr>
      <w:rFonts w:ascii="Calibri Light" w:hAnsi="Calibri Light" w:cs="Calibri Light"/>
      <w:b/>
      <w:bCs/>
      <w:color w:val="2F5496"/>
      <w:kern w:val="3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3C2D"/>
    <w:rPr>
      <w:color w:val="0563C1" w:themeColor="hyperlink"/>
      <w:u w:val="single"/>
    </w:rPr>
  </w:style>
  <w:style w:type="character" w:styleId="UnresolvedMention">
    <w:name w:val="Unresolved Mention"/>
    <w:basedOn w:val="DefaultParagraphFont"/>
    <w:uiPriority w:val="99"/>
    <w:semiHidden/>
    <w:unhideWhenUsed/>
    <w:rsid w:val="00993C2D"/>
    <w:rPr>
      <w:color w:val="605E5C"/>
      <w:shd w:val="clear" w:color="auto" w:fill="E1DFDD"/>
    </w:rPr>
  </w:style>
  <w:style w:type="character" w:customStyle="1" w:styleId="Heading1Char">
    <w:name w:val="Heading 1 Char"/>
    <w:basedOn w:val="DefaultParagraphFont"/>
    <w:link w:val="Heading1"/>
    <w:uiPriority w:val="9"/>
    <w:rsid w:val="00993C2D"/>
    <w:rPr>
      <w:rFonts w:ascii="Calibri Light" w:hAnsi="Calibri Light" w:cs="Calibri Light"/>
      <w:b/>
      <w:bCs/>
      <w:color w:val="2F5496"/>
      <w:kern w:val="36"/>
      <w:sz w:val="28"/>
      <w:szCs w:val="28"/>
    </w:rPr>
  </w:style>
  <w:style w:type="paragraph" w:styleId="ListParagraph">
    <w:name w:val="List Paragraph"/>
    <w:basedOn w:val="Normal"/>
    <w:uiPriority w:val="34"/>
    <w:qFormat/>
    <w:rsid w:val="00993C2D"/>
    <w:pPr>
      <w:spacing w:after="0" w:line="240" w:lineRule="auto"/>
      <w:ind w:left="720"/>
    </w:pPr>
    <w:rPr>
      <w:rFonts w:ascii="Calibri" w:hAnsi="Calibri" w:cs="Calibri"/>
    </w:rPr>
  </w:style>
  <w:style w:type="paragraph" w:styleId="FootnoteText">
    <w:name w:val="footnote text"/>
    <w:basedOn w:val="Normal"/>
    <w:link w:val="FootnoteTextChar"/>
    <w:uiPriority w:val="99"/>
    <w:semiHidden/>
    <w:unhideWhenUsed/>
    <w:rsid w:val="009A44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4490"/>
    <w:rPr>
      <w:sz w:val="20"/>
      <w:szCs w:val="20"/>
    </w:rPr>
  </w:style>
  <w:style w:type="character" w:styleId="FootnoteReference">
    <w:name w:val="footnote reference"/>
    <w:basedOn w:val="DefaultParagraphFont"/>
    <w:uiPriority w:val="99"/>
    <w:semiHidden/>
    <w:unhideWhenUsed/>
    <w:rsid w:val="009A44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488314">
      <w:bodyDiv w:val="1"/>
      <w:marLeft w:val="0"/>
      <w:marRight w:val="0"/>
      <w:marTop w:val="0"/>
      <w:marBottom w:val="0"/>
      <w:divBdr>
        <w:top w:val="none" w:sz="0" w:space="0" w:color="auto"/>
        <w:left w:val="none" w:sz="0" w:space="0" w:color="auto"/>
        <w:bottom w:val="none" w:sz="0" w:space="0" w:color="auto"/>
        <w:right w:val="none" w:sz="0" w:space="0" w:color="auto"/>
      </w:divBdr>
    </w:div>
    <w:div w:id="828595082">
      <w:bodyDiv w:val="1"/>
      <w:marLeft w:val="0"/>
      <w:marRight w:val="0"/>
      <w:marTop w:val="0"/>
      <w:marBottom w:val="0"/>
      <w:divBdr>
        <w:top w:val="none" w:sz="0" w:space="0" w:color="auto"/>
        <w:left w:val="none" w:sz="0" w:space="0" w:color="auto"/>
        <w:bottom w:val="none" w:sz="0" w:space="0" w:color="auto"/>
        <w:right w:val="none" w:sz="0" w:space="0" w:color="auto"/>
      </w:divBdr>
    </w:div>
    <w:div w:id="961308070">
      <w:bodyDiv w:val="1"/>
      <w:marLeft w:val="0"/>
      <w:marRight w:val="0"/>
      <w:marTop w:val="0"/>
      <w:marBottom w:val="0"/>
      <w:divBdr>
        <w:top w:val="none" w:sz="0" w:space="0" w:color="auto"/>
        <w:left w:val="none" w:sz="0" w:space="0" w:color="auto"/>
        <w:bottom w:val="none" w:sz="0" w:space="0" w:color="auto"/>
        <w:right w:val="none" w:sz="0" w:space="0" w:color="auto"/>
      </w:divBdr>
    </w:div>
    <w:div w:id="1237520060">
      <w:bodyDiv w:val="1"/>
      <w:marLeft w:val="0"/>
      <w:marRight w:val="0"/>
      <w:marTop w:val="0"/>
      <w:marBottom w:val="0"/>
      <w:divBdr>
        <w:top w:val="none" w:sz="0" w:space="0" w:color="auto"/>
        <w:left w:val="none" w:sz="0" w:space="0" w:color="auto"/>
        <w:bottom w:val="none" w:sz="0" w:space="0" w:color="auto"/>
        <w:right w:val="none" w:sz="0" w:space="0" w:color="auto"/>
      </w:divBdr>
    </w:div>
    <w:div w:id="18088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ccounting.auditchain.finance/fac/Index.html" TargetMode="External"/><Relationship Id="rId13" Type="http://schemas.openxmlformats.org/officeDocument/2006/relationships/hyperlink" Target="mailto:dudley.gould@googlemail.com" TargetMode="External"/><Relationship Id="rId18" Type="http://schemas.openxmlformats.org/officeDocument/2006/relationships/hyperlink" Target="https://www.linkedin.com/in/futurewa/" TargetMode="External"/><Relationship Id="rId26" Type="http://schemas.openxmlformats.org/officeDocument/2006/relationships/hyperlink" Target="http://xbrl.squarespace.com/journal/2019/3/29/quarterly-xbrl-based-public-company-financial-report-quality.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kFeher@comcast.net" TargetMode="External"/><Relationship Id="rId34" Type="http://schemas.openxmlformats.org/officeDocument/2006/relationships/image" Target="cid:image002.png@01D782CE.447F8280" TargetMode="External"/><Relationship Id="rId7" Type="http://schemas.openxmlformats.org/officeDocument/2006/relationships/endnotes" Target="endnotes.xml"/><Relationship Id="rId12" Type="http://schemas.openxmlformats.org/officeDocument/2006/relationships/hyperlink" Target="https://www.linkedin.com/in/thomas-egan-281846a9/" TargetMode="External"/><Relationship Id="rId17" Type="http://schemas.openxmlformats.org/officeDocument/2006/relationships/hyperlink" Target="mailto:andrew@nobleaccounting.com.au" TargetMode="External"/><Relationship Id="rId25" Type="http://schemas.openxmlformats.org/officeDocument/2006/relationships/hyperlink" Target="https://auditchain.finance/whitepaper-v1.pdf" TargetMode="External"/><Relationship Id="rId33" Type="http://schemas.openxmlformats.org/officeDocument/2006/relationships/image" Target="media/image2.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inkedin.com/in/thomas-m-526984b7/" TargetMode="External"/><Relationship Id="rId20" Type="http://schemas.openxmlformats.org/officeDocument/2006/relationships/hyperlink" Target="https://www.linkedin.com/in/pierrehamon/" TargetMode="External"/><Relationship Id="rId29" Type="http://schemas.openxmlformats.org/officeDocument/2006/relationships/image" Target="cid:image001.png@01D782CD.368548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egan.sg@gmail.com" TargetMode="External"/><Relationship Id="rId24" Type="http://schemas.openxmlformats.org/officeDocument/2006/relationships/hyperlink" Target="https://www.linkedin.com/in/ferenc-feher-14733148/" TargetMode="External"/><Relationship Id="rId32" Type="http://schemas.openxmlformats.org/officeDocument/2006/relationships/hyperlink" Target="https://www.coinbase.com/price?query=AUDT" TargetMode="External"/><Relationship Id="rId37" Type="http://schemas.openxmlformats.org/officeDocument/2006/relationships/image" Target="cid:image003.png@01D782F2.3E0E2590" TargetMode="External"/><Relationship Id="rId5" Type="http://schemas.openxmlformats.org/officeDocument/2006/relationships/webSettings" Target="webSettings.xml"/><Relationship Id="rId15" Type="http://schemas.openxmlformats.org/officeDocument/2006/relationships/hyperlink" Target="mailto:thomas.mckinney.cpa@outlook.com" TargetMode="External"/><Relationship Id="rId23" Type="http://schemas.openxmlformats.org/officeDocument/2006/relationships/hyperlink" Target="https://www.linkedin.com/in/bonnie-feher/" TargetMode="External"/><Relationship Id="rId28" Type="http://schemas.openxmlformats.org/officeDocument/2006/relationships/image" Target="media/image1.png"/><Relationship Id="rId36" Type="http://schemas.openxmlformats.org/officeDocument/2006/relationships/image" Target="media/image3.png"/><Relationship Id="rId10" Type="http://schemas.openxmlformats.org/officeDocument/2006/relationships/hyperlink" Target="https://www.linkedin.com/in/charleshoffmancpa/" TargetMode="External"/><Relationship Id="rId19" Type="http://schemas.openxmlformats.org/officeDocument/2006/relationships/hyperlink" Target="mailto:hamon.pierre@etxetera.com" TargetMode="External"/><Relationship Id="rId31" Type="http://schemas.openxmlformats.org/officeDocument/2006/relationships/hyperlink" Target="http://xbrl.squarespace.com/journal/2021/7/12/knowledge-graph-of-microsoft-10-k-financial-report.html" TargetMode="External"/><Relationship Id="rId4" Type="http://schemas.openxmlformats.org/officeDocument/2006/relationships/settings" Target="settings.xml"/><Relationship Id="rId9" Type="http://schemas.openxmlformats.org/officeDocument/2006/relationships/hyperlink" Target="mailto:Charles.Hoffman@me.com" TargetMode="External"/><Relationship Id="rId14" Type="http://schemas.openxmlformats.org/officeDocument/2006/relationships/hyperlink" Target="https://www.linkedin.com/in/dudley-gould/" TargetMode="External"/><Relationship Id="rId22" Type="http://schemas.openxmlformats.org/officeDocument/2006/relationships/hyperlink" Target="mailto:fxfeher@gmail.com" TargetMode="External"/><Relationship Id="rId27" Type="http://schemas.openxmlformats.org/officeDocument/2006/relationships/hyperlink" Target="https://en.wikipedia.org/wiki/Six_Sigma" TargetMode="External"/><Relationship Id="rId30" Type="http://schemas.openxmlformats.org/officeDocument/2006/relationships/hyperlink" Target="https://www.poolparty.biz/wp-content/uploads/2020/04/the-knowledge-graph-cookbook.pdf" TargetMode="External"/><Relationship Id="rId35" Type="http://schemas.openxmlformats.org/officeDocument/2006/relationships/hyperlink" Target="https://coinmarketcap.com/currencies/australian-dollar-token/market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acioli.auditchain.finance/tools/PowerUserTool.swinb" TargetMode="External"/><Relationship Id="rId2" Type="http://schemas.openxmlformats.org/officeDocument/2006/relationships/hyperlink" Target="http://xbrl.squarespace.com/journal/2019/3/29/quarterly-xbrl-based-public-company-financial-report-quality.html" TargetMode="External"/><Relationship Id="rId1" Type="http://schemas.openxmlformats.org/officeDocument/2006/relationships/hyperlink" Target="https://www.coinspeaker.com/auditchain-to-use-nfts-for-accounting-and-disclosure-controls/" TargetMode="External"/><Relationship Id="rId6" Type="http://schemas.openxmlformats.org/officeDocument/2006/relationships/hyperlink" Target="https://auditchain.finance/private-sale" TargetMode="External"/><Relationship Id="rId5" Type="http://schemas.openxmlformats.org/officeDocument/2006/relationships/hyperlink" Target="http://accounting.auditchain.finance/index.html" TargetMode="External"/><Relationship Id="rId4" Type="http://schemas.openxmlformats.org/officeDocument/2006/relationships/hyperlink" Target="http://accounting.auditchain.finance/fac/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5515B-7543-4778-BD5F-7E73DA5F5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8</Pages>
  <Words>2553</Words>
  <Characters>14557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Hoffman</dc:creator>
  <cp:keywords/>
  <dc:description/>
  <cp:lastModifiedBy>Charles Hoffman</cp:lastModifiedBy>
  <cp:revision>9</cp:revision>
  <dcterms:created xsi:type="dcterms:W3CDTF">2021-07-27T17:10:00Z</dcterms:created>
  <dcterms:modified xsi:type="dcterms:W3CDTF">2021-08-15T17:51:00Z</dcterms:modified>
</cp:coreProperties>
</file>